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C744" w14:textId="42331A7B" w:rsidR="00522B20" w:rsidRPr="00343DE4" w:rsidRDefault="003B23CA" w:rsidP="00E46BAE">
      <w:pPr>
        <w:pStyle w:val="BodyA"/>
        <w:spacing w:before="100" w:after="100"/>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5D649D73" wp14:editId="37794404">
                <wp:simplePos x="0" y="0"/>
                <wp:positionH relativeFrom="page">
                  <wp:posOffset>685800</wp:posOffset>
                </wp:positionH>
                <wp:positionV relativeFrom="page">
                  <wp:posOffset>838200</wp:posOffset>
                </wp:positionV>
                <wp:extent cx="6184900" cy="1638300"/>
                <wp:effectExtent l="0" t="0" r="0" b="0"/>
                <wp:wrapSquare wrapText="bothSides"/>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05CDFDAB"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4A8941B1" w14:textId="77777777" w:rsidR="00AE41E6" w:rsidRPr="008506D8" w:rsidRDefault="00AE41E6" w:rsidP="00AE41E6">
                            <w:pPr>
                              <w:pStyle w:val="Ttulo"/>
                              <w:rPr>
                                <w:b/>
                                <w:lang w:val="es-ES"/>
                              </w:rPr>
                            </w:pPr>
                            <w:r>
                              <w:rPr>
                                <w:rFonts w:ascii="Avenir Next Demi Bold" w:hAnsi="Avenir Next Demi Bold"/>
                                <w:b/>
                                <w:sz w:val="60"/>
                                <w:szCs w:val="60"/>
                                <w:lang w:val="es-ES_tradnl"/>
                              </w:rPr>
                              <w:t xml:space="preserve">SEGUNDO </w:t>
                            </w:r>
                            <w:r w:rsidRPr="008506D8">
                              <w:rPr>
                                <w:rFonts w:ascii="Avenir Next Demi Bold" w:hAnsi="Avenir Next Demi Bold"/>
                                <w:b/>
                                <w:sz w:val="60"/>
                                <w:szCs w:val="60"/>
                                <w:lang w:val="es-ES"/>
                              </w:rPr>
                              <w:t>trimestre de 202</w:t>
                            </w:r>
                            <w:r>
                              <w:rPr>
                                <w:rFonts w:ascii="Avenir Next Demi Bold" w:hAnsi="Avenir Next Demi Bold"/>
                                <w:b/>
                                <w:sz w:val="60"/>
                                <w:szCs w:val="60"/>
                                <w:lang w:val="es-ES"/>
                              </w:rPr>
                              <w:t>2</w:t>
                            </w:r>
                            <w:r w:rsidR="00092AAD" w:rsidRPr="00092AAD">
                              <w:rPr>
                                <w:rFonts w:ascii="Avenir Next Demi Bold" w:hAnsi="Avenir Next Demi Bold"/>
                                <w:b/>
                                <w:noProof/>
                                <w:sz w:val="60"/>
                                <w:szCs w:val="60"/>
                                <w:lang w:val="es-ES"/>
                              </w:rPr>
                              <w:drawing>
                                <wp:inline distT="0" distB="0" distL="0" distR="0" wp14:anchorId="00934061" wp14:editId="2C198BB4">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49D73" id="Rectángulo 2"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05CDFDAB"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4A8941B1" w14:textId="77777777" w:rsidR="00AE41E6" w:rsidRPr="008506D8" w:rsidRDefault="00AE41E6" w:rsidP="00AE41E6">
                      <w:pPr>
                        <w:pStyle w:val="Ttulo"/>
                        <w:rPr>
                          <w:b/>
                          <w:lang w:val="es-ES"/>
                        </w:rPr>
                      </w:pPr>
                      <w:r>
                        <w:rPr>
                          <w:rFonts w:ascii="Avenir Next Demi Bold" w:hAnsi="Avenir Next Demi Bold"/>
                          <w:b/>
                          <w:sz w:val="60"/>
                          <w:szCs w:val="60"/>
                          <w:lang w:val="es-ES_tradnl"/>
                        </w:rPr>
                        <w:t xml:space="preserve">SEGUNDO </w:t>
                      </w:r>
                      <w:r w:rsidRPr="008506D8">
                        <w:rPr>
                          <w:rFonts w:ascii="Avenir Next Demi Bold" w:hAnsi="Avenir Next Demi Bold"/>
                          <w:b/>
                          <w:sz w:val="60"/>
                          <w:szCs w:val="60"/>
                          <w:lang w:val="es-ES"/>
                        </w:rPr>
                        <w:t>trimestre de 202</w:t>
                      </w:r>
                      <w:r>
                        <w:rPr>
                          <w:rFonts w:ascii="Avenir Next Demi Bold" w:hAnsi="Avenir Next Demi Bold"/>
                          <w:b/>
                          <w:sz w:val="60"/>
                          <w:szCs w:val="60"/>
                          <w:lang w:val="es-ES"/>
                        </w:rPr>
                        <w:t>2</w:t>
                      </w:r>
                      <w:r w:rsidR="00092AAD" w:rsidRPr="00092AAD">
                        <w:rPr>
                          <w:rFonts w:ascii="Avenir Next Demi Bold" w:hAnsi="Avenir Next Demi Bold"/>
                          <w:b/>
                          <w:noProof/>
                          <w:sz w:val="60"/>
                          <w:szCs w:val="60"/>
                          <w:lang w:val="es-ES"/>
                        </w:rPr>
                        <w:drawing>
                          <wp:inline distT="0" distB="0" distL="0" distR="0" wp14:anchorId="00934061" wp14:editId="2C198BB4">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2CF567FA" w14:textId="77777777" w:rsidR="00D13352" w:rsidRPr="004A7E08" w:rsidRDefault="004A7E08" w:rsidP="00D13352">
      <w:pPr>
        <w:pStyle w:val="BodyA"/>
        <w:spacing w:before="100" w:after="100"/>
        <w:jc w:val="both"/>
        <w:rPr>
          <w:rFonts w:ascii="Avenir Next" w:hAnsi="Avenir Next"/>
          <w:color w:val="auto"/>
          <w:sz w:val="24"/>
        </w:rPr>
      </w:pPr>
      <w:bookmarkStart w:id="2" w:name="_Hlk71246112"/>
      <w:bookmarkEnd w:id="0"/>
      <w:r w:rsidRPr="004A7E08">
        <w:rPr>
          <w:rFonts w:ascii="Avenir Next" w:hAnsi="Avenir Next"/>
          <w:color w:val="auto"/>
          <w:sz w:val="24"/>
        </w:rPr>
        <w:t xml:space="preserve">Según </w:t>
      </w:r>
      <w:r w:rsidR="00B53FFB">
        <w:rPr>
          <w:rFonts w:ascii="Avenir Next" w:hAnsi="Avenir Next"/>
          <w:color w:val="auto"/>
          <w:sz w:val="24"/>
        </w:rPr>
        <w:t>el</w:t>
      </w:r>
      <w:r w:rsidRPr="004A7E08">
        <w:rPr>
          <w:rFonts w:ascii="Avenir Next" w:hAnsi="Avenir Next"/>
          <w:color w:val="auto"/>
          <w:sz w:val="24"/>
        </w:rPr>
        <w:t xml:space="preserve"> Indicador Sintético de Actividad de Andalucía del Observatorio Económico de Andalucía (IOEA), la economía andaluza experimentó un crecimiento intertrimestral del Producto Interior Bruto (PIB) del </w:t>
      </w:r>
      <w:r w:rsidR="00F87244">
        <w:rPr>
          <w:rFonts w:ascii="Avenir Next" w:hAnsi="Avenir Next"/>
          <w:color w:val="auto"/>
          <w:sz w:val="24"/>
        </w:rPr>
        <w:t>0</w:t>
      </w:r>
      <w:r w:rsidRPr="004A7E08">
        <w:rPr>
          <w:rFonts w:ascii="Avenir Next" w:hAnsi="Avenir Next"/>
          <w:color w:val="auto"/>
          <w:sz w:val="24"/>
        </w:rPr>
        <w:t>,</w:t>
      </w:r>
      <w:r w:rsidR="0030173B">
        <w:rPr>
          <w:rFonts w:ascii="Avenir Next" w:hAnsi="Avenir Next"/>
          <w:color w:val="auto"/>
          <w:sz w:val="24"/>
        </w:rPr>
        <w:t>9</w:t>
      </w:r>
      <w:r w:rsidRPr="004A7E08">
        <w:rPr>
          <w:rFonts w:ascii="Avenir Next" w:hAnsi="Avenir Next"/>
          <w:color w:val="auto"/>
          <w:sz w:val="24"/>
        </w:rPr>
        <w:t xml:space="preserve">% en el </w:t>
      </w:r>
      <w:r w:rsidR="0030173B">
        <w:rPr>
          <w:rFonts w:ascii="Avenir Next" w:hAnsi="Avenir Next"/>
          <w:color w:val="auto"/>
          <w:sz w:val="24"/>
        </w:rPr>
        <w:t>segundo</w:t>
      </w:r>
      <w:r w:rsidR="00D51766">
        <w:rPr>
          <w:rFonts w:ascii="Avenir Next" w:hAnsi="Avenir Next"/>
          <w:color w:val="auto"/>
          <w:sz w:val="24"/>
        </w:rPr>
        <w:t xml:space="preserve"> </w:t>
      </w:r>
      <w:r w:rsidRPr="004A7E08">
        <w:rPr>
          <w:rFonts w:ascii="Avenir Next" w:hAnsi="Avenir Next"/>
          <w:color w:val="auto"/>
          <w:sz w:val="24"/>
        </w:rPr>
        <w:t>trimestre de 202</w:t>
      </w:r>
      <w:r w:rsidR="00F87244">
        <w:rPr>
          <w:rFonts w:ascii="Avenir Next" w:hAnsi="Avenir Next"/>
          <w:color w:val="auto"/>
          <w:sz w:val="24"/>
        </w:rPr>
        <w:t>2</w:t>
      </w:r>
      <w:r w:rsidRPr="004A7E08">
        <w:rPr>
          <w:rFonts w:ascii="Avenir Next" w:hAnsi="Avenir Next"/>
          <w:color w:val="auto"/>
          <w:sz w:val="24"/>
        </w:rPr>
        <w:t xml:space="preserve">, </w:t>
      </w:r>
      <w:r w:rsidR="0030173B">
        <w:rPr>
          <w:rFonts w:ascii="Avenir Next" w:hAnsi="Avenir Next"/>
          <w:color w:val="auto"/>
          <w:sz w:val="24"/>
        </w:rPr>
        <w:t>dos</w:t>
      </w:r>
      <w:r w:rsidRPr="004A7E08">
        <w:rPr>
          <w:rFonts w:ascii="Avenir Next" w:hAnsi="Avenir Next"/>
          <w:color w:val="auto"/>
          <w:sz w:val="24"/>
        </w:rPr>
        <w:t xml:space="preserve"> décima</w:t>
      </w:r>
      <w:r w:rsidR="0030173B">
        <w:rPr>
          <w:rFonts w:ascii="Avenir Next" w:hAnsi="Avenir Next"/>
          <w:color w:val="auto"/>
          <w:sz w:val="24"/>
        </w:rPr>
        <w:t>s</w:t>
      </w:r>
      <w:r w:rsidR="00D51766">
        <w:rPr>
          <w:rFonts w:ascii="Avenir Next" w:hAnsi="Avenir Next"/>
          <w:color w:val="auto"/>
          <w:sz w:val="24"/>
        </w:rPr>
        <w:t xml:space="preserve"> </w:t>
      </w:r>
      <w:r w:rsidR="00F87244" w:rsidRPr="004A7E08">
        <w:rPr>
          <w:rFonts w:ascii="Avenir Next" w:hAnsi="Avenir Next"/>
          <w:color w:val="auto"/>
          <w:sz w:val="24"/>
        </w:rPr>
        <w:t>m</w:t>
      </w:r>
      <w:r w:rsidR="00F87244">
        <w:rPr>
          <w:rFonts w:ascii="Avenir Next" w:hAnsi="Avenir Next"/>
          <w:color w:val="auto"/>
          <w:sz w:val="24"/>
        </w:rPr>
        <w:t>enos</w:t>
      </w:r>
      <w:r w:rsidR="00D51766">
        <w:rPr>
          <w:rFonts w:ascii="Avenir Next" w:hAnsi="Avenir Next"/>
          <w:color w:val="auto"/>
          <w:sz w:val="24"/>
        </w:rPr>
        <w:t xml:space="preserve"> </w:t>
      </w:r>
      <w:r w:rsidRPr="004A7E08">
        <w:rPr>
          <w:rFonts w:ascii="Avenir Next" w:hAnsi="Avenir Next"/>
          <w:color w:val="auto"/>
          <w:sz w:val="24"/>
        </w:rPr>
        <w:t xml:space="preserve">que la estimación del </w:t>
      </w:r>
      <w:r w:rsidR="00F127FC">
        <w:rPr>
          <w:rFonts w:ascii="Avenir Next" w:hAnsi="Avenir Next"/>
          <w:color w:val="auto"/>
          <w:sz w:val="24"/>
        </w:rPr>
        <w:t>Instituto Nacional de Estadística (INE)</w:t>
      </w:r>
      <w:r w:rsidRPr="004A7E08">
        <w:rPr>
          <w:rFonts w:ascii="Avenir Next" w:hAnsi="Avenir Next"/>
          <w:color w:val="auto"/>
          <w:sz w:val="24"/>
        </w:rPr>
        <w:t xml:space="preserve"> para el PIB español. </w:t>
      </w:r>
      <w:r w:rsidR="00D13352" w:rsidRPr="004A7E08">
        <w:rPr>
          <w:rFonts w:ascii="Avenir Next" w:hAnsi="Avenir Next"/>
          <w:color w:val="auto"/>
          <w:sz w:val="24"/>
        </w:rPr>
        <w:t xml:space="preserve">Con esta tasa, el crecimiento interanual del </w:t>
      </w:r>
      <w:r w:rsidR="00AC3CA1">
        <w:rPr>
          <w:rFonts w:ascii="Avenir Next" w:hAnsi="Avenir Next"/>
          <w:color w:val="auto"/>
          <w:sz w:val="24"/>
        </w:rPr>
        <w:t>indicador estimado por el Observatorio Económico de Andalucía</w:t>
      </w:r>
      <w:r w:rsidR="00D13352" w:rsidRPr="004A7E08">
        <w:rPr>
          <w:rFonts w:ascii="Avenir Next" w:hAnsi="Avenir Next"/>
          <w:color w:val="auto"/>
          <w:sz w:val="24"/>
        </w:rPr>
        <w:t xml:space="preserve"> para el </w:t>
      </w:r>
      <w:r w:rsidR="00B01693">
        <w:rPr>
          <w:rFonts w:ascii="Avenir Next" w:hAnsi="Avenir Next"/>
          <w:color w:val="auto"/>
          <w:sz w:val="24"/>
        </w:rPr>
        <w:t>segundo</w:t>
      </w:r>
      <w:r w:rsidR="00D51766">
        <w:rPr>
          <w:rFonts w:ascii="Avenir Next" w:hAnsi="Avenir Next"/>
          <w:color w:val="auto"/>
          <w:sz w:val="24"/>
        </w:rPr>
        <w:t xml:space="preserve"> </w:t>
      </w:r>
      <w:r w:rsidR="00C379D2">
        <w:rPr>
          <w:rFonts w:ascii="Avenir Next" w:hAnsi="Avenir Next"/>
          <w:color w:val="auto"/>
          <w:sz w:val="24"/>
        </w:rPr>
        <w:t>trim</w:t>
      </w:r>
      <w:r w:rsidR="00D13352" w:rsidRPr="004A7E08">
        <w:rPr>
          <w:rFonts w:ascii="Avenir Next" w:hAnsi="Avenir Next"/>
          <w:color w:val="auto"/>
          <w:sz w:val="24"/>
        </w:rPr>
        <w:t>estre de 202</w:t>
      </w:r>
      <w:r w:rsidR="00D13352">
        <w:rPr>
          <w:rFonts w:ascii="Avenir Next" w:hAnsi="Avenir Next"/>
          <w:color w:val="auto"/>
          <w:sz w:val="24"/>
        </w:rPr>
        <w:t>2</w:t>
      </w:r>
      <w:r w:rsidR="00D13352" w:rsidRPr="004A7E08">
        <w:rPr>
          <w:rFonts w:ascii="Avenir Next" w:hAnsi="Avenir Next"/>
          <w:color w:val="auto"/>
          <w:sz w:val="24"/>
        </w:rPr>
        <w:t xml:space="preserve"> es del </w:t>
      </w:r>
      <w:r w:rsidR="009D3C67">
        <w:rPr>
          <w:rFonts w:ascii="Avenir Next" w:hAnsi="Avenir Next"/>
          <w:color w:val="auto"/>
          <w:sz w:val="24"/>
        </w:rPr>
        <w:t>6,1</w:t>
      </w:r>
      <w:r w:rsidR="00D13352" w:rsidRPr="004A7E08">
        <w:rPr>
          <w:rFonts w:ascii="Avenir Next" w:hAnsi="Avenir Next"/>
          <w:color w:val="auto"/>
          <w:sz w:val="24"/>
        </w:rPr>
        <w:t xml:space="preserve">%, </w:t>
      </w:r>
      <w:r w:rsidR="00C00AFD">
        <w:rPr>
          <w:rFonts w:ascii="Avenir Next" w:hAnsi="Avenir Next"/>
          <w:color w:val="auto"/>
          <w:sz w:val="24"/>
        </w:rPr>
        <w:t>dos</w:t>
      </w:r>
      <w:r w:rsidR="00F32BA6">
        <w:rPr>
          <w:rFonts w:ascii="Avenir Next" w:hAnsi="Avenir Next"/>
          <w:color w:val="auto"/>
          <w:sz w:val="24"/>
        </w:rPr>
        <w:t xml:space="preserve"> décima</w:t>
      </w:r>
      <w:r w:rsidR="00C00AFD">
        <w:rPr>
          <w:rFonts w:ascii="Avenir Next" w:hAnsi="Avenir Next"/>
          <w:color w:val="auto"/>
          <w:sz w:val="24"/>
        </w:rPr>
        <w:t>s</w:t>
      </w:r>
      <w:r w:rsidR="00D51766">
        <w:rPr>
          <w:rFonts w:ascii="Avenir Next" w:hAnsi="Avenir Next"/>
          <w:color w:val="auto"/>
          <w:sz w:val="24"/>
        </w:rPr>
        <w:t xml:space="preserve"> </w:t>
      </w:r>
      <w:r w:rsidR="00C00AFD">
        <w:rPr>
          <w:rFonts w:ascii="Avenir Next" w:hAnsi="Avenir Next"/>
          <w:color w:val="auto"/>
          <w:sz w:val="24"/>
        </w:rPr>
        <w:t>inferior</w:t>
      </w:r>
      <w:r w:rsidR="00D51766">
        <w:rPr>
          <w:rFonts w:ascii="Avenir Next" w:hAnsi="Avenir Next"/>
          <w:color w:val="auto"/>
          <w:sz w:val="24"/>
        </w:rPr>
        <w:t xml:space="preserve"> </w:t>
      </w:r>
      <w:r w:rsidR="00D13352" w:rsidRPr="004A7E08">
        <w:rPr>
          <w:rFonts w:ascii="Avenir Next" w:hAnsi="Avenir Next"/>
          <w:color w:val="auto"/>
          <w:sz w:val="24"/>
        </w:rPr>
        <w:t xml:space="preserve">al estimado </w:t>
      </w:r>
      <w:r w:rsidR="00D44A43">
        <w:rPr>
          <w:rFonts w:ascii="Avenir Next" w:hAnsi="Avenir Next"/>
          <w:color w:val="auto"/>
          <w:sz w:val="24"/>
        </w:rPr>
        <w:t>en la Contabilidad Nacional Trimestral</w:t>
      </w:r>
      <w:r w:rsidR="00D51766">
        <w:rPr>
          <w:rFonts w:ascii="Avenir Next" w:hAnsi="Avenir Next"/>
          <w:color w:val="auto"/>
          <w:sz w:val="24"/>
        </w:rPr>
        <w:t xml:space="preserve"> </w:t>
      </w:r>
      <w:r w:rsidR="00D44A43">
        <w:rPr>
          <w:rFonts w:ascii="Avenir Next" w:hAnsi="Avenir Next"/>
          <w:color w:val="auto"/>
          <w:sz w:val="24"/>
        </w:rPr>
        <w:t>d</w:t>
      </w:r>
      <w:r w:rsidR="00D13352" w:rsidRPr="004A7E08">
        <w:rPr>
          <w:rFonts w:ascii="Avenir Next" w:hAnsi="Avenir Next"/>
          <w:color w:val="auto"/>
          <w:sz w:val="24"/>
        </w:rPr>
        <w:t>el INE para España.</w:t>
      </w:r>
    </w:p>
    <w:p w14:paraId="5DA2A76D" w14:textId="3D710C0B" w:rsidR="004A7E08" w:rsidRPr="004F0ECA" w:rsidRDefault="00750040" w:rsidP="004F0ECA">
      <w:pPr>
        <w:pStyle w:val="BodyA"/>
        <w:spacing w:before="100" w:after="100"/>
        <w:jc w:val="center"/>
        <w:rPr>
          <w:rFonts w:ascii="Avenir Next" w:hAnsi="Avenir Next"/>
          <w:color w:val="auto"/>
          <w:sz w:val="20"/>
          <w:szCs w:val="18"/>
        </w:rPr>
      </w:pPr>
      <w:r w:rsidRPr="00750040">
        <w:rPr>
          <w:noProof/>
        </w:rPr>
        <w:drawing>
          <wp:inline distT="0" distB="0" distL="0" distR="0" wp14:anchorId="62BA9108" wp14:editId="68DFE133">
            <wp:extent cx="6184900" cy="552577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900" cy="5525770"/>
                    </a:xfrm>
                    <a:prstGeom prst="rect">
                      <a:avLst/>
                    </a:prstGeom>
                    <a:noFill/>
                    <a:ln>
                      <a:noFill/>
                    </a:ln>
                  </pic:spPr>
                </pic:pic>
              </a:graphicData>
            </a:graphic>
          </wp:inline>
        </w:drawing>
      </w:r>
    </w:p>
    <w:p w14:paraId="43FDF6FC" w14:textId="77777777" w:rsidR="004F0ECA" w:rsidRPr="004F0ECA" w:rsidRDefault="004F0ECA" w:rsidP="004F0ECA">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00F8FB17" w14:textId="72FC1E01" w:rsidR="002C506B" w:rsidRDefault="004216DF" w:rsidP="002C506B">
      <w:pPr>
        <w:pStyle w:val="BodyA"/>
        <w:spacing w:before="100" w:after="100"/>
        <w:jc w:val="both"/>
        <w:rPr>
          <w:rFonts w:ascii="Avenir Next" w:hAnsi="Avenir Next"/>
          <w:color w:val="auto"/>
          <w:sz w:val="24"/>
        </w:rPr>
      </w:pPr>
      <w:r>
        <w:rPr>
          <w:rFonts w:ascii="Avenir Next" w:hAnsi="Avenir Next"/>
          <w:color w:val="auto"/>
          <w:sz w:val="24"/>
        </w:rPr>
        <w:lastRenderedPageBreak/>
        <w:t>El</w:t>
      </w:r>
      <w:r w:rsidR="00C00AFD">
        <w:rPr>
          <w:rFonts w:ascii="Avenir Next" w:hAnsi="Avenir Next"/>
          <w:color w:val="auto"/>
          <w:sz w:val="24"/>
        </w:rPr>
        <w:t xml:space="preserve"> crecimiento </w:t>
      </w:r>
      <w:r>
        <w:rPr>
          <w:rFonts w:ascii="Avenir Next" w:hAnsi="Avenir Next"/>
          <w:color w:val="auto"/>
          <w:sz w:val="24"/>
        </w:rPr>
        <w:t xml:space="preserve">estimado para el </w:t>
      </w:r>
      <w:r w:rsidR="00A21181">
        <w:rPr>
          <w:rFonts w:ascii="Avenir Next" w:hAnsi="Avenir Next"/>
          <w:color w:val="auto"/>
          <w:sz w:val="24"/>
        </w:rPr>
        <w:t xml:space="preserve">segundo trimestre de 2022 </w:t>
      </w:r>
      <w:r w:rsidR="000C47DD">
        <w:rPr>
          <w:rFonts w:ascii="Avenir Next" w:hAnsi="Avenir Next"/>
          <w:color w:val="auto"/>
          <w:sz w:val="24"/>
        </w:rPr>
        <w:t xml:space="preserve">es el </w:t>
      </w:r>
      <w:r>
        <w:rPr>
          <w:rFonts w:ascii="Avenir Next" w:hAnsi="Avenir Next"/>
          <w:color w:val="auto"/>
          <w:sz w:val="24"/>
        </w:rPr>
        <w:t xml:space="preserve">resultado </w:t>
      </w:r>
      <w:r w:rsidR="000C47DD">
        <w:rPr>
          <w:rFonts w:ascii="Avenir Next" w:hAnsi="Avenir Next"/>
          <w:color w:val="auto"/>
          <w:sz w:val="24"/>
        </w:rPr>
        <w:t xml:space="preserve">de </w:t>
      </w:r>
      <w:r w:rsidR="00F12281">
        <w:rPr>
          <w:rFonts w:ascii="Avenir Next" w:hAnsi="Avenir Next"/>
          <w:color w:val="auto"/>
          <w:sz w:val="24"/>
        </w:rPr>
        <w:t>la confluencia</w:t>
      </w:r>
      <w:r w:rsidR="00900F59">
        <w:rPr>
          <w:rFonts w:ascii="Avenir Next" w:hAnsi="Avenir Next"/>
          <w:color w:val="auto"/>
          <w:sz w:val="24"/>
        </w:rPr>
        <w:t>,</w:t>
      </w:r>
      <w:r w:rsidR="00F12281">
        <w:rPr>
          <w:rFonts w:ascii="Avenir Next" w:hAnsi="Avenir Next"/>
          <w:color w:val="auto"/>
          <w:sz w:val="24"/>
        </w:rPr>
        <w:t xml:space="preserve"> en un mismo tiempo</w:t>
      </w:r>
      <w:r w:rsidR="00900F59">
        <w:rPr>
          <w:rFonts w:ascii="Avenir Next" w:hAnsi="Avenir Next"/>
          <w:color w:val="auto"/>
          <w:sz w:val="24"/>
        </w:rPr>
        <w:t>,</w:t>
      </w:r>
      <w:r w:rsidR="00F12281">
        <w:rPr>
          <w:rFonts w:ascii="Avenir Next" w:hAnsi="Avenir Next"/>
          <w:color w:val="auto"/>
          <w:sz w:val="24"/>
        </w:rPr>
        <w:t xml:space="preserve"> de </w:t>
      </w:r>
      <w:r w:rsidR="000C47DD">
        <w:rPr>
          <w:rFonts w:ascii="Avenir Next" w:hAnsi="Avenir Next"/>
          <w:color w:val="auto"/>
          <w:sz w:val="24"/>
        </w:rPr>
        <w:t xml:space="preserve">dos grandes </w:t>
      </w:r>
      <w:r w:rsidR="00F12281">
        <w:rPr>
          <w:rFonts w:ascii="Avenir Next" w:hAnsi="Avenir Next"/>
          <w:color w:val="auto"/>
          <w:sz w:val="24"/>
        </w:rPr>
        <w:t xml:space="preserve">grupos de </w:t>
      </w:r>
      <w:r w:rsidR="00347CBB">
        <w:rPr>
          <w:rFonts w:ascii="Avenir Next" w:hAnsi="Avenir Next"/>
          <w:color w:val="auto"/>
          <w:sz w:val="24"/>
        </w:rPr>
        <w:t xml:space="preserve">factores </w:t>
      </w:r>
      <w:r w:rsidR="00900F59">
        <w:rPr>
          <w:rFonts w:ascii="Avenir Next" w:hAnsi="Avenir Next"/>
          <w:color w:val="auto"/>
          <w:sz w:val="24"/>
        </w:rPr>
        <w:t>(</w:t>
      </w:r>
      <w:r w:rsidR="0079452E">
        <w:rPr>
          <w:rFonts w:ascii="Avenir Next" w:hAnsi="Avenir Next"/>
          <w:color w:val="auto"/>
          <w:sz w:val="24"/>
        </w:rPr>
        <w:t>uno positivo y otro negativo)</w:t>
      </w:r>
      <w:r w:rsidR="00B3087F">
        <w:rPr>
          <w:rFonts w:ascii="Avenir Next" w:hAnsi="Avenir Next"/>
          <w:color w:val="auto"/>
          <w:sz w:val="24"/>
        </w:rPr>
        <w:t>. En lo positivo</w:t>
      </w:r>
      <w:r w:rsidR="00BD23D2">
        <w:rPr>
          <w:rFonts w:ascii="Avenir Next" w:hAnsi="Avenir Next"/>
          <w:color w:val="auto"/>
          <w:sz w:val="24"/>
        </w:rPr>
        <w:t xml:space="preserve">, durante estos meses </w:t>
      </w:r>
      <w:r w:rsidR="00347CBB">
        <w:rPr>
          <w:rFonts w:ascii="Avenir Next" w:hAnsi="Avenir Next"/>
          <w:color w:val="auto"/>
          <w:sz w:val="24"/>
        </w:rPr>
        <w:t xml:space="preserve">no han estado presentes </w:t>
      </w:r>
      <w:r w:rsidR="00C06F62">
        <w:rPr>
          <w:rFonts w:ascii="Avenir Next" w:hAnsi="Avenir Next"/>
          <w:color w:val="auto"/>
          <w:sz w:val="24"/>
        </w:rPr>
        <w:t>algunos factores que ralentizaron el crecimiento económico durante el primer trimestre</w:t>
      </w:r>
      <w:r w:rsidR="00D74251">
        <w:rPr>
          <w:rFonts w:ascii="Avenir Next" w:hAnsi="Avenir Next"/>
          <w:color w:val="auto"/>
          <w:sz w:val="24"/>
        </w:rPr>
        <w:t xml:space="preserve"> de 2022</w:t>
      </w:r>
      <w:r w:rsidR="00347CBB">
        <w:rPr>
          <w:rFonts w:ascii="Avenir Next" w:hAnsi="Avenir Next"/>
          <w:color w:val="auto"/>
          <w:sz w:val="24"/>
        </w:rPr>
        <w:t>, como l</w:t>
      </w:r>
      <w:r w:rsidR="00C06F62">
        <w:rPr>
          <w:rFonts w:ascii="Avenir Next" w:hAnsi="Avenir Next"/>
          <w:color w:val="auto"/>
          <w:sz w:val="24"/>
        </w:rPr>
        <w:t>a huelga de transporte</w:t>
      </w:r>
      <w:r w:rsidR="00347CBB">
        <w:rPr>
          <w:rFonts w:ascii="Avenir Next" w:hAnsi="Avenir Next"/>
          <w:color w:val="auto"/>
          <w:sz w:val="24"/>
        </w:rPr>
        <w:t xml:space="preserve"> y las </w:t>
      </w:r>
      <w:r w:rsidR="00C06F62">
        <w:rPr>
          <w:rFonts w:ascii="Avenir Next" w:hAnsi="Avenir Next"/>
          <w:color w:val="auto"/>
          <w:sz w:val="24"/>
        </w:rPr>
        <w:t>restricciones a parte de la actividad económica</w:t>
      </w:r>
      <w:r w:rsidR="00347CBB">
        <w:rPr>
          <w:rFonts w:ascii="Avenir Next" w:hAnsi="Avenir Next"/>
          <w:color w:val="auto"/>
          <w:sz w:val="24"/>
        </w:rPr>
        <w:t xml:space="preserve">, lo que permitió </w:t>
      </w:r>
      <w:r w:rsidR="00831535">
        <w:rPr>
          <w:rFonts w:ascii="Avenir Next" w:hAnsi="Avenir Next"/>
          <w:color w:val="auto"/>
          <w:sz w:val="24"/>
        </w:rPr>
        <w:t>a la región</w:t>
      </w:r>
      <w:r w:rsidR="00C06F62">
        <w:rPr>
          <w:rFonts w:ascii="Avenir Next" w:hAnsi="Avenir Next"/>
          <w:color w:val="auto"/>
          <w:sz w:val="24"/>
        </w:rPr>
        <w:t xml:space="preserve"> disfrutar en</w:t>
      </w:r>
      <w:r w:rsidR="00B654E2">
        <w:rPr>
          <w:rFonts w:ascii="Avenir Next" w:hAnsi="Avenir Next"/>
          <w:color w:val="auto"/>
          <w:sz w:val="24"/>
        </w:rPr>
        <w:t>tre</w:t>
      </w:r>
      <w:r w:rsidR="00C06F62">
        <w:rPr>
          <w:rFonts w:ascii="Avenir Next" w:hAnsi="Avenir Next"/>
          <w:color w:val="auto"/>
          <w:sz w:val="24"/>
        </w:rPr>
        <w:t xml:space="preserve"> abril</w:t>
      </w:r>
      <w:r w:rsidR="00D51766">
        <w:rPr>
          <w:rFonts w:ascii="Avenir Next" w:hAnsi="Avenir Next"/>
          <w:color w:val="auto"/>
          <w:sz w:val="24"/>
        </w:rPr>
        <w:t xml:space="preserve"> </w:t>
      </w:r>
      <w:r w:rsidR="00C06F62">
        <w:rPr>
          <w:rFonts w:ascii="Avenir Next" w:hAnsi="Avenir Next"/>
          <w:color w:val="auto"/>
          <w:sz w:val="24"/>
        </w:rPr>
        <w:t xml:space="preserve">y junio de un nuevo impulso </w:t>
      </w:r>
      <w:r w:rsidR="00831535">
        <w:rPr>
          <w:rFonts w:ascii="Avenir Next" w:hAnsi="Avenir Next"/>
          <w:color w:val="auto"/>
          <w:sz w:val="24"/>
        </w:rPr>
        <w:t>a</w:t>
      </w:r>
      <w:r w:rsidR="00347CBB">
        <w:rPr>
          <w:rFonts w:ascii="Avenir Next" w:hAnsi="Avenir Next"/>
          <w:color w:val="auto"/>
          <w:sz w:val="24"/>
        </w:rPr>
        <w:t>l</w:t>
      </w:r>
      <w:r w:rsidR="00831535">
        <w:rPr>
          <w:rFonts w:ascii="Avenir Next" w:hAnsi="Avenir Next"/>
          <w:color w:val="auto"/>
          <w:sz w:val="24"/>
        </w:rPr>
        <w:t xml:space="preserve"> </w:t>
      </w:r>
      <w:r w:rsidR="00C06F62">
        <w:rPr>
          <w:rFonts w:ascii="Avenir Next" w:hAnsi="Avenir Next"/>
          <w:color w:val="auto"/>
          <w:sz w:val="24"/>
        </w:rPr>
        <w:t>crecimiento</w:t>
      </w:r>
      <w:r w:rsidR="00831535">
        <w:rPr>
          <w:rFonts w:ascii="Avenir Next" w:hAnsi="Avenir Next"/>
          <w:color w:val="auto"/>
          <w:sz w:val="24"/>
        </w:rPr>
        <w:t xml:space="preserve"> económico</w:t>
      </w:r>
      <w:r w:rsidR="002C506B">
        <w:rPr>
          <w:rFonts w:ascii="Avenir Next" w:hAnsi="Avenir Next"/>
          <w:color w:val="auto"/>
          <w:sz w:val="24"/>
        </w:rPr>
        <w:t>.</w:t>
      </w:r>
      <w:r w:rsidR="00D51766">
        <w:rPr>
          <w:rFonts w:ascii="Avenir Next" w:hAnsi="Avenir Next"/>
          <w:color w:val="auto"/>
          <w:sz w:val="24"/>
        </w:rPr>
        <w:t xml:space="preserve"> </w:t>
      </w:r>
      <w:r w:rsidR="002C506B">
        <w:rPr>
          <w:rFonts w:ascii="Avenir Next" w:hAnsi="Avenir Next"/>
          <w:color w:val="auto"/>
          <w:sz w:val="24"/>
        </w:rPr>
        <w:t xml:space="preserve">Además, otros dos factores ayudaron a elevar </w:t>
      </w:r>
      <w:r w:rsidR="00D02614">
        <w:rPr>
          <w:rFonts w:ascii="Avenir Next" w:hAnsi="Avenir Next"/>
          <w:color w:val="auto"/>
          <w:sz w:val="24"/>
        </w:rPr>
        <w:t>el</w:t>
      </w:r>
      <w:r w:rsidR="002C506B">
        <w:rPr>
          <w:rFonts w:ascii="Avenir Next" w:hAnsi="Avenir Next"/>
          <w:color w:val="auto"/>
          <w:sz w:val="24"/>
        </w:rPr>
        <w:t xml:space="preserve"> ritmo de</w:t>
      </w:r>
      <w:r w:rsidR="00D02614">
        <w:rPr>
          <w:rFonts w:ascii="Avenir Next" w:hAnsi="Avenir Next"/>
          <w:color w:val="auto"/>
          <w:sz w:val="24"/>
        </w:rPr>
        <w:t xml:space="preserve"> la</w:t>
      </w:r>
      <w:r w:rsidR="002C506B">
        <w:rPr>
          <w:rFonts w:ascii="Avenir Next" w:hAnsi="Avenir Next"/>
          <w:color w:val="auto"/>
          <w:sz w:val="24"/>
        </w:rPr>
        <w:t xml:space="preserve"> recuperación económica. En primer lugar, la definitiva recuperación del turismo, con la práctica eliminación de la brecha creada durante la pandemia y, en segundo lugar, la reforma laboral cuyo efecto, aún por evaluar, podría </w:t>
      </w:r>
      <w:r w:rsidR="003C3F36">
        <w:rPr>
          <w:rFonts w:ascii="Avenir Next" w:hAnsi="Avenir Next"/>
          <w:color w:val="auto"/>
          <w:sz w:val="24"/>
        </w:rPr>
        <w:t>hab</w:t>
      </w:r>
      <w:r w:rsidR="002C506B">
        <w:rPr>
          <w:rFonts w:ascii="Avenir Next" w:hAnsi="Avenir Next"/>
          <w:color w:val="auto"/>
          <w:sz w:val="24"/>
        </w:rPr>
        <w:t xml:space="preserve">er sido moderadamente positivo. </w:t>
      </w:r>
      <w:r w:rsidR="00C64C28">
        <w:rPr>
          <w:rFonts w:ascii="Avenir Next" w:hAnsi="Avenir Next"/>
          <w:color w:val="auto"/>
          <w:sz w:val="24"/>
        </w:rPr>
        <w:t xml:space="preserve">Todo ello debió </w:t>
      </w:r>
      <w:r w:rsidR="002C506B">
        <w:rPr>
          <w:rFonts w:ascii="Avenir Next" w:hAnsi="Avenir Next"/>
          <w:color w:val="auto"/>
          <w:sz w:val="24"/>
        </w:rPr>
        <w:t xml:space="preserve">influir sobre el consumo de </w:t>
      </w:r>
      <w:r w:rsidR="00505640">
        <w:rPr>
          <w:rFonts w:ascii="Avenir Next" w:hAnsi="Avenir Next"/>
          <w:color w:val="auto"/>
          <w:sz w:val="24"/>
        </w:rPr>
        <w:t xml:space="preserve">los </w:t>
      </w:r>
      <w:r w:rsidR="002C506B">
        <w:rPr>
          <w:rFonts w:ascii="Avenir Next" w:hAnsi="Avenir Next"/>
          <w:color w:val="auto"/>
          <w:sz w:val="24"/>
        </w:rPr>
        <w:t xml:space="preserve">residentes y </w:t>
      </w:r>
      <w:r w:rsidR="00505640">
        <w:rPr>
          <w:rFonts w:ascii="Avenir Next" w:hAnsi="Avenir Next"/>
          <w:color w:val="auto"/>
          <w:sz w:val="24"/>
        </w:rPr>
        <w:t xml:space="preserve">de los </w:t>
      </w:r>
      <w:r w:rsidR="002C506B">
        <w:rPr>
          <w:rFonts w:ascii="Avenir Next" w:hAnsi="Avenir Next"/>
          <w:color w:val="auto"/>
          <w:sz w:val="24"/>
        </w:rPr>
        <w:t>no residentes</w:t>
      </w:r>
      <w:r w:rsidR="00347CBB">
        <w:rPr>
          <w:rFonts w:ascii="Avenir Next" w:hAnsi="Avenir Next"/>
          <w:color w:val="auto"/>
          <w:sz w:val="24"/>
        </w:rPr>
        <w:t xml:space="preserve"> </w:t>
      </w:r>
      <w:r w:rsidR="002C506B">
        <w:rPr>
          <w:rFonts w:ascii="Avenir Next" w:hAnsi="Avenir Next"/>
          <w:color w:val="auto"/>
          <w:sz w:val="24"/>
        </w:rPr>
        <w:t>y</w:t>
      </w:r>
      <w:r w:rsidR="00C64C28">
        <w:rPr>
          <w:rFonts w:ascii="Avenir Next" w:hAnsi="Avenir Next"/>
          <w:color w:val="auto"/>
          <w:sz w:val="24"/>
        </w:rPr>
        <w:t>, por ello, sobre su crecimiento</w:t>
      </w:r>
      <w:r w:rsidR="002C506B">
        <w:rPr>
          <w:rFonts w:ascii="Avenir Next" w:hAnsi="Avenir Next"/>
          <w:color w:val="auto"/>
          <w:sz w:val="24"/>
        </w:rPr>
        <w:t>.</w:t>
      </w:r>
      <w:r w:rsidR="00AD7F9E">
        <w:rPr>
          <w:rFonts w:ascii="Avenir Next" w:hAnsi="Avenir Next"/>
          <w:color w:val="auto"/>
          <w:sz w:val="24"/>
        </w:rPr>
        <w:t xml:space="preserve"> A esto debemos sumar el parcial </w:t>
      </w:r>
      <w:r w:rsidR="00596B0E">
        <w:rPr>
          <w:rFonts w:ascii="Avenir Next" w:hAnsi="Avenir Next"/>
          <w:color w:val="auto"/>
          <w:sz w:val="24"/>
        </w:rPr>
        <w:t>desembolsamiento</w:t>
      </w:r>
      <w:r w:rsidR="00AD7F9E">
        <w:rPr>
          <w:rFonts w:ascii="Avenir Next" w:hAnsi="Avenir Next"/>
          <w:color w:val="auto"/>
          <w:sz w:val="24"/>
        </w:rPr>
        <w:t xml:space="preserve"> de los ahorros acumulados durante lo peor de la pandemia, lo que </w:t>
      </w:r>
      <w:r w:rsidR="00347CBB">
        <w:rPr>
          <w:rFonts w:ascii="Avenir Next" w:hAnsi="Avenir Next"/>
          <w:color w:val="auto"/>
          <w:sz w:val="24"/>
        </w:rPr>
        <w:t xml:space="preserve">ha ayudado al </w:t>
      </w:r>
      <w:r w:rsidR="00AD7F9E">
        <w:rPr>
          <w:rFonts w:ascii="Avenir Next" w:hAnsi="Avenir Next"/>
          <w:color w:val="auto"/>
          <w:sz w:val="24"/>
        </w:rPr>
        <w:t>incremento de la demanda</w:t>
      </w:r>
      <w:r w:rsidR="0005761C">
        <w:rPr>
          <w:rFonts w:ascii="Avenir Next" w:hAnsi="Avenir Next"/>
          <w:color w:val="auto"/>
          <w:sz w:val="24"/>
        </w:rPr>
        <w:t xml:space="preserve"> a través del consumo</w:t>
      </w:r>
      <w:r w:rsidR="00AD7F9E">
        <w:rPr>
          <w:rFonts w:ascii="Avenir Next" w:hAnsi="Avenir Next"/>
          <w:color w:val="auto"/>
          <w:sz w:val="24"/>
        </w:rPr>
        <w:t>.</w:t>
      </w:r>
    </w:p>
    <w:p w14:paraId="6AC55727" w14:textId="2E310DCD" w:rsidR="001906F4" w:rsidRDefault="00900F59" w:rsidP="00AD7F9E">
      <w:pPr>
        <w:pStyle w:val="BodyA"/>
        <w:spacing w:before="100" w:after="100"/>
        <w:jc w:val="both"/>
        <w:rPr>
          <w:rFonts w:ascii="Avenir Next" w:hAnsi="Avenir Next"/>
          <w:color w:val="auto"/>
          <w:sz w:val="24"/>
        </w:rPr>
      </w:pPr>
      <w:r>
        <w:rPr>
          <w:rFonts w:ascii="Avenir Next" w:hAnsi="Avenir Next"/>
          <w:color w:val="auto"/>
          <w:sz w:val="24"/>
        </w:rPr>
        <w:t>En lo negativo</w:t>
      </w:r>
      <w:r w:rsidR="00C00AFD">
        <w:rPr>
          <w:rFonts w:ascii="Avenir Next" w:hAnsi="Avenir Next"/>
          <w:color w:val="auto"/>
          <w:sz w:val="24"/>
        </w:rPr>
        <w:t>,</w:t>
      </w:r>
      <w:r>
        <w:rPr>
          <w:rFonts w:ascii="Avenir Next" w:hAnsi="Avenir Next"/>
          <w:color w:val="auto"/>
          <w:sz w:val="24"/>
        </w:rPr>
        <w:t xml:space="preserve"> durante estos meses</w:t>
      </w:r>
      <w:r w:rsidR="00AD7F9E">
        <w:rPr>
          <w:rFonts w:ascii="Avenir Next" w:hAnsi="Avenir Next"/>
          <w:color w:val="auto"/>
          <w:sz w:val="24"/>
        </w:rPr>
        <w:t>,</w:t>
      </w:r>
      <w:r w:rsidR="00D51766">
        <w:rPr>
          <w:rFonts w:ascii="Avenir Next" w:hAnsi="Avenir Next"/>
          <w:color w:val="auto"/>
          <w:sz w:val="24"/>
        </w:rPr>
        <w:t xml:space="preserve"> </w:t>
      </w:r>
      <w:r w:rsidR="00A21181">
        <w:rPr>
          <w:rFonts w:ascii="Avenir Next" w:hAnsi="Avenir Next"/>
          <w:color w:val="auto"/>
          <w:sz w:val="24"/>
        </w:rPr>
        <w:t xml:space="preserve">han permanecido e incluso se han intensificado los desequilibrios que </w:t>
      </w:r>
      <w:r w:rsidR="00C64C28">
        <w:rPr>
          <w:rFonts w:ascii="Avenir Next" w:hAnsi="Avenir Next"/>
          <w:color w:val="auto"/>
          <w:sz w:val="24"/>
        </w:rPr>
        <w:t xml:space="preserve">han amenazado </w:t>
      </w:r>
      <w:r w:rsidR="00C00AFD">
        <w:rPr>
          <w:rFonts w:ascii="Avenir Next" w:hAnsi="Avenir Next"/>
          <w:color w:val="auto"/>
          <w:sz w:val="24"/>
        </w:rPr>
        <w:t>el crecimiento económico</w:t>
      </w:r>
      <w:r>
        <w:rPr>
          <w:rFonts w:ascii="Avenir Next" w:hAnsi="Avenir Next"/>
          <w:color w:val="auto"/>
          <w:sz w:val="24"/>
        </w:rPr>
        <w:t xml:space="preserve"> global</w:t>
      </w:r>
      <w:r w:rsidR="00D51766">
        <w:rPr>
          <w:rFonts w:ascii="Avenir Next" w:hAnsi="Avenir Next"/>
          <w:color w:val="auto"/>
          <w:sz w:val="24"/>
        </w:rPr>
        <w:t xml:space="preserve"> </w:t>
      </w:r>
      <w:r w:rsidR="002C506B">
        <w:rPr>
          <w:rFonts w:ascii="Avenir Next" w:hAnsi="Avenir Next"/>
          <w:color w:val="auto"/>
          <w:sz w:val="24"/>
        </w:rPr>
        <w:t>desde inicios del otoño de 2021</w:t>
      </w:r>
      <w:r w:rsidR="001906F4">
        <w:rPr>
          <w:rFonts w:ascii="Avenir Next" w:hAnsi="Avenir Next"/>
          <w:color w:val="auto"/>
          <w:sz w:val="24"/>
        </w:rPr>
        <w:t xml:space="preserve">, derivados de las disrupciones comerciales generadas por una salida abrupta de la pandemia, </w:t>
      </w:r>
      <w:r w:rsidR="000B4282">
        <w:rPr>
          <w:rFonts w:ascii="Avenir Next" w:hAnsi="Avenir Next"/>
          <w:color w:val="auto"/>
          <w:sz w:val="24"/>
        </w:rPr>
        <w:t xml:space="preserve">el consecuente </w:t>
      </w:r>
      <w:r w:rsidR="001906F4">
        <w:rPr>
          <w:rFonts w:ascii="Avenir Next" w:hAnsi="Avenir Next"/>
          <w:color w:val="auto"/>
          <w:sz w:val="24"/>
        </w:rPr>
        <w:t>crecimiento de los precios de no pocas materias primas y</w:t>
      </w:r>
      <w:r w:rsidR="000B4282">
        <w:rPr>
          <w:rFonts w:ascii="Avenir Next" w:hAnsi="Avenir Next"/>
          <w:color w:val="auto"/>
          <w:sz w:val="24"/>
        </w:rPr>
        <w:t>,</w:t>
      </w:r>
      <w:r w:rsidR="001906F4">
        <w:rPr>
          <w:rFonts w:ascii="Avenir Next" w:hAnsi="Avenir Next"/>
          <w:color w:val="auto"/>
          <w:sz w:val="24"/>
        </w:rPr>
        <w:t xml:space="preserve"> entre ellas</w:t>
      </w:r>
      <w:r w:rsidR="000B4282">
        <w:rPr>
          <w:rFonts w:ascii="Avenir Next" w:hAnsi="Avenir Next"/>
          <w:color w:val="auto"/>
          <w:sz w:val="24"/>
        </w:rPr>
        <w:t>,</w:t>
      </w:r>
      <w:r w:rsidR="001906F4">
        <w:rPr>
          <w:rFonts w:ascii="Avenir Next" w:hAnsi="Avenir Next"/>
          <w:color w:val="auto"/>
          <w:sz w:val="24"/>
        </w:rPr>
        <w:t xml:space="preserve"> de las energéticas.</w:t>
      </w:r>
      <w:r w:rsidR="00956AB1">
        <w:rPr>
          <w:rFonts w:ascii="Avenir Next" w:hAnsi="Avenir Next"/>
          <w:color w:val="auto"/>
          <w:sz w:val="24"/>
        </w:rPr>
        <w:t xml:space="preserve"> </w:t>
      </w:r>
      <w:r w:rsidR="001906F4">
        <w:rPr>
          <w:rFonts w:ascii="Avenir Next" w:hAnsi="Avenir Next"/>
          <w:color w:val="auto"/>
          <w:sz w:val="24"/>
        </w:rPr>
        <w:t xml:space="preserve">La escalada de precios, intensificada desde marzo por la </w:t>
      </w:r>
      <w:r w:rsidR="0056745F">
        <w:rPr>
          <w:rFonts w:ascii="Avenir Next" w:hAnsi="Avenir Next"/>
          <w:color w:val="auto"/>
          <w:sz w:val="24"/>
        </w:rPr>
        <w:t xml:space="preserve">invasión de Ucrania y la </w:t>
      </w:r>
      <w:r w:rsidR="001906F4">
        <w:rPr>
          <w:rFonts w:ascii="Avenir Next" w:hAnsi="Avenir Next"/>
          <w:color w:val="auto"/>
          <w:sz w:val="24"/>
        </w:rPr>
        <w:t>“guerra del gas”</w:t>
      </w:r>
      <w:r w:rsidR="0056745F">
        <w:rPr>
          <w:rFonts w:ascii="Avenir Next" w:hAnsi="Avenir Next"/>
          <w:color w:val="auto"/>
          <w:sz w:val="24"/>
        </w:rPr>
        <w:t xml:space="preserve"> con la que </w:t>
      </w:r>
      <w:r w:rsidR="001906F4">
        <w:rPr>
          <w:rFonts w:ascii="Avenir Next" w:hAnsi="Avenir Next"/>
          <w:color w:val="auto"/>
          <w:sz w:val="24"/>
        </w:rPr>
        <w:t>Moscú ha presionado a las economías europeas</w:t>
      </w:r>
      <w:r w:rsidR="00AD7F9E">
        <w:rPr>
          <w:rFonts w:ascii="Avenir Next" w:hAnsi="Avenir Next"/>
          <w:color w:val="auto"/>
          <w:sz w:val="24"/>
        </w:rPr>
        <w:t>,</w:t>
      </w:r>
      <w:r w:rsidR="001906F4">
        <w:rPr>
          <w:rFonts w:ascii="Avenir Next" w:hAnsi="Avenir Next"/>
          <w:color w:val="auto"/>
          <w:sz w:val="24"/>
        </w:rPr>
        <w:t xml:space="preserve"> ha afectado a las decisiones de consumo, inversión y producción</w:t>
      </w:r>
      <w:r w:rsidR="00587345">
        <w:rPr>
          <w:rFonts w:ascii="Avenir Next" w:hAnsi="Avenir Next"/>
          <w:color w:val="auto"/>
          <w:sz w:val="24"/>
        </w:rPr>
        <w:t xml:space="preserve"> de los europeos, españoles y andaluces</w:t>
      </w:r>
      <w:r w:rsidR="001906F4">
        <w:rPr>
          <w:rFonts w:ascii="Avenir Next" w:hAnsi="Avenir Next"/>
          <w:color w:val="auto"/>
          <w:sz w:val="24"/>
        </w:rPr>
        <w:t xml:space="preserve">. </w:t>
      </w:r>
      <w:r w:rsidR="00AD7F9E">
        <w:rPr>
          <w:rFonts w:ascii="Avenir Next" w:hAnsi="Avenir Next"/>
          <w:color w:val="auto"/>
          <w:sz w:val="24"/>
        </w:rPr>
        <w:t xml:space="preserve">El </w:t>
      </w:r>
      <w:r w:rsidR="00D01259">
        <w:rPr>
          <w:rFonts w:ascii="Avenir Next" w:hAnsi="Avenir Next"/>
          <w:color w:val="auto"/>
          <w:sz w:val="24"/>
        </w:rPr>
        <w:t>efecto</w:t>
      </w:r>
      <w:r w:rsidR="00AD7F9E">
        <w:rPr>
          <w:rFonts w:ascii="Avenir Next" w:hAnsi="Avenir Next"/>
          <w:color w:val="auto"/>
          <w:sz w:val="24"/>
        </w:rPr>
        <w:t xml:space="preserve"> directo más inmediato ha sido un recorte de la renta real disponible de los andaluces, </w:t>
      </w:r>
      <w:r w:rsidR="00956AB1">
        <w:rPr>
          <w:rFonts w:ascii="Avenir Next" w:hAnsi="Avenir Next"/>
          <w:color w:val="auto"/>
          <w:sz w:val="24"/>
        </w:rPr>
        <w:t xml:space="preserve">lo </w:t>
      </w:r>
      <w:r w:rsidR="00AD7F9E">
        <w:rPr>
          <w:rFonts w:ascii="Avenir Next" w:hAnsi="Avenir Next"/>
          <w:color w:val="auto"/>
          <w:sz w:val="24"/>
        </w:rPr>
        <w:t xml:space="preserve">que sin duda ha afectado negativamente a </w:t>
      </w:r>
      <w:r w:rsidR="00D51766">
        <w:rPr>
          <w:rFonts w:ascii="Avenir Next" w:hAnsi="Avenir Next"/>
          <w:color w:val="auto"/>
          <w:sz w:val="24"/>
        </w:rPr>
        <w:t xml:space="preserve">las </w:t>
      </w:r>
      <w:r w:rsidR="00AD7F9E">
        <w:rPr>
          <w:rFonts w:ascii="Avenir Next" w:hAnsi="Avenir Next"/>
          <w:color w:val="auto"/>
          <w:sz w:val="24"/>
        </w:rPr>
        <w:t xml:space="preserve">decisiones de consumo </w:t>
      </w:r>
      <w:r w:rsidR="00956AB1">
        <w:rPr>
          <w:rFonts w:ascii="Avenir Next" w:hAnsi="Avenir Next"/>
          <w:color w:val="auto"/>
          <w:sz w:val="24"/>
        </w:rPr>
        <w:t>e inversión</w:t>
      </w:r>
      <w:r w:rsidR="00AD7F9E">
        <w:rPr>
          <w:rFonts w:ascii="Avenir Next" w:hAnsi="Avenir Next"/>
          <w:color w:val="auto"/>
          <w:sz w:val="24"/>
        </w:rPr>
        <w:t>.</w:t>
      </w:r>
    </w:p>
    <w:p w14:paraId="2FAD5D0B" w14:textId="77777777" w:rsidR="00AD7F9E" w:rsidRDefault="00AD7F9E" w:rsidP="00AD7F9E">
      <w:pPr>
        <w:pStyle w:val="BodyA"/>
        <w:spacing w:before="100" w:after="100"/>
        <w:jc w:val="both"/>
        <w:rPr>
          <w:rFonts w:ascii="Avenir Next" w:hAnsi="Avenir Next"/>
          <w:color w:val="auto"/>
          <w:sz w:val="24"/>
        </w:rPr>
      </w:pPr>
      <w:r>
        <w:rPr>
          <w:rFonts w:ascii="Avenir Next" w:hAnsi="Avenir Next"/>
          <w:color w:val="auto"/>
          <w:sz w:val="24"/>
        </w:rPr>
        <w:t xml:space="preserve">Sin embargo, la suma </w:t>
      </w:r>
      <w:r w:rsidR="00FF412F">
        <w:rPr>
          <w:rFonts w:ascii="Avenir Next" w:hAnsi="Avenir Next"/>
          <w:color w:val="auto"/>
          <w:sz w:val="24"/>
        </w:rPr>
        <w:t xml:space="preserve">de los efectos en el crecimiento </w:t>
      </w:r>
      <w:r>
        <w:rPr>
          <w:rFonts w:ascii="Avenir Next" w:hAnsi="Avenir Next"/>
          <w:color w:val="auto"/>
          <w:sz w:val="24"/>
        </w:rPr>
        <w:t>de ambos grupos</w:t>
      </w:r>
      <w:r w:rsidR="00FF412F">
        <w:rPr>
          <w:rFonts w:ascii="Avenir Next" w:hAnsi="Avenir Next"/>
          <w:color w:val="auto"/>
          <w:sz w:val="24"/>
        </w:rPr>
        <w:t xml:space="preserve"> de factores </w:t>
      </w:r>
      <w:r>
        <w:rPr>
          <w:rFonts w:ascii="Avenir Next" w:hAnsi="Avenir Next"/>
          <w:color w:val="auto"/>
          <w:sz w:val="24"/>
        </w:rPr>
        <w:t xml:space="preserve">ha sido claramente positivo. </w:t>
      </w:r>
      <w:r w:rsidR="00D01259">
        <w:rPr>
          <w:rFonts w:ascii="Avenir Next" w:hAnsi="Avenir Next"/>
          <w:color w:val="auto"/>
          <w:sz w:val="24"/>
        </w:rPr>
        <w:t xml:space="preserve">Durante el segundo trimestre ha tenido, así, mayor impulso los elementos mencionados que han sumado crecimiento frente a </w:t>
      </w:r>
      <w:r w:rsidR="007F3DF1">
        <w:rPr>
          <w:rFonts w:ascii="Avenir Next" w:hAnsi="Avenir Next"/>
          <w:color w:val="auto"/>
          <w:sz w:val="24"/>
        </w:rPr>
        <w:t xml:space="preserve">aquellos que </w:t>
      </w:r>
      <w:r w:rsidR="00D01259">
        <w:rPr>
          <w:rFonts w:ascii="Avenir Next" w:hAnsi="Avenir Next"/>
          <w:color w:val="auto"/>
          <w:sz w:val="24"/>
        </w:rPr>
        <w:t xml:space="preserve">lo han restado. </w:t>
      </w:r>
    </w:p>
    <w:p w14:paraId="28D74757" w14:textId="77777777" w:rsidR="00C64C28" w:rsidRDefault="00C64C28" w:rsidP="00E46BAE">
      <w:pPr>
        <w:pStyle w:val="BodyA"/>
        <w:spacing w:before="100" w:after="100"/>
        <w:jc w:val="both"/>
        <w:rPr>
          <w:rFonts w:ascii="Avenir Next" w:hAnsi="Avenir Next"/>
          <w:color w:val="auto"/>
          <w:sz w:val="24"/>
        </w:rPr>
      </w:pPr>
    </w:p>
    <w:p w14:paraId="65D88E00" w14:textId="77777777" w:rsidR="00C64C28" w:rsidRPr="003C3F36" w:rsidRDefault="00C64C28" w:rsidP="00E46BAE">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3FCC7516" w14:textId="277B0A5B" w:rsidR="0089638B" w:rsidRDefault="000B4282" w:rsidP="00E46BAE">
      <w:pPr>
        <w:pStyle w:val="BodyA"/>
        <w:spacing w:before="100" w:after="100"/>
        <w:jc w:val="both"/>
        <w:rPr>
          <w:rFonts w:ascii="Avenir Next" w:hAnsi="Avenir Next"/>
          <w:color w:val="auto"/>
          <w:sz w:val="24"/>
        </w:rPr>
      </w:pPr>
      <w:r>
        <w:rPr>
          <w:rFonts w:ascii="Avenir Next" w:hAnsi="Avenir Next"/>
          <w:color w:val="auto"/>
          <w:sz w:val="24"/>
        </w:rPr>
        <w:t xml:space="preserve">Entre </w:t>
      </w:r>
      <w:r w:rsidR="00E65368">
        <w:rPr>
          <w:rFonts w:ascii="Avenir Next" w:hAnsi="Avenir Next"/>
          <w:color w:val="auto"/>
          <w:sz w:val="24"/>
        </w:rPr>
        <w:t xml:space="preserve">los </w:t>
      </w:r>
      <w:r>
        <w:rPr>
          <w:rFonts w:ascii="Avenir Next" w:hAnsi="Avenir Next"/>
          <w:color w:val="auto"/>
          <w:sz w:val="24"/>
        </w:rPr>
        <w:t>factores</w:t>
      </w:r>
      <w:r w:rsidR="00E65368">
        <w:rPr>
          <w:rFonts w:ascii="Avenir Next" w:hAnsi="Avenir Next"/>
          <w:color w:val="auto"/>
          <w:sz w:val="24"/>
        </w:rPr>
        <w:t xml:space="preserve"> negativos</w:t>
      </w:r>
      <w:r>
        <w:rPr>
          <w:rFonts w:ascii="Avenir Next" w:hAnsi="Avenir Next"/>
          <w:color w:val="auto"/>
          <w:sz w:val="24"/>
        </w:rPr>
        <w:t xml:space="preserve"> que más han podido influir en la evolución de la economía andaluza en e</w:t>
      </w:r>
      <w:r w:rsidR="00956AB1">
        <w:rPr>
          <w:rFonts w:ascii="Avenir Next" w:hAnsi="Avenir Next"/>
          <w:color w:val="auto"/>
          <w:sz w:val="24"/>
        </w:rPr>
        <w:t>l</w:t>
      </w:r>
      <w:r>
        <w:rPr>
          <w:rFonts w:ascii="Avenir Next" w:hAnsi="Avenir Next"/>
          <w:color w:val="auto"/>
          <w:sz w:val="24"/>
        </w:rPr>
        <w:t xml:space="preserve"> segundo trimestre </w:t>
      </w:r>
      <w:r w:rsidR="00E61653">
        <w:rPr>
          <w:rFonts w:ascii="Avenir Next" w:hAnsi="Avenir Next"/>
          <w:color w:val="auto"/>
          <w:sz w:val="24"/>
        </w:rPr>
        <w:t>se encuentra</w:t>
      </w:r>
      <w:r>
        <w:rPr>
          <w:rFonts w:ascii="Avenir Next" w:hAnsi="Avenir Next"/>
          <w:color w:val="auto"/>
          <w:sz w:val="24"/>
        </w:rPr>
        <w:t xml:space="preserve"> la inflación. </w:t>
      </w:r>
      <w:r w:rsidR="00AD7F9E">
        <w:rPr>
          <w:rFonts w:ascii="Avenir Next" w:hAnsi="Avenir Next"/>
          <w:color w:val="auto"/>
          <w:sz w:val="24"/>
        </w:rPr>
        <w:t>Debemos recordar que buena parte de</w:t>
      </w:r>
      <w:r w:rsidR="00E61653">
        <w:rPr>
          <w:rFonts w:ascii="Avenir Next" w:hAnsi="Avenir Next"/>
          <w:color w:val="auto"/>
          <w:sz w:val="24"/>
        </w:rPr>
        <w:t xml:space="preserve">l </w:t>
      </w:r>
      <w:r w:rsidR="00AD7F9E">
        <w:rPr>
          <w:rFonts w:ascii="Avenir Next" w:hAnsi="Avenir Next"/>
          <w:color w:val="auto"/>
          <w:sz w:val="24"/>
        </w:rPr>
        <w:t>aumento en los precios</w:t>
      </w:r>
      <w:r>
        <w:rPr>
          <w:rFonts w:ascii="Avenir Next" w:hAnsi="Avenir Next"/>
          <w:color w:val="auto"/>
          <w:sz w:val="24"/>
        </w:rPr>
        <w:t xml:space="preserve">, tanto en Europa como </w:t>
      </w:r>
      <w:r w:rsidR="00700A2D">
        <w:rPr>
          <w:rFonts w:ascii="Avenir Next" w:hAnsi="Avenir Next"/>
          <w:color w:val="auto"/>
          <w:sz w:val="24"/>
        </w:rPr>
        <w:t xml:space="preserve">en </w:t>
      </w:r>
      <w:r>
        <w:rPr>
          <w:rFonts w:ascii="Avenir Next" w:hAnsi="Avenir Next"/>
          <w:color w:val="auto"/>
          <w:sz w:val="24"/>
        </w:rPr>
        <w:t>España y Andalucía,</w:t>
      </w:r>
      <w:r w:rsidR="00AD7F9E">
        <w:rPr>
          <w:rFonts w:ascii="Avenir Next" w:hAnsi="Avenir Next"/>
          <w:color w:val="auto"/>
          <w:sz w:val="24"/>
        </w:rPr>
        <w:t xml:space="preserve"> viene motivad</w:t>
      </w:r>
      <w:r>
        <w:rPr>
          <w:rFonts w:ascii="Avenir Next" w:hAnsi="Avenir Next"/>
          <w:color w:val="auto"/>
          <w:sz w:val="24"/>
        </w:rPr>
        <w:t>o</w:t>
      </w:r>
      <w:r w:rsidR="00AD7F9E">
        <w:rPr>
          <w:rFonts w:ascii="Avenir Next" w:hAnsi="Avenir Next"/>
          <w:color w:val="auto"/>
          <w:sz w:val="24"/>
        </w:rPr>
        <w:t xml:space="preserve"> por razones de oferta</w:t>
      </w:r>
      <w:r>
        <w:rPr>
          <w:rFonts w:ascii="Avenir Next" w:hAnsi="Avenir Next"/>
          <w:color w:val="auto"/>
          <w:sz w:val="24"/>
        </w:rPr>
        <w:t xml:space="preserve"> (sin que podamos descartar factores de demanda</w:t>
      </w:r>
      <w:r w:rsidR="00700A2D">
        <w:rPr>
          <w:rFonts w:ascii="Avenir Next" w:hAnsi="Avenir Next"/>
          <w:color w:val="auto"/>
          <w:sz w:val="24"/>
        </w:rPr>
        <w:t>,</w:t>
      </w:r>
      <w:r>
        <w:rPr>
          <w:rFonts w:ascii="Avenir Next" w:hAnsi="Avenir Next"/>
          <w:color w:val="auto"/>
          <w:sz w:val="24"/>
        </w:rPr>
        <w:t xml:space="preserve"> en </w:t>
      </w:r>
      <w:r w:rsidR="00700A2D">
        <w:rPr>
          <w:rFonts w:ascii="Avenir Next" w:hAnsi="Avenir Next"/>
          <w:color w:val="auto"/>
          <w:sz w:val="24"/>
        </w:rPr>
        <w:t xml:space="preserve">particular </w:t>
      </w:r>
      <w:r w:rsidR="00947577">
        <w:rPr>
          <w:rFonts w:ascii="Avenir Next" w:hAnsi="Avenir Next"/>
          <w:color w:val="auto"/>
          <w:sz w:val="24"/>
        </w:rPr>
        <w:t>desde la primavera)</w:t>
      </w:r>
      <w:r w:rsidR="00AD7F9E">
        <w:rPr>
          <w:rFonts w:ascii="Avenir Next" w:hAnsi="Avenir Next"/>
          <w:color w:val="auto"/>
          <w:sz w:val="24"/>
        </w:rPr>
        <w:t xml:space="preserve">, </w:t>
      </w:r>
      <w:r w:rsidR="00DE76A1">
        <w:rPr>
          <w:rFonts w:ascii="Avenir Next" w:hAnsi="Avenir Next"/>
          <w:color w:val="auto"/>
          <w:sz w:val="24"/>
        </w:rPr>
        <w:t>particularmente energétic</w:t>
      </w:r>
      <w:r w:rsidR="00011B3B">
        <w:rPr>
          <w:rFonts w:ascii="Avenir Next" w:hAnsi="Avenir Next"/>
          <w:color w:val="auto"/>
          <w:sz w:val="24"/>
        </w:rPr>
        <w:t>as</w:t>
      </w:r>
      <w:r w:rsidR="00DE76A1">
        <w:rPr>
          <w:rFonts w:ascii="Avenir Next" w:hAnsi="Avenir Next"/>
          <w:color w:val="auto"/>
          <w:sz w:val="24"/>
        </w:rPr>
        <w:t xml:space="preserve"> y magnificado por </w:t>
      </w:r>
      <w:r w:rsidR="00947577">
        <w:rPr>
          <w:rFonts w:ascii="Avenir Next" w:hAnsi="Avenir Next"/>
          <w:color w:val="auto"/>
          <w:sz w:val="24"/>
        </w:rPr>
        <w:t>la escasa</w:t>
      </w:r>
      <w:r w:rsidR="00AD7F9E">
        <w:rPr>
          <w:rFonts w:ascii="Avenir Next" w:hAnsi="Avenir Next"/>
          <w:color w:val="auto"/>
          <w:sz w:val="24"/>
        </w:rPr>
        <w:t xml:space="preserve"> capacidad de sustituir fuentes para generar electricidad </w:t>
      </w:r>
      <w:r w:rsidR="00947577">
        <w:rPr>
          <w:rFonts w:ascii="Avenir Next" w:hAnsi="Avenir Next"/>
          <w:color w:val="auto"/>
          <w:sz w:val="24"/>
        </w:rPr>
        <w:t>en el corto plazo</w:t>
      </w:r>
      <w:r w:rsidR="00AD7F9E">
        <w:rPr>
          <w:rFonts w:ascii="Avenir Next" w:hAnsi="Avenir Next"/>
          <w:color w:val="auto"/>
          <w:sz w:val="24"/>
        </w:rPr>
        <w:t xml:space="preserve">. Además, la “guerra del gas” desatada por Rusia </w:t>
      </w:r>
      <w:r w:rsidR="00011B3B">
        <w:rPr>
          <w:rFonts w:ascii="Avenir Next" w:hAnsi="Avenir Next"/>
          <w:color w:val="auto"/>
          <w:sz w:val="24"/>
        </w:rPr>
        <w:t>frente</w:t>
      </w:r>
      <w:r w:rsidR="00D51766">
        <w:rPr>
          <w:rFonts w:ascii="Avenir Next" w:hAnsi="Avenir Next"/>
          <w:color w:val="auto"/>
          <w:sz w:val="24"/>
        </w:rPr>
        <w:t xml:space="preserve"> </w:t>
      </w:r>
      <w:r w:rsidR="00011B3B">
        <w:rPr>
          <w:rFonts w:ascii="Avenir Next" w:hAnsi="Avenir Next"/>
          <w:color w:val="auto"/>
          <w:sz w:val="24"/>
        </w:rPr>
        <w:t>al</w:t>
      </w:r>
      <w:r w:rsidR="00AD7F9E">
        <w:rPr>
          <w:rFonts w:ascii="Avenir Next" w:hAnsi="Avenir Next"/>
          <w:color w:val="auto"/>
          <w:sz w:val="24"/>
        </w:rPr>
        <w:t xml:space="preserve"> apoyo europeo a Ucrania no ha hecho más que tensar los precios de este producto, alcanzando</w:t>
      </w:r>
      <w:r w:rsidR="00D51766">
        <w:rPr>
          <w:rFonts w:ascii="Avenir Next" w:hAnsi="Avenir Next"/>
          <w:color w:val="auto"/>
          <w:sz w:val="24"/>
        </w:rPr>
        <w:t xml:space="preserve"> </w:t>
      </w:r>
      <w:r w:rsidR="00AD7F9E">
        <w:rPr>
          <w:rFonts w:ascii="Avenir Next" w:hAnsi="Avenir Next"/>
          <w:color w:val="auto"/>
          <w:sz w:val="24"/>
        </w:rPr>
        <w:t xml:space="preserve">niveles récord al final de agosto. </w:t>
      </w:r>
    </w:p>
    <w:p w14:paraId="21B493BA" w14:textId="6D046D01" w:rsidR="00C64C28" w:rsidRDefault="00956AB1" w:rsidP="00E46BAE">
      <w:pPr>
        <w:pStyle w:val="BodyA"/>
        <w:spacing w:before="100" w:after="100"/>
        <w:jc w:val="both"/>
        <w:rPr>
          <w:rFonts w:ascii="Avenir Next" w:hAnsi="Avenir Next"/>
          <w:color w:val="auto"/>
          <w:sz w:val="24"/>
        </w:rPr>
      </w:pPr>
      <w:r>
        <w:rPr>
          <w:rFonts w:ascii="Avenir Next" w:hAnsi="Avenir Next"/>
          <w:color w:val="auto"/>
          <w:sz w:val="24"/>
        </w:rPr>
        <w:t>T</w:t>
      </w:r>
      <w:r w:rsidR="00AD7F9E">
        <w:rPr>
          <w:rFonts w:ascii="Avenir Next" w:hAnsi="Avenir Next"/>
          <w:color w:val="auto"/>
          <w:sz w:val="24"/>
        </w:rPr>
        <w:t>anto el Banco Central Europeo (BCE) como otras muchas instituciones, han alertado que este episodio de inflación será más largo de lo esperado inicialmente</w:t>
      </w:r>
      <w:r w:rsidR="00EA5C07">
        <w:rPr>
          <w:rFonts w:ascii="Avenir Next" w:hAnsi="Avenir Next"/>
          <w:color w:val="auto"/>
          <w:sz w:val="24"/>
        </w:rPr>
        <w:t xml:space="preserve">, por lo que </w:t>
      </w:r>
      <w:r w:rsidR="00947577">
        <w:rPr>
          <w:rFonts w:ascii="Avenir Next" w:hAnsi="Avenir Next"/>
          <w:color w:val="auto"/>
          <w:sz w:val="24"/>
        </w:rPr>
        <w:t xml:space="preserve">será necesaria la subida de tipos para hacer volver a los precios a niveles </w:t>
      </w:r>
      <w:r w:rsidR="0089638B">
        <w:rPr>
          <w:rFonts w:ascii="Avenir Next" w:hAnsi="Avenir Next"/>
          <w:color w:val="auto"/>
          <w:sz w:val="24"/>
        </w:rPr>
        <w:t xml:space="preserve">coherentes con los </w:t>
      </w:r>
      <w:r w:rsidR="00947577">
        <w:rPr>
          <w:rFonts w:ascii="Avenir Next" w:hAnsi="Avenir Next"/>
          <w:color w:val="auto"/>
          <w:sz w:val="24"/>
        </w:rPr>
        <w:t xml:space="preserve">objetivos </w:t>
      </w:r>
      <w:r w:rsidR="00700A2D">
        <w:rPr>
          <w:rFonts w:ascii="Avenir Next" w:hAnsi="Avenir Next"/>
          <w:color w:val="auto"/>
          <w:sz w:val="24"/>
        </w:rPr>
        <w:t xml:space="preserve">de inflación </w:t>
      </w:r>
      <w:r w:rsidR="00947577">
        <w:rPr>
          <w:rFonts w:ascii="Avenir Next" w:hAnsi="Avenir Next"/>
          <w:color w:val="auto"/>
          <w:sz w:val="24"/>
        </w:rPr>
        <w:t>del 2 %.</w:t>
      </w:r>
    </w:p>
    <w:p w14:paraId="27940C08" w14:textId="710D03E6" w:rsidR="004B68DD" w:rsidRDefault="00EA5C07" w:rsidP="00E46BAE">
      <w:pPr>
        <w:pStyle w:val="BodyA"/>
        <w:spacing w:before="100" w:after="100"/>
        <w:jc w:val="both"/>
        <w:rPr>
          <w:rFonts w:ascii="Avenir Next" w:hAnsi="Avenir Next"/>
          <w:color w:val="auto"/>
          <w:sz w:val="24"/>
        </w:rPr>
      </w:pPr>
      <w:r>
        <w:rPr>
          <w:rFonts w:ascii="Avenir Next" w:hAnsi="Avenir Next"/>
          <w:color w:val="auto"/>
          <w:sz w:val="24"/>
        </w:rPr>
        <w:t>E</w:t>
      </w:r>
      <w:r w:rsidR="008252F7">
        <w:rPr>
          <w:rFonts w:ascii="Avenir Next" w:hAnsi="Avenir Next"/>
          <w:color w:val="auto"/>
          <w:sz w:val="24"/>
        </w:rPr>
        <w:t xml:space="preserve">n </w:t>
      </w:r>
      <w:r>
        <w:rPr>
          <w:rFonts w:ascii="Avenir Next" w:hAnsi="Avenir Next"/>
          <w:color w:val="auto"/>
          <w:sz w:val="24"/>
        </w:rPr>
        <w:t xml:space="preserve">el mes de </w:t>
      </w:r>
      <w:r w:rsidR="008252F7">
        <w:rPr>
          <w:rFonts w:ascii="Avenir Next" w:hAnsi="Avenir Next"/>
          <w:color w:val="auto"/>
          <w:sz w:val="24"/>
        </w:rPr>
        <w:t xml:space="preserve">junio la inflación en Andalucía </w:t>
      </w:r>
      <w:r>
        <w:rPr>
          <w:rFonts w:ascii="Avenir Next" w:hAnsi="Avenir Next"/>
          <w:color w:val="auto"/>
          <w:sz w:val="24"/>
        </w:rPr>
        <w:t>se elevó a</w:t>
      </w:r>
      <w:r w:rsidR="008252F7">
        <w:rPr>
          <w:rFonts w:ascii="Avenir Next" w:hAnsi="Avenir Next"/>
          <w:color w:val="auto"/>
          <w:sz w:val="24"/>
        </w:rPr>
        <w:t xml:space="preserve">l 10,5 %, </w:t>
      </w:r>
      <w:r w:rsidR="00911C6A">
        <w:rPr>
          <w:rFonts w:ascii="Avenir Next" w:hAnsi="Avenir Next"/>
          <w:color w:val="auto"/>
          <w:sz w:val="24"/>
        </w:rPr>
        <w:t xml:space="preserve">cifra </w:t>
      </w:r>
      <w:r w:rsidR="008252F7">
        <w:rPr>
          <w:rFonts w:ascii="Avenir Next" w:hAnsi="Avenir Next"/>
          <w:color w:val="auto"/>
          <w:sz w:val="24"/>
        </w:rPr>
        <w:t>superior en tres décimas a la media española y batiendo todos los récords en décadas</w:t>
      </w:r>
      <w:r>
        <w:rPr>
          <w:rFonts w:ascii="Avenir Next" w:hAnsi="Avenir Next"/>
          <w:color w:val="auto"/>
          <w:sz w:val="24"/>
        </w:rPr>
        <w:t>,</w:t>
      </w:r>
      <w:r w:rsidR="008252F7">
        <w:rPr>
          <w:rFonts w:ascii="Avenir Next" w:hAnsi="Avenir Next"/>
          <w:color w:val="auto"/>
          <w:sz w:val="24"/>
        </w:rPr>
        <w:t xml:space="preserve"> aunque sería nuevamente superada en julio </w:t>
      </w:r>
      <w:r w:rsidR="00911C6A">
        <w:rPr>
          <w:rFonts w:ascii="Avenir Next" w:hAnsi="Avenir Next"/>
          <w:color w:val="auto"/>
          <w:sz w:val="24"/>
        </w:rPr>
        <w:t>alcanzando</w:t>
      </w:r>
      <w:r w:rsidR="008252F7">
        <w:rPr>
          <w:rFonts w:ascii="Avenir Next" w:hAnsi="Avenir Next"/>
          <w:color w:val="auto"/>
          <w:sz w:val="24"/>
        </w:rPr>
        <w:t xml:space="preserve"> el 11,2 %-. </w:t>
      </w:r>
      <w:r w:rsidR="004B68DD">
        <w:rPr>
          <w:rFonts w:ascii="Avenir Next" w:hAnsi="Avenir Next"/>
          <w:color w:val="auto"/>
          <w:sz w:val="24"/>
        </w:rPr>
        <w:t xml:space="preserve">Esta cifra es, a su vez, superior en casi tres puntos porcentuales a la media europea. Si bien la diferencia con España puede responder a meros ajustes derivados por la composición de la cesta de la compra, respecto a Europa podría </w:t>
      </w:r>
      <w:r w:rsidR="00700A2D">
        <w:rPr>
          <w:rFonts w:ascii="Avenir Next" w:hAnsi="Avenir Next"/>
          <w:color w:val="auto"/>
          <w:sz w:val="24"/>
        </w:rPr>
        <w:t>asociarse</w:t>
      </w:r>
      <w:r w:rsidR="004B68DD">
        <w:rPr>
          <w:rFonts w:ascii="Avenir Next" w:hAnsi="Avenir Next"/>
          <w:color w:val="auto"/>
          <w:sz w:val="24"/>
        </w:rPr>
        <w:t>, principalmente</w:t>
      </w:r>
      <w:r w:rsidR="00700A2D">
        <w:rPr>
          <w:rFonts w:ascii="Avenir Next" w:hAnsi="Avenir Next"/>
          <w:color w:val="auto"/>
          <w:sz w:val="24"/>
        </w:rPr>
        <w:t>,</w:t>
      </w:r>
      <w:r w:rsidR="004B68DD">
        <w:rPr>
          <w:rFonts w:ascii="Avenir Next" w:hAnsi="Avenir Next"/>
          <w:color w:val="auto"/>
          <w:sz w:val="24"/>
        </w:rPr>
        <w:t xml:space="preserve"> a elementos tanto “contables”, como son las diferencias en la medición de los precios pagados en la electricidad, así </w:t>
      </w:r>
      <w:r w:rsidR="004B68DD">
        <w:rPr>
          <w:rFonts w:ascii="Avenir Next" w:hAnsi="Avenir Next"/>
          <w:color w:val="auto"/>
          <w:sz w:val="24"/>
        </w:rPr>
        <w:lastRenderedPageBreak/>
        <w:t xml:space="preserve">como a una menor capacidad de los mercados, por una relativa falta de competencia en España y Andalucía para contener los precios. </w:t>
      </w:r>
    </w:p>
    <w:p w14:paraId="759E50FD" w14:textId="2201B2F0" w:rsidR="001E0770" w:rsidRDefault="004B68DD" w:rsidP="00E46BAE">
      <w:pPr>
        <w:pStyle w:val="BodyA"/>
        <w:spacing w:before="100" w:after="100"/>
        <w:jc w:val="both"/>
        <w:rPr>
          <w:rFonts w:ascii="Avenir Next" w:hAnsi="Avenir Next"/>
          <w:color w:val="auto"/>
          <w:sz w:val="24"/>
        </w:rPr>
      </w:pPr>
      <w:r>
        <w:rPr>
          <w:rFonts w:ascii="Avenir Next" w:hAnsi="Avenir Next"/>
          <w:color w:val="auto"/>
          <w:sz w:val="24"/>
        </w:rPr>
        <w:t xml:space="preserve">Sin embargo, esta escalada de precios no ha sido, de momento, replicada por los salarios. Hasta el mes de </w:t>
      </w:r>
      <w:r w:rsidR="00183FC5">
        <w:rPr>
          <w:rFonts w:ascii="Avenir Next" w:hAnsi="Avenir Next"/>
          <w:color w:val="auto"/>
          <w:sz w:val="24"/>
        </w:rPr>
        <w:t>junio, el aumento salarial incluido en los convenios colectivos registrados superaba escasamente una media del 2,5 %. Este hecho refleja dos cuestiones relevantes. La primera de ellas, que tanto en España como en Andalucía no se ha</w:t>
      </w:r>
      <w:r w:rsidR="00E278C2">
        <w:rPr>
          <w:rFonts w:ascii="Avenir Next" w:hAnsi="Avenir Next"/>
          <w:color w:val="auto"/>
          <w:sz w:val="24"/>
        </w:rPr>
        <w:t xml:space="preserve"> </w:t>
      </w:r>
      <w:r w:rsidR="00183FC5">
        <w:rPr>
          <w:rFonts w:ascii="Avenir Next" w:hAnsi="Avenir Next"/>
          <w:color w:val="auto"/>
          <w:sz w:val="24"/>
        </w:rPr>
        <w:t xml:space="preserve">iniciado </w:t>
      </w:r>
      <w:r w:rsidR="008A4841">
        <w:rPr>
          <w:rFonts w:ascii="Avenir Next" w:hAnsi="Avenir Next"/>
          <w:color w:val="auto"/>
          <w:sz w:val="24"/>
        </w:rPr>
        <w:t>aún</w:t>
      </w:r>
      <w:r w:rsidR="00183FC5">
        <w:rPr>
          <w:rFonts w:ascii="Avenir Next" w:hAnsi="Avenir Next"/>
          <w:color w:val="auto"/>
          <w:sz w:val="24"/>
        </w:rPr>
        <w:t xml:space="preserve"> una escalada de precios promovida por una espiral inflacionaria y, segundo, que la caída de la renta real disponible para las familias andaluzas ha sido muy significativa y que, por ello, las consecuencias serán más que evidentes en el consumo futuro.</w:t>
      </w:r>
    </w:p>
    <w:p w14:paraId="5596020E" w14:textId="77777777" w:rsidR="00457859" w:rsidRPr="00C075E0" w:rsidRDefault="00457859" w:rsidP="00E46BAE">
      <w:pPr>
        <w:pStyle w:val="BodyA"/>
        <w:spacing w:before="100" w:after="100"/>
        <w:jc w:val="both"/>
        <w:rPr>
          <w:rFonts w:ascii="Avenir Next" w:hAnsi="Avenir Next"/>
          <w:color w:val="auto"/>
          <w:sz w:val="24"/>
        </w:rPr>
      </w:pPr>
    </w:p>
    <w:p w14:paraId="76D9AE92"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180B0EED" w14:textId="5959256E" w:rsidR="004A7E08" w:rsidRDefault="009A6352" w:rsidP="00E46BAE">
      <w:pPr>
        <w:pStyle w:val="BodyA"/>
        <w:spacing w:before="100" w:after="100"/>
        <w:jc w:val="both"/>
        <w:rPr>
          <w:rFonts w:ascii="Avenir Next" w:hAnsi="Avenir Next"/>
          <w:color w:val="auto"/>
          <w:sz w:val="24"/>
        </w:rPr>
      </w:pPr>
      <w:r>
        <w:rPr>
          <w:rFonts w:ascii="Avenir Next" w:hAnsi="Avenir Next"/>
          <w:color w:val="auto"/>
          <w:sz w:val="24"/>
        </w:rPr>
        <w:t>Durante el segundo trimestre de 2022</w:t>
      </w:r>
      <w:r w:rsidR="00E22D07">
        <w:rPr>
          <w:rFonts w:ascii="Avenir Next" w:hAnsi="Avenir Next"/>
          <w:color w:val="auto"/>
          <w:sz w:val="24"/>
        </w:rPr>
        <w:t>,</w:t>
      </w:r>
      <w:r>
        <w:rPr>
          <w:rFonts w:ascii="Avenir Next" w:hAnsi="Avenir Next"/>
          <w:color w:val="auto"/>
          <w:sz w:val="24"/>
        </w:rPr>
        <w:t xml:space="preserve"> el mercado de trabajo en Andalucía experimentó un comportamiento positivo</w:t>
      </w:r>
      <w:r w:rsidR="00E22D07">
        <w:rPr>
          <w:rFonts w:ascii="Avenir Next" w:hAnsi="Avenir Next"/>
          <w:color w:val="auto"/>
          <w:sz w:val="24"/>
        </w:rPr>
        <w:t>.</w:t>
      </w:r>
      <w:r>
        <w:rPr>
          <w:rFonts w:ascii="Avenir Next" w:hAnsi="Avenir Next"/>
          <w:color w:val="auto"/>
          <w:sz w:val="24"/>
        </w:rPr>
        <w:t xml:space="preserve"> E</w:t>
      </w:r>
      <w:r w:rsidR="003027FD">
        <w:rPr>
          <w:rFonts w:ascii="Avenir Next" w:hAnsi="Avenir Next"/>
          <w:color w:val="auto"/>
          <w:sz w:val="24"/>
        </w:rPr>
        <w:t xml:space="preserve">l número de desempleados </w:t>
      </w:r>
      <w:r w:rsidR="00E22D07">
        <w:rPr>
          <w:rFonts w:ascii="Avenir Next" w:hAnsi="Avenir Next"/>
          <w:color w:val="auto"/>
          <w:sz w:val="24"/>
        </w:rPr>
        <w:t>estimado por</w:t>
      </w:r>
      <w:r w:rsidR="003027FD">
        <w:rPr>
          <w:rFonts w:ascii="Avenir Next" w:hAnsi="Avenir Next"/>
          <w:color w:val="auto"/>
          <w:sz w:val="24"/>
        </w:rPr>
        <w:t xml:space="preserve"> la Encuesta de Población Activa (EPA) se redujo en 22.600 personas respecto al primer trimestre de 2022 y en 114.900 respecto al mismo trimestre de 2021. Esto supone una reducción del 14,2 %, cifra muy positiva, aunque inferior a la española, </w:t>
      </w:r>
      <w:r w:rsidR="001714D1">
        <w:rPr>
          <w:rFonts w:ascii="Avenir Next" w:hAnsi="Avenir Next"/>
          <w:color w:val="auto"/>
          <w:sz w:val="24"/>
        </w:rPr>
        <w:t>cuya reducción en términos interanuales superó el</w:t>
      </w:r>
      <w:r w:rsidR="003027FD">
        <w:rPr>
          <w:rFonts w:ascii="Avenir Next" w:hAnsi="Avenir Next"/>
          <w:color w:val="auto"/>
          <w:sz w:val="24"/>
        </w:rPr>
        <w:t xml:space="preserve"> 19 %.</w:t>
      </w:r>
      <w:r w:rsidR="00AD4122">
        <w:rPr>
          <w:rFonts w:ascii="Avenir Next" w:hAnsi="Avenir Next"/>
          <w:color w:val="auto"/>
          <w:sz w:val="24"/>
        </w:rPr>
        <w:t xml:space="preserve"> </w:t>
      </w:r>
      <w:r w:rsidR="00F023FE">
        <w:rPr>
          <w:rFonts w:ascii="Avenir Next" w:hAnsi="Avenir Next"/>
          <w:color w:val="auto"/>
          <w:sz w:val="24"/>
        </w:rPr>
        <w:t>L</w:t>
      </w:r>
      <w:r w:rsidR="00C976EB">
        <w:rPr>
          <w:rFonts w:ascii="Avenir Next" w:hAnsi="Avenir Next"/>
          <w:color w:val="auto"/>
          <w:sz w:val="24"/>
        </w:rPr>
        <w:t xml:space="preserve">a </w:t>
      </w:r>
      <w:r w:rsidR="003027FD">
        <w:rPr>
          <w:rFonts w:ascii="Avenir Next" w:hAnsi="Avenir Next"/>
          <w:color w:val="auto"/>
          <w:sz w:val="24"/>
        </w:rPr>
        <w:t xml:space="preserve">ocupación aumentó en 60.700 </w:t>
      </w:r>
      <w:r w:rsidR="00F023FE">
        <w:rPr>
          <w:rFonts w:ascii="Avenir Next" w:hAnsi="Avenir Next"/>
          <w:color w:val="auto"/>
          <w:sz w:val="24"/>
        </w:rPr>
        <w:t xml:space="preserve">personas </w:t>
      </w:r>
      <w:r w:rsidR="00C976EB">
        <w:rPr>
          <w:rFonts w:ascii="Avenir Next" w:hAnsi="Avenir Next"/>
          <w:color w:val="auto"/>
          <w:sz w:val="24"/>
        </w:rPr>
        <w:t>durante este trimestre y</w:t>
      </w:r>
      <w:r w:rsidR="003027FD">
        <w:rPr>
          <w:rFonts w:ascii="Avenir Next" w:hAnsi="Avenir Next"/>
          <w:color w:val="auto"/>
          <w:sz w:val="24"/>
        </w:rPr>
        <w:t xml:space="preserve"> en 123.800 </w:t>
      </w:r>
      <w:r w:rsidR="006F322C">
        <w:rPr>
          <w:rFonts w:ascii="Avenir Next" w:hAnsi="Avenir Next"/>
          <w:color w:val="auto"/>
          <w:sz w:val="24"/>
        </w:rPr>
        <w:t>en</w:t>
      </w:r>
      <w:r w:rsidR="003027FD">
        <w:rPr>
          <w:rFonts w:ascii="Avenir Next" w:hAnsi="Avenir Next"/>
          <w:color w:val="auto"/>
          <w:sz w:val="24"/>
        </w:rPr>
        <w:t xml:space="preserve"> el último año. De nuevo, esta cifra </w:t>
      </w:r>
      <w:r w:rsidR="006F322C">
        <w:rPr>
          <w:rFonts w:ascii="Avenir Next" w:hAnsi="Avenir Next"/>
          <w:color w:val="auto"/>
          <w:sz w:val="24"/>
        </w:rPr>
        <w:t>es una clara derivada del</w:t>
      </w:r>
      <w:r w:rsidR="003027FD">
        <w:rPr>
          <w:rFonts w:ascii="Avenir Next" w:hAnsi="Avenir Next"/>
          <w:color w:val="auto"/>
          <w:sz w:val="24"/>
        </w:rPr>
        <w:t xml:space="preserve"> buen comportamiento</w:t>
      </w:r>
      <w:r w:rsidR="00425FE4">
        <w:rPr>
          <w:rFonts w:ascii="Avenir Next" w:hAnsi="Avenir Next"/>
          <w:color w:val="auto"/>
          <w:sz w:val="24"/>
        </w:rPr>
        <w:t xml:space="preserve"> antes mencionado de la economía </w:t>
      </w:r>
      <w:r w:rsidR="00AE41E6">
        <w:rPr>
          <w:rFonts w:ascii="Avenir Next" w:hAnsi="Avenir Next"/>
          <w:color w:val="auto"/>
          <w:sz w:val="24"/>
        </w:rPr>
        <w:t>andaluza,</w:t>
      </w:r>
      <w:r w:rsidR="003027FD">
        <w:rPr>
          <w:rFonts w:ascii="Avenir Next" w:hAnsi="Avenir Next"/>
          <w:color w:val="auto"/>
          <w:sz w:val="24"/>
        </w:rPr>
        <w:t xml:space="preserve"> con una tasa de crecimiento interanual del 3,8 %, ligeramente inferior al 4 % de España. Con estos datos, la tasa de paro se </w:t>
      </w:r>
      <w:r w:rsidR="00EA663A">
        <w:rPr>
          <w:rFonts w:ascii="Avenir Next" w:hAnsi="Avenir Next"/>
          <w:color w:val="auto"/>
          <w:sz w:val="24"/>
        </w:rPr>
        <w:t xml:space="preserve">reducía hasta </w:t>
      </w:r>
      <w:r w:rsidR="003027FD">
        <w:rPr>
          <w:rFonts w:ascii="Avenir Next" w:hAnsi="Avenir Next"/>
          <w:color w:val="auto"/>
          <w:sz w:val="24"/>
        </w:rPr>
        <w:t>el 18,7 % de la población activa</w:t>
      </w:r>
      <w:r w:rsidR="00A26609">
        <w:rPr>
          <w:rFonts w:ascii="Avenir Next" w:hAnsi="Avenir Next"/>
          <w:color w:val="auto"/>
          <w:sz w:val="24"/>
        </w:rPr>
        <w:t xml:space="preserve"> andaluza</w:t>
      </w:r>
      <w:r w:rsidR="003027FD">
        <w:rPr>
          <w:rFonts w:ascii="Avenir Next" w:hAnsi="Avenir Next"/>
          <w:color w:val="auto"/>
          <w:sz w:val="24"/>
        </w:rPr>
        <w:t xml:space="preserve">, 6,2 puntos superior a la media española, pero recortando en casi tres puntos su valor del segundo trimestre de 2021. Finalmente, la afiliación </w:t>
      </w:r>
      <w:r w:rsidR="00D520C6">
        <w:rPr>
          <w:rFonts w:ascii="Avenir Next" w:hAnsi="Avenir Next"/>
          <w:color w:val="auto"/>
          <w:sz w:val="24"/>
        </w:rPr>
        <w:t>fue</w:t>
      </w:r>
      <w:r w:rsidR="00D51766">
        <w:rPr>
          <w:rFonts w:ascii="Avenir Next" w:hAnsi="Avenir Next"/>
          <w:color w:val="auto"/>
          <w:sz w:val="24"/>
        </w:rPr>
        <w:t xml:space="preserve"> </w:t>
      </w:r>
      <w:r w:rsidR="00D520C6">
        <w:rPr>
          <w:rFonts w:ascii="Avenir Next" w:hAnsi="Avenir Next"/>
          <w:color w:val="auto"/>
          <w:sz w:val="24"/>
        </w:rPr>
        <w:t>un 3,5 % superior en junio respecto al mismo mes del año anterior. Esta cifra, aunque positiva, es inferior a la de España.</w:t>
      </w:r>
    </w:p>
    <w:p w14:paraId="7B48658C" w14:textId="4BFDCC32" w:rsidR="00D520C6" w:rsidRDefault="006B70C8" w:rsidP="00E46BAE">
      <w:pPr>
        <w:pStyle w:val="BodyA"/>
        <w:spacing w:before="100" w:after="100"/>
        <w:jc w:val="both"/>
        <w:rPr>
          <w:rFonts w:ascii="Avenir Next" w:hAnsi="Avenir Next"/>
          <w:color w:val="auto"/>
          <w:sz w:val="24"/>
        </w:rPr>
      </w:pPr>
      <w:r>
        <w:rPr>
          <w:rFonts w:ascii="Avenir Next" w:hAnsi="Avenir Next"/>
          <w:color w:val="auto"/>
          <w:sz w:val="24"/>
        </w:rPr>
        <w:t xml:space="preserve">La evolución del mercado de trabajo recoge, por lo tanto, las tendencias positivas </w:t>
      </w:r>
      <w:r w:rsidR="00F023FE">
        <w:rPr>
          <w:rFonts w:ascii="Avenir Next" w:hAnsi="Avenir Next"/>
          <w:color w:val="auto"/>
          <w:sz w:val="24"/>
        </w:rPr>
        <w:t xml:space="preserve">de la </w:t>
      </w:r>
      <w:r>
        <w:rPr>
          <w:rFonts w:ascii="Avenir Next" w:hAnsi="Avenir Next"/>
          <w:color w:val="auto"/>
          <w:sz w:val="24"/>
        </w:rPr>
        <w:t xml:space="preserve">economía </w:t>
      </w:r>
      <w:r w:rsidR="00F023FE">
        <w:rPr>
          <w:rFonts w:ascii="Avenir Next" w:hAnsi="Avenir Next"/>
          <w:color w:val="auto"/>
          <w:sz w:val="24"/>
        </w:rPr>
        <w:t xml:space="preserve">andaluza </w:t>
      </w:r>
      <w:r>
        <w:rPr>
          <w:rFonts w:ascii="Avenir Next" w:hAnsi="Avenir Next"/>
          <w:color w:val="auto"/>
          <w:sz w:val="24"/>
        </w:rPr>
        <w:t xml:space="preserve">descritas en </w:t>
      </w:r>
      <w:r w:rsidR="009A78EF">
        <w:rPr>
          <w:rFonts w:ascii="Avenir Next" w:hAnsi="Avenir Next"/>
          <w:color w:val="auto"/>
          <w:sz w:val="24"/>
        </w:rPr>
        <w:t xml:space="preserve">la sección </w:t>
      </w:r>
      <w:r w:rsidR="00A87745">
        <w:rPr>
          <w:rFonts w:ascii="Avenir Next" w:hAnsi="Avenir Next"/>
          <w:color w:val="auto"/>
          <w:sz w:val="24"/>
        </w:rPr>
        <w:t>anterior,</w:t>
      </w:r>
      <w:r w:rsidR="00A26609">
        <w:rPr>
          <w:rFonts w:ascii="Avenir Next" w:hAnsi="Avenir Next"/>
          <w:color w:val="auto"/>
          <w:sz w:val="24"/>
        </w:rPr>
        <w:t xml:space="preserve"> así como las posibles diferencias antes mencionadas</w:t>
      </w:r>
      <w:r>
        <w:rPr>
          <w:rFonts w:ascii="Avenir Next" w:hAnsi="Avenir Next"/>
          <w:color w:val="auto"/>
          <w:sz w:val="24"/>
        </w:rPr>
        <w:t xml:space="preserve">. </w:t>
      </w:r>
      <w:r w:rsidR="00A26609">
        <w:rPr>
          <w:rFonts w:ascii="Avenir Next" w:hAnsi="Avenir Next"/>
          <w:color w:val="auto"/>
          <w:sz w:val="24"/>
        </w:rPr>
        <w:t>En términos absolutos, pues, l</w:t>
      </w:r>
      <w:r w:rsidR="00886662">
        <w:rPr>
          <w:rFonts w:ascii="Avenir Next" w:hAnsi="Avenir Next"/>
          <w:color w:val="auto"/>
          <w:sz w:val="24"/>
        </w:rPr>
        <w:t>os</w:t>
      </w:r>
      <w:r w:rsidR="00A26609">
        <w:rPr>
          <w:rFonts w:ascii="Avenir Next" w:hAnsi="Avenir Next"/>
          <w:color w:val="auto"/>
          <w:sz w:val="24"/>
        </w:rPr>
        <w:t xml:space="preserve"> diferentes </w:t>
      </w:r>
      <w:r w:rsidR="00886662">
        <w:rPr>
          <w:rFonts w:ascii="Avenir Next" w:hAnsi="Avenir Next"/>
          <w:color w:val="auto"/>
          <w:sz w:val="24"/>
        </w:rPr>
        <w:t>indicadores relativos al mercado de trabajo</w:t>
      </w:r>
      <w:r w:rsidR="00D51766">
        <w:rPr>
          <w:rFonts w:ascii="Avenir Next" w:hAnsi="Avenir Next"/>
          <w:color w:val="auto"/>
          <w:sz w:val="24"/>
        </w:rPr>
        <w:t xml:space="preserve"> </w:t>
      </w:r>
      <w:r>
        <w:rPr>
          <w:rFonts w:ascii="Avenir Next" w:hAnsi="Avenir Next"/>
          <w:color w:val="auto"/>
          <w:sz w:val="24"/>
        </w:rPr>
        <w:t xml:space="preserve">siguen mostrando una cierta solidez en </w:t>
      </w:r>
      <w:r w:rsidR="00F023FE">
        <w:rPr>
          <w:rFonts w:ascii="Avenir Next" w:hAnsi="Avenir Next"/>
          <w:color w:val="auto"/>
          <w:sz w:val="24"/>
        </w:rPr>
        <w:t>su</w:t>
      </w:r>
      <w:r>
        <w:rPr>
          <w:rFonts w:ascii="Avenir Next" w:hAnsi="Avenir Next"/>
          <w:color w:val="auto"/>
          <w:sz w:val="24"/>
        </w:rPr>
        <w:t xml:space="preserve"> evolución</w:t>
      </w:r>
      <w:r w:rsidR="00F023FE">
        <w:rPr>
          <w:rFonts w:ascii="Avenir Next" w:hAnsi="Avenir Next"/>
          <w:color w:val="auto"/>
          <w:sz w:val="24"/>
        </w:rPr>
        <w:t>,</w:t>
      </w:r>
      <w:r>
        <w:rPr>
          <w:rFonts w:ascii="Avenir Next" w:hAnsi="Avenir Next"/>
          <w:color w:val="auto"/>
          <w:sz w:val="24"/>
        </w:rPr>
        <w:t xml:space="preserve"> que no ha sido observado </w:t>
      </w:r>
      <w:r w:rsidR="009A78EF">
        <w:rPr>
          <w:rFonts w:ascii="Avenir Next" w:hAnsi="Avenir Next"/>
          <w:color w:val="auto"/>
          <w:sz w:val="24"/>
        </w:rPr>
        <w:t>ni en</w:t>
      </w:r>
      <w:r w:rsidR="00886662">
        <w:rPr>
          <w:rFonts w:ascii="Avenir Next" w:hAnsi="Avenir Next"/>
          <w:color w:val="auto"/>
          <w:sz w:val="24"/>
        </w:rPr>
        <w:t xml:space="preserve"> tenacidad </w:t>
      </w:r>
      <w:r w:rsidR="00F023FE">
        <w:rPr>
          <w:rFonts w:ascii="Avenir Next" w:hAnsi="Avenir Next"/>
          <w:color w:val="auto"/>
          <w:sz w:val="24"/>
        </w:rPr>
        <w:t xml:space="preserve">ni </w:t>
      </w:r>
      <w:r w:rsidR="00886662">
        <w:rPr>
          <w:rFonts w:ascii="Avenir Next" w:hAnsi="Avenir Next"/>
          <w:color w:val="auto"/>
          <w:sz w:val="24"/>
        </w:rPr>
        <w:t xml:space="preserve">en </w:t>
      </w:r>
      <w:r w:rsidR="00894ECE">
        <w:rPr>
          <w:rFonts w:ascii="Avenir Next" w:hAnsi="Avenir Next"/>
          <w:color w:val="auto"/>
          <w:sz w:val="24"/>
        </w:rPr>
        <w:t>solidez</w:t>
      </w:r>
      <w:r w:rsidR="00804A3C">
        <w:rPr>
          <w:rFonts w:ascii="Avenir Next" w:hAnsi="Avenir Next"/>
          <w:color w:val="auto"/>
          <w:sz w:val="24"/>
        </w:rPr>
        <w:t xml:space="preserve"> </w:t>
      </w:r>
      <w:r>
        <w:rPr>
          <w:rFonts w:ascii="Avenir Next" w:hAnsi="Avenir Next"/>
          <w:color w:val="auto"/>
          <w:sz w:val="24"/>
        </w:rPr>
        <w:t xml:space="preserve">desde el inicio de la recuperación económica </w:t>
      </w:r>
      <w:r w:rsidR="00894ECE">
        <w:rPr>
          <w:rFonts w:ascii="Avenir Next" w:hAnsi="Avenir Next"/>
          <w:color w:val="auto"/>
          <w:sz w:val="24"/>
        </w:rPr>
        <w:t>por</w:t>
      </w:r>
      <w:r w:rsidR="00804A3C">
        <w:rPr>
          <w:rFonts w:ascii="Avenir Next" w:hAnsi="Avenir Next"/>
          <w:color w:val="auto"/>
          <w:sz w:val="24"/>
        </w:rPr>
        <w:t xml:space="preserve"> </w:t>
      </w:r>
      <w:r w:rsidR="00894ECE">
        <w:rPr>
          <w:rFonts w:ascii="Avenir Next" w:hAnsi="Avenir Next"/>
          <w:color w:val="auto"/>
          <w:sz w:val="24"/>
        </w:rPr>
        <w:t>los indicadores de actividad productiva</w:t>
      </w:r>
      <w:r>
        <w:rPr>
          <w:rFonts w:ascii="Avenir Next" w:hAnsi="Avenir Next"/>
          <w:color w:val="auto"/>
          <w:sz w:val="24"/>
        </w:rPr>
        <w:t>. En todo caso</w:t>
      </w:r>
      <w:r w:rsidR="009A78EF">
        <w:rPr>
          <w:rFonts w:ascii="Avenir Next" w:hAnsi="Avenir Next"/>
          <w:color w:val="auto"/>
          <w:sz w:val="24"/>
        </w:rPr>
        <w:t>,</w:t>
      </w:r>
      <w:r>
        <w:rPr>
          <w:rFonts w:ascii="Avenir Next" w:hAnsi="Avenir Next"/>
          <w:color w:val="auto"/>
          <w:sz w:val="24"/>
        </w:rPr>
        <w:t xml:space="preserve"> el segundo trimestre</w:t>
      </w:r>
      <w:r w:rsidR="009A78EF">
        <w:rPr>
          <w:rFonts w:ascii="Avenir Next" w:hAnsi="Avenir Next"/>
          <w:color w:val="auto"/>
          <w:sz w:val="24"/>
        </w:rPr>
        <w:t>,</w:t>
      </w:r>
      <w:r>
        <w:rPr>
          <w:rFonts w:ascii="Avenir Next" w:hAnsi="Avenir Next"/>
          <w:color w:val="auto"/>
          <w:sz w:val="24"/>
        </w:rPr>
        <w:t xml:space="preserve"> la actividad económica y el mercado de trabajo han ofrecido en ambos casos un comportamiento más coherente que el mostrado en trimestres anteriores.</w:t>
      </w:r>
    </w:p>
    <w:p w14:paraId="236CA8B1" w14:textId="1ADCA9A2" w:rsidR="006B70C8" w:rsidRDefault="00BE3353" w:rsidP="00E46BAE">
      <w:pPr>
        <w:pStyle w:val="BodyA"/>
        <w:spacing w:before="100" w:after="100"/>
        <w:jc w:val="both"/>
        <w:rPr>
          <w:rFonts w:ascii="Avenir Next" w:hAnsi="Avenir Next"/>
          <w:color w:val="auto"/>
          <w:sz w:val="24"/>
        </w:rPr>
      </w:pPr>
      <w:r>
        <w:rPr>
          <w:rFonts w:ascii="Avenir Next" w:hAnsi="Avenir Next"/>
          <w:color w:val="auto"/>
          <w:sz w:val="24"/>
        </w:rPr>
        <w:t>Las razones de</w:t>
      </w:r>
      <w:r w:rsidR="00F023FE">
        <w:rPr>
          <w:rFonts w:ascii="Avenir Next" w:hAnsi="Avenir Next"/>
          <w:color w:val="auto"/>
          <w:sz w:val="24"/>
        </w:rPr>
        <w:t>l</w:t>
      </w:r>
      <w:r>
        <w:rPr>
          <w:rFonts w:ascii="Avenir Next" w:hAnsi="Avenir Next"/>
          <w:color w:val="auto"/>
          <w:sz w:val="24"/>
        </w:rPr>
        <w:t xml:space="preserve"> buen comportamiento</w:t>
      </w:r>
      <w:r w:rsidR="00964BFD">
        <w:rPr>
          <w:rFonts w:ascii="Avenir Next" w:hAnsi="Avenir Next"/>
          <w:color w:val="auto"/>
          <w:sz w:val="24"/>
        </w:rPr>
        <w:t xml:space="preserve"> del mercado de trabajo andaluz</w:t>
      </w:r>
      <w:r>
        <w:rPr>
          <w:rFonts w:ascii="Avenir Next" w:hAnsi="Avenir Next"/>
          <w:color w:val="auto"/>
          <w:sz w:val="24"/>
        </w:rPr>
        <w:t xml:space="preserve"> pueden resumirse en las siguientes. En primer lugar, un posible adelanto en las contrataciones para la campaña del verano. </w:t>
      </w:r>
      <w:r w:rsidR="003F63F8">
        <w:rPr>
          <w:rFonts w:ascii="Avenir Next" w:hAnsi="Avenir Next"/>
          <w:color w:val="auto"/>
          <w:sz w:val="24"/>
        </w:rPr>
        <w:t>La vuelta a la normalidad en un sector fuertemente golpeado por la crisis del COVID desde el fin de las restricciones ha</w:t>
      </w:r>
      <w:r>
        <w:rPr>
          <w:rFonts w:ascii="Avenir Next" w:hAnsi="Avenir Next"/>
          <w:color w:val="auto"/>
          <w:sz w:val="24"/>
        </w:rPr>
        <w:t xml:space="preserve"> supuesto la necesidad de completar las plantillas en sectores tradicionalmente </w:t>
      </w:r>
      <w:r w:rsidR="003F63F8">
        <w:rPr>
          <w:rFonts w:ascii="Avenir Next" w:hAnsi="Avenir Next"/>
          <w:color w:val="auto"/>
          <w:sz w:val="24"/>
        </w:rPr>
        <w:t>temporales</w:t>
      </w:r>
      <w:r>
        <w:rPr>
          <w:rFonts w:ascii="Avenir Next" w:hAnsi="Avenir Next"/>
          <w:color w:val="auto"/>
          <w:sz w:val="24"/>
        </w:rPr>
        <w:t xml:space="preserve"> como son los asociados al turismo. </w:t>
      </w:r>
      <w:r w:rsidR="00D4220D">
        <w:rPr>
          <w:rFonts w:ascii="Avenir Next" w:hAnsi="Avenir Next"/>
          <w:color w:val="auto"/>
          <w:sz w:val="24"/>
        </w:rPr>
        <w:t>E</w:t>
      </w:r>
      <w:r w:rsidR="00964BFD">
        <w:rPr>
          <w:rFonts w:ascii="Avenir Next" w:hAnsi="Avenir Next"/>
          <w:color w:val="auto"/>
          <w:sz w:val="24"/>
        </w:rPr>
        <w:t xml:space="preserve">n segundo lugar, </w:t>
      </w:r>
      <w:r w:rsidR="00AD4122">
        <w:rPr>
          <w:rFonts w:ascii="Avenir Next" w:hAnsi="Avenir Next"/>
          <w:color w:val="auto"/>
          <w:sz w:val="24"/>
        </w:rPr>
        <w:t xml:space="preserve">el impulso de actividad de </w:t>
      </w:r>
      <w:r>
        <w:rPr>
          <w:rFonts w:ascii="Avenir Next" w:hAnsi="Avenir Next"/>
          <w:color w:val="auto"/>
          <w:sz w:val="24"/>
        </w:rPr>
        <w:t xml:space="preserve">otros sectores y la necesidad de contratación por otras razones, como es la motivada por </w:t>
      </w:r>
      <w:r w:rsidR="008008BC">
        <w:rPr>
          <w:rFonts w:ascii="Avenir Next" w:hAnsi="Avenir Next"/>
          <w:color w:val="auto"/>
          <w:sz w:val="24"/>
        </w:rPr>
        <w:t xml:space="preserve">una recuperación del consumo y de la inversión </w:t>
      </w:r>
      <w:r>
        <w:rPr>
          <w:rFonts w:ascii="Avenir Next" w:hAnsi="Avenir Next"/>
          <w:color w:val="auto"/>
          <w:sz w:val="24"/>
        </w:rPr>
        <w:t xml:space="preserve">después de un primer trimestre plano y </w:t>
      </w:r>
      <w:r w:rsidR="003F63F8">
        <w:rPr>
          <w:rFonts w:ascii="Avenir Next" w:hAnsi="Avenir Next"/>
          <w:color w:val="auto"/>
          <w:sz w:val="24"/>
        </w:rPr>
        <w:t>negativo</w:t>
      </w:r>
      <w:r w:rsidR="00274A07">
        <w:rPr>
          <w:rFonts w:ascii="Avenir Next" w:hAnsi="Avenir Next"/>
          <w:color w:val="auto"/>
          <w:sz w:val="24"/>
        </w:rPr>
        <w:t xml:space="preserve">. Otra explicación para la recuperación del empleo en sectores estrechamente asociados a la demanda de las familias podría explicarse </w:t>
      </w:r>
      <w:r>
        <w:rPr>
          <w:rFonts w:ascii="Avenir Next" w:hAnsi="Avenir Next"/>
          <w:color w:val="auto"/>
          <w:sz w:val="24"/>
        </w:rPr>
        <w:t xml:space="preserve">por </w:t>
      </w:r>
      <w:r w:rsidR="003F63F8">
        <w:rPr>
          <w:rFonts w:ascii="Avenir Next" w:hAnsi="Avenir Next"/>
          <w:color w:val="auto"/>
          <w:sz w:val="24"/>
        </w:rPr>
        <w:t>un</w:t>
      </w:r>
      <w:r w:rsidR="00AD4122">
        <w:rPr>
          <w:rFonts w:ascii="Avenir Next" w:hAnsi="Avenir Next"/>
          <w:color w:val="auto"/>
          <w:sz w:val="24"/>
        </w:rPr>
        <w:t xml:space="preserve"> </w:t>
      </w:r>
      <w:r w:rsidR="003F63F8">
        <w:rPr>
          <w:rFonts w:ascii="Avenir Next" w:hAnsi="Avenir Next"/>
          <w:color w:val="auto"/>
          <w:sz w:val="24"/>
        </w:rPr>
        <w:t xml:space="preserve">posible efecto látigo en el consumo que ha </w:t>
      </w:r>
      <w:r w:rsidR="00FE0EC6">
        <w:rPr>
          <w:rFonts w:ascii="Avenir Next" w:hAnsi="Avenir Next"/>
          <w:color w:val="auto"/>
          <w:sz w:val="24"/>
        </w:rPr>
        <w:t xml:space="preserve">supuesto </w:t>
      </w:r>
      <w:r w:rsidR="00D151AB">
        <w:rPr>
          <w:rFonts w:ascii="Avenir Next" w:hAnsi="Avenir Next"/>
          <w:color w:val="auto"/>
          <w:sz w:val="24"/>
        </w:rPr>
        <w:t>l</w:t>
      </w:r>
      <w:r w:rsidR="009A78EF">
        <w:rPr>
          <w:rFonts w:ascii="Avenir Next" w:hAnsi="Avenir Next"/>
          <w:color w:val="auto"/>
          <w:sz w:val="24"/>
        </w:rPr>
        <w:t>a</w:t>
      </w:r>
      <w:r w:rsidR="00804A3C">
        <w:rPr>
          <w:rFonts w:ascii="Avenir Next" w:hAnsi="Avenir Next"/>
          <w:color w:val="auto"/>
          <w:sz w:val="24"/>
        </w:rPr>
        <w:t xml:space="preserve"> </w:t>
      </w:r>
      <w:r w:rsidR="009A78EF">
        <w:rPr>
          <w:rFonts w:ascii="Avenir Next" w:hAnsi="Avenir Next"/>
          <w:color w:val="auto"/>
          <w:sz w:val="24"/>
        </w:rPr>
        <w:t>dedicación</w:t>
      </w:r>
      <w:r w:rsidR="00804A3C">
        <w:rPr>
          <w:rFonts w:ascii="Avenir Next" w:hAnsi="Avenir Next"/>
          <w:color w:val="auto"/>
          <w:sz w:val="24"/>
        </w:rPr>
        <w:t xml:space="preserve"> </w:t>
      </w:r>
      <w:r w:rsidR="003F63F8">
        <w:rPr>
          <w:rFonts w:ascii="Avenir Next" w:hAnsi="Avenir Next"/>
          <w:color w:val="auto"/>
          <w:sz w:val="24"/>
        </w:rPr>
        <w:t xml:space="preserve">de </w:t>
      </w:r>
      <w:r w:rsidR="004D6997">
        <w:rPr>
          <w:rFonts w:ascii="Avenir Next" w:hAnsi="Avenir Next"/>
          <w:color w:val="auto"/>
          <w:sz w:val="24"/>
        </w:rPr>
        <w:t xml:space="preserve">una parte de </w:t>
      </w:r>
      <w:r w:rsidR="003F63F8">
        <w:rPr>
          <w:rFonts w:ascii="Avenir Next" w:hAnsi="Avenir Next"/>
          <w:color w:val="auto"/>
          <w:sz w:val="24"/>
        </w:rPr>
        <w:t xml:space="preserve">los ahorros acumulados durante los peores meses de la pandemia. </w:t>
      </w:r>
      <w:r w:rsidR="00CD38C6">
        <w:rPr>
          <w:rFonts w:ascii="Avenir Next" w:hAnsi="Avenir Next"/>
          <w:color w:val="auto"/>
          <w:sz w:val="24"/>
        </w:rPr>
        <w:t xml:space="preserve">Finalmente, </w:t>
      </w:r>
      <w:r w:rsidR="004D6997">
        <w:rPr>
          <w:rFonts w:ascii="Avenir Next" w:hAnsi="Avenir Next"/>
          <w:color w:val="auto"/>
          <w:sz w:val="24"/>
        </w:rPr>
        <w:t xml:space="preserve">y en </w:t>
      </w:r>
      <w:r w:rsidR="002E4E59">
        <w:rPr>
          <w:rFonts w:ascii="Avenir Next" w:hAnsi="Avenir Next"/>
          <w:color w:val="auto"/>
          <w:sz w:val="24"/>
        </w:rPr>
        <w:t>cuarto</w:t>
      </w:r>
      <w:r w:rsidR="004D6997">
        <w:rPr>
          <w:rFonts w:ascii="Avenir Next" w:hAnsi="Avenir Next"/>
          <w:color w:val="auto"/>
          <w:sz w:val="24"/>
        </w:rPr>
        <w:t xml:space="preserve"> lugar, </w:t>
      </w:r>
      <w:r w:rsidR="00CD38C6">
        <w:rPr>
          <w:rFonts w:ascii="Avenir Next" w:hAnsi="Avenir Next"/>
          <w:color w:val="auto"/>
          <w:sz w:val="24"/>
        </w:rPr>
        <w:t xml:space="preserve">no podemos descartar un posible efecto positivo de la reforma laboral en cuanto a los tiempos en la contratación, pudiendo haberse producido un cierto adelanto para adecuarse a los preceptos de la </w:t>
      </w:r>
      <w:r w:rsidR="00B0680D">
        <w:rPr>
          <w:rFonts w:ascii="Avenir Next" w:hAnsi="Avenir Next"/>
          <w:color w:val="auto"/>
          <w:sz w:val="24"/>
        </w:rPr>
        <w:t>nueva regulación</w:t>
      </w:r>
      <w:r w:rsidR="00CD38C6">
        <w:rPr>
          <w:rFonts w:ascii="Avenir Next" w:hAnsi="Avenir Next"/>
          <w:color w:val="auto"/>
          <w:sz w:val="24"/>
        </w:rPr>
        <w:t>.</w:t>
      </w:r>
    </w:p>
    <w:p w14:paraId="1A905975" w14:textId="12883AEF" w:rsidR="003F63F8" w:rsidRDefault="00B0680D" w:rsidP="00E46BAE">
      <w:pPr>
        <w:pStyle w:val="BodyA"/>
        <w:spacing w:before="100" w:after="100"/>
        <w:jc w:val="both"/>
        <w:rPr>
          <w:rFonts w:ascii="Avenir Next" w:hAnsi="Avenir Next"/>
          <w:color w:val="auto"/>
          <w:sz w:val="24"/>
        </w:rPr>
      </w:pPr>
      <w:r>
        <w:rPr>
          <w:rFonts w:ascii="Avenir Next" w:hAnsi="Avenir Next"/>
          <w:color w:val="auto"/>
          <w:sz w:val="24"/>
        </w:rPr>
        <w:t xml:space="preserve">Los datos de afiliación a nivel de sección de actividad respaldan estas posibles explicaciones. </w:t>
      </w:r>
      <w:r w:rsidR="008A281F">
        <w:rPr>
          <w:rFonts w:ascii="Avenir Next" w:hAnsi="Avenir Next"/>
          <w:color w:val="auto"/>
          <w:sz w:val="24"/>
        </w:rPr>
        <w:t xml:space="preserve">Así, por ejemplo, en términos interanuales, en junio de 2022 la afiliación en secciones de actividad asociadas </w:t>
      </w:r>
      <w:r w:rsidR="008A281F">
        <w:rPr>
          <w:rFonts w:ascii="Avenir Next" w:hAnsi="Avenir Next"/>
          <w:color w:val="auto"/>
          <w:sz w:val="24"/>
        </w:rPr>
        <w:lastRenderedPageBreak/>
        <w:t>al turismo y al ocio crec</w:t>
      </w:r>
      <w:r w:rsidR="00D4220D">
        <w:rPr>
          <w:rFonts w:ascii="Avenir Next" w:hAnsi="Avenir Next"/>
          <w:color w:val="auto"/>
          <w:sz w:val="24"/>
        </w:rPr>
        <w:t>ió</w:t>
      </w:r>
      <w:r w:rsidR="008A281F">
        <w:rPr>
          <w:rFonts w:ascii="Avenir Next" w:hAnsi="Avenir Next"/>
          <w:color w:val="auto"/>
          <w:sz w:val="24"/>
        </w:rPr>
        <w:t xml:space="preserve"> a los mayores ritmos de toda la economía andaluza. En hostelería, en dicho mes</w:t>
      </w:r>
      <w:r w:rsidR="00A52ECF">
        <w:rPr>
          <w:rFonts w:ascii="Avenir Next" w:hAnsi="Avenir Next"/>
          <w:color w:val="auto"/>
          <w:sz w:val="24"/>
        </w:rPr>
        <w:t>,</w:t>
      </w:r>
      <w:r w:rsidR="00804A3C">
        <w:rPr>
          <w:rFonts w:ascii="Avenir Next" w:hAnsi="Avenir Next"/>
          <w:color w:val="auto"/>
          <w:sz w:val="24"/>
        </w:rPr>
        <w:t xml:space="preserve"> </w:t>
      </w:r>
      <w:r w:rsidR="00A52ECF">
        <w:rPr>
          <w:rFonts w:ascii="Avenir Next" w:hAnsi="Avenir Next"/>
          <w:color w:val="auto"/>
          <w:sz w:val="24"/>
        </w:rPr>
        <w:t>la afiliación media superaba en</w:t>
      </w:r>
      <w:r w:rsidR="008A281F">
        <w:rPr>
          <w:rFonts w:ascii="Avenir Next" w:hAnsi="Avenir Next"/>
          <w:color w:val="auto"/>
          <w:sz w:val="24"/>
        </w:rPr>
        <w:t xml:space="preserve"> un 16,2 %</w:t>
      </w:r>
      <w:r w:rsidR="00A52ECF">
        <w:rPr>
          <w:rFonts w:ascii="Avenir Next" w:hAnsi="Avenir Next"/>
          <w:color w:val="auto"/>
          <w:sz w:val="24"/>
        </w:rPr>
        <w:t xml:space="preserve"> a la de un año antes</w:t>
      </w:r>
      <w:r w:rsidR="008A281F">
        <w:rPr>
          <w:rFonts w:ascii="Avenir Next" w:hAnsi="Avenir Next"/>
          <w:color w:val="auto"/>
          <w:sz w:val="24"/>
        </w:rPr>
        <w:t xml:space="preserve">, mientras que en actividades artísticas y recreativas </w:t>
      </w:r>
      <w:r w:rsidR="00F4313E">
        <w:rPr>
          <w:rFonts w:ascii="Avenir Next" w:hAnsi="Avenir Next"/>
          <w:color w:val="auto"/>
          <w:sz w:val="24"/>
        </w:rPr>
        <w:t xml:space="preserve">este aumento fue de </w:t>
      </w:r>
      <w:r w:rsidR="008A281F">
        <w:rPr>
          <w:rFonts w:ascii="Avenir Next" w:hAnsi="Avenir Next"/>
          <w:color w:val="auto"/>
          <w:sz w:val="24"/>
        </w:rPr>
        <w:t xml:space="preserve">un 13,7 %. Entre ambas secciones se </w:t>
      </w:r>
      <w:r w:rsidR="00CD38C6">
        <w:rPr>
          <w:rFonts w:ascii="Avenir Next" w:hAnsi="Avenir Next"/>
          <w:color w:val="auto"/>
          <w:sz w:val="24"/>
        </w:rPr>
        <w:t>explicaba</w:t>
      </w:r>
      <w:r w:rsidR="008A281F">
        <w:rPr>
          <w:rFonts w:ascii="Avenir Next" w:hAnsi="Avenir Next"/>
          <w:color w:val="auto"/>
          <w:sz w:val="24"/>
        </w:rPr>
        <w:t xml:space="preserve"> el 45% del aumento total de la</w:t>
      </w:r>
      <w:r w:rsidR="00F4313E">
        <w:rPr>
          <w:rFonts w:ascii="Avenir Next" w:hAnsi="Avenir Next"/>
          <w:color w:val="auto"/>
          <w:sz w:val="24"/>
        </w:rPr>
        <w:t xml:space="preserve"> afiliación andaluza</w:t>
      </w:r>
      <w:r w:rsidR="008A281F">
        <w:rPr>
          <w:rFonts w:ascii="Avenir Next" w:hAnsi="Avenir Next"/>
          <w:color w:val="auto"/>
          <w:sz w:val="24"/>
        </w:rPr>
        <w:t xml:space="preserve"> en el último año. El resto de las secciones también mostraron tasas de crecimiento positivas, excepto el sector agrícola o </w:t>
      </w:r>
      <w:r w:rsidR="00804A3C">
        <w:rPr>
          <w:rFonts w:ascii="Avenir Next" w:hAnsi="Avenir Next"/>
          <w:color w:val="auto"/>
          <w:sz w:val="24"/>
        </w:rPr>
        <w:t xml:space="preserve">la </w:t>
      </w:r>
      <w:r w:rsidR="008A281F">
        <w:rPr>
          <w:rFonts w:ascii="Avenir Next" w:hAnsi="Avenir Next"/>
          <w:color w:val="auto"/>
          <w:sz w:val="24"/>
        </w:rPr>
        <w:t>administración pública. Particular relevancia tiene el aumento de la afiliación en el sector de información y comunicaciones,</w:t>
      </w:r>
      <w:r w:rsidR="004743F3">
        <w:rPr>
          <w:rFonts w:ascii="Avenir Next" w:hAnsi="Avenir Next"/>
          <w:color w:val="auto"/>
          <w:sz w:val="24"/>
        </w:rPr>
        <w:t xml:space="preserve"> muy alejado del patrón de recuperación y crecimiento descrito </w:t>
      </w:r>
      <w:r w:rsidR="0019547F">
        <w:rPr>
          <w:rFonts w:ascii="Avenir Next" w:hAnsi="Avenir Next"/>
          <w:color w:val="auto"/>
          <w:sz w:val="24"/>
        </w:rPr>
        <w:t>anteriormente, y</w:t>
      </w:r>
      <w:r w:rsidR="00F8553C">
        <w:rPr>
          <w:rFonts w:ascii="Avenir Next" w:hAnsi="Avenir Next"/>
          <w:color w:val="auto"/>
          <w:sz w:val="24"/>
        </w:rPr>
        <w:t xml:space="preserve"> que en junio de este año acumulaba </w:t>
      </w:r>
      <w:r w:rsidR="008A281F">
        <w:rPr>
          <w:rFonts w:ascii="Avenir Next" w:hAnsi="Avenir Next"/>
          <w:color w:val="auto"/>
          <w:sz w:val="24"/>
        </w:rPr>
        <w:t xml:space="preserve">un 11,9 % </w:t>
      </w:r>
      <w:r w:rsidR="00F8553C">
        <w:rPr>
          <w:rFonts w:ascii="Avenir Next" w:hAnsi="Avenir Next"/>
          <w:color w:val="auto"/>
          <w:sz w:val="24"/>
        </w:rPr>
        <w:t>más de afiliados que solo un año antes</w:t>
      </w:r>
      <w:r w:rsidR="008A281F">
        <w:rPr>
          <w:rFonts w:ascii="Avenir Next" w:hAnsi="Avenir Next"/>
          <w:color w:val="auto"/>
          <w:sz w:val="24"/>
        </w:rPr>
        <w:t>.</w:t>
      </w:r>
    </w:p>
    <w:p w14:paraId="2EC49819" w14:textId="77777777" w:rsidR="006B70C8" w:rsidRPr="004A7E08" w:rsidRDefault="006B70C8" w:rsidP="00E46BAE">
      <w:pPr>
        <w:pStyle w:val="BodyA"/>
        <w:spacing w:before="100" w:after="100"/>
        <w:jc w:val="both"/>
        <w:rPr>
          <w:rFonts w:ascii="Avenir Next" w:hAnsi="Avenir Next"/>
          <w:color w:val="auto"/>
          <w:sz w:val="24"/>
        </w:rPr>
      </w:pPr>
    </w:p>
    <w:p w14:paraId="470BD292" w14:textId="77777777" w:rsidR="00457859" w:rsidRDefault="00457859" w:rsidP="00E46BAE">
      <w:pPr>
        <w:pStyle w:val="BodyA"/>
        <w:spacing w:before="100" w:after="100"/>
        <w:jc w:val="both"/>
        <w:rPr>
          <w:rFonts w:ascii="Avenir Next Demi Bold" w:hAnsi="Avenir Next Demi Bold"/>
          <w:b/>
          <w:bCs/>
          <w:color w:val="022ED3"/>
          <w:sz w:val="28"/>
          <w:szCs w:val="28"/>
          <w:u w:color="022ED3"/>
        </w:rPr>
      </w:pPr>
      <w:r w:rsidRPr="00D308B2">
        <w:rPr>
          <w:rFonts w:ascii="Avenir Next Demi Bold" w:hAnsi="Avenir Next Demi Bold"/>
          <w:b/>
          <w:bCs/>
          <w:color w:val="022ED3"/>
          <w:sz w:val="28"/>
          <w:szCs w:val="28"/>
          <w:u w:color="022ED3"/>
        </w:rPr>
        <w:t>Por el lado de la demanda</w:t>
      </w:r>
    </w:p>
    <w:p w14:paraId="2B99FC90" w14:textId="2613B500" w:rsidR="007D4CF1" w:rsidRDefault="00D4220D" w:rsidP="00E46BAE">
      <w:pPr>
        <w:pStyle w:val="BodyA"/>
        <w:spacing w:before="100" w:after="100"/>
        <w:jc w:val="both"/>
        <w:rPr>
          <w:rFonts w:ascii="Avenir Next" w:hAnsi="Avenir Next"/>
          <w:color w:val="auto"/>
          <w:sz w:val="24"/>
        </w:rPr>
      </w:pPr>
      <w:r>
        <w:rPr>
          <w:rFonts w:ascii="Avenir Next" w:hAnsi="Avenir Next"/>
          <w:color w:val="auto"/>
          <w:sz w:val="24"/>
        </w:rPr>
        <w:t>L</w:t>
      </w:r>
      <w:r w:rsidR="00F02BF5">
        <w:rPr>
          <w:rFonts w:ascii="Avenir Next" w:hAnsi="Avenir Next"/>
          <w:color w:val="auto"/>
          <w:sz w:val="24"/>
        </w:rPr>
        <w:t xml:space="preserve">a evolución </w:t>
      </w:r>
      <w:r w:rsidR="00904842">
        <w:rPr>
          <w:rFonts w:ascii="Avenir Next" w:hAnsi="Avenir Next"/>
          <w:color w:val="auto"/>
          <w:sz w:val="24"/>
        </w:rPr>
        <w:t xml:space="preserve">descrita </w:t>
      </w:r>
      <w:r w:rsidR="00F02BF5">
        <w:rPr>
          <w:rFonts w:ascii="Avenir Next" w:hAnsi="Avenir Next"/>
          <w:color w:val="auto"/>
          <w:sz w:val="24"/>
        </w:rPr>
        <w:t xml:space="preserve">del </w:t>
      </w:r>
      <w:r w:rsidR="00904842">
        <w:rPr>
          <w:rFonts w:ascii="Avenir Next" w:hAnsi="Avenir Next"/>
          <w:color w:val="auto"/>
          <w:sz w:val="24"/>
        </w:rPr>
        <w:t>mercado de trabajo</w:t>
      </w:r>
      <w:r w:rsidR="00804A3C">
        <w:rPr>
          <w:rFonts w:ascii="Avenir Next" w:hAnsi="Avenir Next"/>
          <w:color w:val="auto"/>
          <w:sz w:val="24"/>
        </w:rPr>
        <w:t xml:space="preserve"> </w:t>
      </w:r>
      <w:r w:rsidR="007D53F8">
        <w:rPr>
          <w:rFonts w:ascii="Avenir Next" w:hAnsi="Avenir Next"/>
          <w:color w:val="auto"/>
          <w:sz w:val="24"/>
        </w:rPr>
        <w:t>está</w:t>
      </w:r>
      <w:r w:rsidR="00F02BF5">
        <w:rPr>
          <w:rFonts w:ascii="Avenir Next" w:hAnsi="Avenir Next"/>
          <w:color w:val="auto"/>
          <w:sz w:val="24"/>
        </w:rPr>
        <w:t xml:space="preserve"> profundamente </w:t>
      </w:r>
      <w:r w:rsidR="007D53F8">
        <w:rPr>
          <w:rFonts w:ascii="Avenir Next" w:hAnsi="Avenir Next"/>
          <w:color w:val="auto"/>
          <w:sz w:val="24"/>
        </w:rPr>
        <w:t>relacionad</w:t>
      </w:r>
      <w:r w:rsidR="002E4E59">
        <w:rPr>
          <w:rFonts w:ascii="Avenir Next" w:hAnsi="Avenir Next"/>
          <w:color w:val="auto"/>
          <w:sz w:val="24"/>
        </w:rPr>
        <w:t>a</w:t>
      </w:r>
      <w:r w:rsidR="007D53F8">
        <w:rPr>
          <w:rFonts w:ascii="Avenir Next" w:hAnsi="Avenir Next"/>
          <w:color w:val="auto"/>
          <w:sz w:val="24"/>
        </w:rPr>
        <w:t xml:space="preserve"> con</w:t>
      </w:r>
      <w:r w:rsidR="00F02BF5">
        <w:rPr>
          <w:rFonts w:ascii="Avenir Next" w:hAnsi="Avenir Next"/>
          <w:color w:val="auto"/>
          <w:sz w:val="24"/>
        </w:rPr>
        <w:t xml:space="preserve"> los diferentes componentes de la </w:t>
      </w:r>
      <w:r w:rsidR="00A87745">
        <w:rPr>
          <w:rFonts w:ascii="Avenir Next" w:hAnsi="Avenir Next"/>
          <w:color w:val="auto"/>
          <w:sz w:val="24"/>
        </w:rPr>
        <w:t>demanda. Una</w:t>
      </w:r>
      <w:r w:rsidR="007D4CF1">
        <w:rPr>
          <w:rFonts w:ascii="Avenir Next" w:hAnsi="Avenir Next"/>
          <w:color w:val="auto"/>
          <w:sz w:val="24"/>
        </w:rPr>
        <w:t xml:space="preserve"> vez más</w:t>
      </w:r>
      <w:r w:rsidR="00804A3C">
        <w:rPr>
          <w:rFonts w:ascii="Avenir Next" w:hAnsi="Avenir Next"/>
          <w:color w:val="auto"/>
          <w:sz w:val="24"/>
        </w:rPr>
        <w:t>,</w:t>
      </w:r>
      <w:r w:rsidR="007D4CF1">
        <w:rPr>
          <w:rFonts w:ascii="Avenir Next" w:hAnsi="Avenir Next"/>
          <w:color w:val="auto"/>
          <w:sz w:val="24"/>
        </w:rPr>
        <w:t xml:space="preserve"> hay que señalar </w:t>
      </w:r>
      <w:r w:rsidR="00A87745">
        <w:rPr>
          <w:rFonts w:ascii="Avenir Next" w:hAnsi="Avenir Next"/>
          <w:color w:val="auto"/>
          <w:sz w:val="24"/>
        </w:rPr>
        <w:t xml:space="preserve">a la </w:t>
      </w:r>
      <w:r w:rsidR="001C1C21">
        <w:rPr>
          <w:rFonts w:ascii="Avenir Next" w:hAnsi="Avenir Next"/>
          <w:color w:val="auto"/>
          <w:sz w:val="24"/>
        </w:rPr>
        <w:t>eventual</w:t>
      </w:r>
      <w:r w:rsidR="007D4CF1">
        <w:rPr>
          <w:rFonts w:ascii="Avenir Next" w:hAnsi="Avenir Next"/>
          <w:color w:val="auto"/>
          <w:sz w:val="24"/>
        </w:rPr>
        <w:t xml:space="preserve"> recuperación del consumo privado como una de las principales </w:t>
      </w:r>
      <w:r w:rsidR="007D53F8">
        <w:rPr>
          <w:rFonts w:ascii="Avenir Next" w:hAnsi="Avenir Next"/>
          <w:color w:val="auto"/>
          <w:sz w:val="24"/>
        </w:rPr>
        <w:t>causas</w:t>
      </w:r>
      <w:r w:rsidR="00804A3C">
        <w:rPr>
          <w:rFonts w:ascii="Avenir Next" w:hAnsi="Avenir Next"/>
          <w:color w:val="auto"/>
          <w:sz w:val="24"/>
        </w:rPr>
        <w:t>,</w:t>
      </w:r>
      <w:r w:rsidR="007D53F8">
        <w:rPr>
          <w:rFonts w:ascii="Avenir Next" w:hAnsi="Avenir Next"/>
          <w:color w:val="auto"/>
          <w:sz w:val="24"/>
        </w:rPr>
        <w:t xml:space="preserve"> no</w:t>
      </w:r>
      <w:r w:rsidR="007D4CF1">
        <w:rPr>
          <w:rFonts w:ascii="Avenir Next" w:hAnsi="Avenir Next"/>
          <w:color w:val="auto"/>
          <w:sz w:val="24"/>
        </w:rPr>
        <w:t xml:space="preserve"> solo de</w:t>
      </w:r>
      <w:r w:rsidR="00A87745">
        <w:rPr>
          <w:rFonts w:ascii="Avenir Next" w:hAnsi="Avenir Next"/>
          <w:color w:val="auto"/>
          <w:sz w:val="24"/>
        </w:rPr>
        <w:t>l aumento del empleo</w:t>
      </w:r>
      <w:r w:rsidR="007D4CF1">
        <w:rPr>
          <w:rFonts w:ascii="Avenir Next" w:hAnsi="Avenir Next"/>
          <w:color w:val="auto"/>
          <w:sz w:val="24"/>
        </w:rPr>
        <w:t xml:space="preserve"> sino del crecimiento de la economía andaluza en el segundo trimestre de este año.</w:t>
      </w:r>
    </w:p>
    <w:p w14:paraId="4D7AEBC4" w14:textId="2B99F916" w:rsidR="00BB436B" w:rsidRDefault="00A62F6B" w:rsidP="00E46BAE">
      <w:pPr>
        <w:pStyle w:val="BodyA"/>
        <w:spacing w:before="100" w:after="100"/>
        <w:jc w:val="both"/>
        <w:rPr>
          <w:rFonts w:ascii="Avenir Next" w:hAnsi="Avenir Next"/>
          <w:color w:val="auto"/>
          <w:sz w:val="24"/>
        </w:rPr>
      </w:pPr>
      <w:r>
        <w:rPr>
          <w:rFonts w:ascii="Avenir Next" w:hAnsi="Avenir Next"/>
          <w:color w:val="auto"/>
          <w:sz w:val="24"/>
        </w:rPr>
        <w:t xml:space="preserve">Esto es lo que </w:t>
      </w:r>
      <w:r w:rsidR="00121CEF">
        <w:rPr>
          <w:rFonts w:ascii="Avenir Next" w:hAnsi="Avenir Next"/>
          <w:color w:val="auto"/>
          <w:sz w:val="24"/>
        </w:rPr>
        <w:t>refleja</w:t>
      </w:r>
      <w:r w:rsidR="00B029F6">
        <w:rPr>
          <w:rFonts w:ascii="Avenir Next" w:hAnsi="Avenir Next"/>
          <w:color w:val="auto"/>
          <w:sz w:val="24"/>
        </w:rPr>
        <w:t>n</w:t>
      </w:r>
      <w:r w:rsidR="00121CEF">
        <w:rPr>
          <w:rFonts w:ascii="Avenir Next" w:hAnsi="Avenir Next"/>
          <w:color w:val="auto"/>
          <w:sz w:val="24"/>
        </w:rPr>
        <w:t xml:space="preserve"> indicadores </w:t>
      </w:r>
      <w:r w:rsidR="007D53F8">
        <w:rPr>
          <w:rFonts w:ascii="Avenir Next" w:hAnsi="Avenir Next"/>
          <w:color w:val="auto"/>
          <w:sz w:val="24"/>
        </w:rPr>
        <w:t>como el</w:t>
      </w:r>
      <w:r w:rsidR="00121CEF">
        <w:rPr>
          <w:rFonts w:ascii="Avenir Next" w:hAnsi="Avenir Next"/>
          <w:color w:val="auto"/>
          <w:sz w:val="24"/>
        </w:rPr>
        <w:t xml:space="preserve"> índice del comercio al por </w:t>
      </w:r>
      <w:r w:rsidR="007D53F8">
        <w:rPr>
          <w:rFonts w:ascii="Avenir Next" w:hAnsi="Avenir Next"/>
          <w:color w:val="auto"/>
          <w:sz w:val="24"/>
        </w:rPr>
        <w:t>menor</w:t>
      </w:r>
      <w:r w:rsidR="00B029F6">
        <w:rPr>
          <w:rFonts w:ascii="Avenir Next" w:hAnsi="Avenir Next"/>
          <w:color w:val="auto"/>
          <w:sz w:val="24"/>
        </w:rPr>
        <w:t>,</w:t>
      </w:r>
      <w:r w:rsidR="00804A3C">
        <w:rPr>
          <w:rFonts w:ascii="Avenir Next" w:hAnsi="Avenir Next"/>
          <w:color w:val="auto"/>
          <w:sz w:val="24"/>
        </w:rPr>
        <w:t xml:space="preserve"> </w:t>
      </w:r>
      <w:r w:rsidR="002E4E59">
        <w:rPr>
          <w:rFonts w:ascii="Avenir Next" w:hAnsi="Avenir Next"/>
          <w:color w:val="auto"/>
          <w:sz w:val="24"/>
        </w:rPr>
        <w:t xml:space="preserve">que </w:t>
      </w:r>
      <w:r w:rsidR="007D53F8">
        <w:rPr>
          <w:rFonts w:ascii="Avenir Next" w:hAnsi="Avenir Next"/>
          <w:color w:val="auto"/>
          <w:sz w:val="24"/>
        </w:rPr>
        <w:t>en</w:t>
      </w:r>
      <w:r w:rsidR="00121CEF">
        <w:rPr>
          <w:rFonts w:ascii="Avenir Next" w:hAnsi="Avenir Next"/>
          <w:color w:val="auto"/>
          <w:sz w:val="24"/>
        </w:rPr>
        <w:t xml:space="preserve"> los meses de abril a </w:t>
      </w:r>
      <w:r w:rsidR="00F40A03">
        <w:rPr>
          <w:rFonts w:ascii="Avenir Next" w:hAnsi="Avenir Next"/>
          <w:color w:val="auto"/>
          <w:sz w:val="24"/>
        </w:rPr>
        <w:t xml:space="preserve">junio </w:t>
      </w:r>
      <w:r w:rsidR="00121CEF">
        <w:rPr>
          <w:rFonts w:ascii="Avenir Next" w:hAnsi="Avenir Next"/>
          <w:color w:val="auto"/>
          <w:sz w:val="24"/>
        </w:rPr>
        <w:t xml:space="preserve">aumentó a ritmos superiores al </w:t>
      </w:r>
      <w:r w:rsidR="00A87745">
        <w:rPr>
          <w:rFonts w:ascii="Avenir Next" w:hAnsi="Avenir Next"/>
          <w:color w:val="auto"/>
          <w:sz w:val="24"/>
        </w:rPr>
        <w:t xml:space="preserve">3 </w:t>
      </w:r>
      <w:r w:rsidR="00121CEF">
        <w:rPr>
          <w:rFonts w:ascii="Avenir Next" w:hAnsi="Avenir Next"/>
          <w:color w:val="auto"/>
          <w:sz w:val="24"/>
        </w:rPr>
        <w:t>%</w:t>
      </w:r>
      <w:r w:rsidR="00A87745">
        <w:rPr>
          <w:rFonts w:ascii="Avenir Next" w:hAnsi="Avenir Next"/>
          <w:color w:val="auto"/>
          <w:sz w:val="24"/>
        </w:rPr>
        <w:t>, registro tres veces superior a la media española</w:t>
      </w:r>
      <w:r w:rsidR="00121CEF">
        <w:rPr>
          <w:rFonts w:ascii="Avenir Next" w:hAnsi="Avenir Next"/>
          <w:color w:val="auto"/>
          <w:sz w:val="24"/>
        </w:rPr>
        <w:t>.</w:t>
      </w:r>
      <w:r w:rsidR="005006D0">
        <w:rPr>
          <w:rFonts w:ascii="Avenir Next" w:hAnsi="Avenir Next"/>
          <w:color w:val="auto"/>
          <w:sz w:val="24"/>
        </w:rPr>
        <w:t xml:space="preserve"> Este crecimiento, una vez descontados los precios y eliminadas las ventas en estaciones de servicios</w:t>
      </w:r>
      <w:r w:rsidR="00804A3C">
        <w:rPr>
          <w:rFonts w:ascii="Avenir Next" w:hAnsi="Avenir Next"/>
          <w:color w:val="auto"/>
          <w:sz w:val="24"/>
        </w:rPr>
        <w:t>,</w:t>
      </w:r>
      <w:r w:rsidR="005006D0">
        <w:rPr>
          <w:rFonts w:ascii="Avenir Next" w:hAnsi="Avenir Next"/>
          <w:color w:val="auto"/>
          <w:sz w:val="24"/>
        </w:rPr>
        <w:t xml:space="preserve"> se reduce al 1,6 %, aun </w:t>
      </w:r>
      <w:r w:rsidR="00AE41E6">
        <w:rPr>
          <w:rFonts w:ascii="Avenir Next" w:hAnsi="Avenir Next"/>
          <w:color w:val="auto"/>
          <w:sz w:val="24"/>
        </w:rPr>
        <w:t>así,</w:t>
      </w:r>
      <w:r w:rsidR="005006D0">
        <w:rPr>
          <w:rFonts w:ascii="Avenir Next" w:hAnsi="Avenir Next"/>
          <w:color w:val="auto"/>
          <w:sz w:val="24"/>
        </w:rPr>
        <w:t xml:space="preserve"> superior a la media española (0,2 %). </w:t>
      </w:r>
      <w:r w:rsidR="00121CEF">
        <w:rPr>
          <w:rFonts w:ascii="Avenir Next" w:hAnsi="Avenir Next"/>
          <w:color w:val="auto"/>
          <w:sz w:val="24"/>
        </w:rPr>
        <w:t>Esta evolución</w:t>
      </w:r>
      <w:r>
        <w:rPr>
          <w:rFonts w:ascii="Avenir Next" w:hAnsi="Avenir Next"/>
          <w:color w:val="auto"/>
          <w:sz w:val="24"/>
        </w:rPr>
        <w:t>,</w:t>
      </w:r>
      <w:r w:rsidR="00121CEF">
        <w:rPr>
          <w:rFonts w:ascii="Avenir Next" w:hAnsi="Avenir Next"/>
          <w:color w:val="auto"/>
          <w:sz w:val="24"/>
        </w:rPr>
        <w:t xml:space="preserve"> en un entorno de fuerte repunte de los </w:t>
      </w:r>
      <w:r w:rsidR="00F40A03">
        <w:rPr>
          <w:rFonts w:ascii="Avenir Next" w:hAnsi="Avenir Next"/>
          <w:color w:val="auto"/>
          <w:sz w:val="24"/>
        </w:rPr>
        <w:t>precios</w:t>
      </w:r>
      <w:r>
        <w:rPr>
          <w:rFonts w:ascii="Avenir Next" w:hAnsi="Avenir Next"/>
          <w:color w:val="auto"/>
          <w:sz w:val="24"/>
        </w:rPr>
        <w:t>,</w:t>
      </w:r>
      <w:r w:rsidR="00F40A03">
        <w:rPr>
          <w:rFonts w:ascii="Avenir Next" w:hAnsi="Avenir Next"/>
          <w:color w:val="auto"/>
          <w:sz w:val="24"/>
        </w:rPr>
        <w:t xml:space="preserve"> podría</w:t>
      </w:r>
      <w:r w:rsidR="00121CEF">
        <w:rPr>
          <w:rFonts w:ascii="Avenir Next" w:hAnsi="Avenir Next"/>
          <w:color w:val="auto"/>
          <w:sz w:val="24"/>
        </w:rPr>
        <w:t xml:space="preserve"> pensarse que es contraintuitiva.</w:t>
      </w:r>
      <w:r w:rsidR="00804A3C">
        <w:rPr>
          <w:rFonts w:ascii="Avenir Next" w:hAnsi="Avenir Next"/>
          <w:color w:val="auto"/>
          <w:sz w:val="24"/>
        </w:rPr>
        <w:t xml:space="preserve"> </w:t>
      </w:r>
      <w:r w:rsidR="0086632F">
        <w:rPr>
          <w:rFonts w:ascii="Avenir Next" w:hAnsi="Avenir Next"/>
          <w:color w:val="auto"/>
          <w:sz w:val="24"/>
        </w:rPr>
        <w:t>Sin embargo,</w:t>
      </w:r>
      <w:r w:rsidR="00804A3C">
        <w:rPr>
          <w:rFonts w:ascii="Avenir Next" w:hAnsi="Avenir Next"/>
          <w:color w:val="auto"/>
          <w:sz w:val="24"/>
        </w:rPr>
        <w:t xml:space="preserve"> </w:t>
      </w:r>
      <w:r w:rsidR="0054166F">
        <w:rPr>
          <w:rFonts w:ascii="Avenir Next" w:hAnsi="Avenir Next"/>
          <w:color w:val="auto"/>
          <w:sz w:val="24"/>
        </w:rPr>
        <w:t>esta recuperación del consumo frente a un primer trimestre negativo</w:t>
      </w:r>
      <w:r w:rsidR="00804A3C">
        <w:rPr>
          <w:rFonts w:ascii="Avenir Next" w:hAnsi="Avenir Next"/>
          <w:color w:val="auto"/>
          <w:sz w:val="24"/>
        </w:rPr>
        <w:t xml:space="preserve"> </w:t>
      </w:r>
      <w:r w:rsidR="0054166F">
        <w:rPr>
          <w:rFonts w:ascii="Avenir Next" w:hAnsi="Avenir Next"/>
          <w:color w:val="auto"/>
          <w:sz w:val="24"/>
        </w:rPr>
        <w:t>se explicaría</w:t>
      </w:r>
      <w:r w:rsidR="0086632F">
        <w:rPr>
          <w:rFonts w:ascii="Avenir Next" w:hAnsi="Avenir Next"/>
          <w:color w:val="auto"/>
          <w:sz w:val="24"/>
        </w:rPr>
        <w:t xml:space="preserve"> por la desaparición de los </w:t>
      </w:r>
      <w:r w:rsidR="0054166F">
        <w:rPr>
          <w:rFonts w:ascii="Avenir Next" w:hAnsi="Avenir Next"/>
          <w:color w:val="auto"/>
          <w:sz w:val="24"/>
        </w:rPr>
        <w:t xml:space="preserve">factores </w:t>
      </w:r>
      <w:r w:rsidR="00B029F6">
        <w:rPr>
          <w:rFonts w:ascii="Avenir Next" w:hAnsi="Avenir Next"/>
          <w:color w:val="auto"/>
          <w:sz w:val="24"/>
        </w:rPr>
        <w:t xml:space="preserve">que frenaron el consumo </w:t>
      </w:r>
      <w:r w:rsidR="0054166F">
        <w:rPr>
          <w:rFonts w:ascii="Avenir Next" w:hAnsi="Avenir Next"/>
          <w:color w:val="auto"/>
          <w:sz w:val="24"/>
        </w:rPr>
        <w:t>a finales de invierno</w:t>
      </w:r>
      <w:r>
        <w:rPr>
          <w:rFonts w:ascii="Avenir Next" w:hAnsi="Avenir Next"/>
          <w:color w:val="auto"/>
          <w:sz w:val="24"/>
        </w:rPr>
        <w:t>.</w:t>
      </w:r>
    </w:p>
    <w:p w14:paraId="7FB394AB" w14:textId="1B5B7536" w:rsidR="008229C2" w:rsidRDefault="00C111AC" w:rsidP="00E46BAE">
      <w:pPr>
        <w:pStyle w:val="BodyA"/>
        <w:spacing w:before="100" w:after="100"/>
        <w:jc w:val="both"/>
        <w:rPr>
          <w:rFonts w:ascii="Avenir Next" w:hAnsi="Avenir Next"/>
          <w:color w:val="auto"/>
          <w:sz w:val="24"/>
        </w:rPr>
      </w:pPr>
      <w:r>
        <w:rPr>
          <w:rFonts w:ascii="Avenir Next" w:hAnsi="Avenir Next"/>
          <w:color w:val="auto"/>
          <w:sz w:val="24"/>
        </w:rPr>
        <w:t>Particular relevancia tiene también</w:t>
      </w:r>
      <w:r w:rsidR="005A2664">
        <w:rPr>
          <w:rFonts w:ascii="Avenir Next" w:hAnsi="Avenir Next"/>
          <w:color w:val="auto"/>
          <w:sz w:val="24"/>
        </w:rPr>
        <w:t>,</w:t>
      </w:r>
      <w:r>
        <w:rPr>
          <w:rFonts w:ascii="Avenir Next" w:hAnsi="Avenir Next"/>
          <w:color w:val="auto"/>
          <w:sz w:val="24"/>
        </w:rPr>
        <w:t xml:space="preserve"> desde el lado de la </w:t>
      </w:r>
      <w:r w:rsidR="004343F7">
        <w:rPr>
          <w:rFonts w:ascii="Avenir Next" w:hAnsi="Avenir Next"/>
          <w:color w:val="auto"/>
          <w:sz w:val="24"/>
        </w:rPr>
        <w:t>demanda</w:t>
      </w:r>
      <w:r w:rsidR="005A2664">
        <w:rPr>
          <w:rFonts w:ascii="Avenir Next" w:hAnsi="Avenir Next"/>
          <w:color w:val="auto"/>
          <w:sz w:val="24"/>
        </w:rPr>
        <w:t>,</w:t>
      </w:r>
      <w:r w:rsidR="00804A3C">
        <w:rPr>
          <w:rFonts w:ascii="Avenir Next" w:hAnsi="Avenir Next"/>
          <w:color w:val="auto"/>
          <w:sz w:val="24"/>
        </w:rPr>
        <w:t xml:space="preserve"> </w:t>
      </w:r>
      <w:r>
        <w:rPr>
          <w:rFonts w:ascii="Avenir Next" w:hAnsi="Avenir Next"/>
          <w:color w:val="auto"/>
          <w:sz w:val="24"/>
        </w:rPr>
        <w:t xml:space="preserve">el consumo de los no </w:t>
      </w:r>
      <w:r w:rsidR="005006D0">
        <w:rPr>
          <w:rFonts w:ascii="Avenir Next" w:hAnsi="Avenir Next"/>
          <w:color w:val="auto"/>
          <w:sz w:val="24"/>
        </w:rPr>
        <w:t>residentes. Tanto</w:t>
      </w:r>
      <w:r>
        <w:rPr>
          <w:rFonts w:ascii="Avenir Next" w:hAnsi="Avenir Next"/>
          <w:color w:val="auto"/>
          <w:sz w:val="24"/>
        </w:rPr>
        <w:t xml:space="preserve"> los indicadores de ocupación hotelera como los de coyuntura </w:t>
      </w:r>
      <w:r w:rsidR="00716853">
        <w:rPr>
          <w:rFonts w:ascii="Avenir Next" w:hAnsi="Avenir Next"/>
          <w:color w:val="auto"/>
          <w:sz w:val="24"/>
        </w:rPr>
        <w:t>turística del</w:t>
      </w:r>
      <w:r w:rsidR="00804A3C">
        <w:rPr>
          <w:rFonts w:ascii="Avenir Next" w:hAnsi="Avenir Next"/>
          <w:color w:val="auto"/>
          <w:sz w:val="24"/>
        </w:rPr>
        <w:t xml:space="preserve"> </w:t>
      </w:r>
      <w:r w:rsidR="004343F7">
        <w:rPr>
          <w:rFonts w:ascii="Avenir Next" w:hAnsi="Avenir Next"/>
          <w:color w:val="auto"/>
          <w:sz w:val="24"/>
        </w:rPr>
        <w:t>Instituto de</w:t>
      </w:r>
      <w:r w:rsidR="00585751">
        <w:rPr>
          <w:rFonts w:ascii="Avenir Next" w:hAnsi="Avenir Next"/>
          <w:color w:val="auto"/>
          <w:sz w:val="24"/>
        </w:rPr>
        <w:t xml:space="preserve"> </w:t>
      </w:r>
      <w:r w:rsidR="005006D0">
        <w:rPr>
          <w:rFonts w:ascii="Avenir Next" w:hAnsi="Avenir Next"/>
          <w:color w:val="auto"/>
          <w:sz w:val="24"/>
        </w:rPr>
        <w:t>E</w:t>
      </w:r>
      <w:r>
        <w:rPr>
          <w:rFonts w:ascii="Avenir Next" w:hAnsi="Avenir Next"/>
          <w:color w:val="auto"/>
          <w:sz w:val="24"/>
        </w:rPr>
        <w:t xml:space="preserve">stadística y </w:t>
      </w:r>
      <w:r w:rsidR="005006D0">
        <w:rPr>
          <w:rFonts w:ascii="Avenir Next" w:hAnsi="Avenir Next"/>
          <w:color w:val="auto"/>
          <w:sz w:val="24"/>
        </w:rPr>
        <w:t>C</w:t>
      </w:r>
      <w:r>
        <w:rPr>
          <w:rFonts w:ascii="Avenir Next" w:hAnsi="Avenir Next"/>
          <w:color w:val="auto"/>
          <w:sz w:val="24"/>
        </w:rPr>
        <w:t xml:space="preserve">artografía de </w:t>
      </w:r>
      <w:r w:rsidR="001D62EB">
        <w:rPr>
          <w:rFonts w:ascii="Avenir Next" w:hAnsi="Avenir Next"/>
          <w:color w:val="auto"/>
          <w:sz w:val="24"/>
        </w:rPr>
        <w:t>Andalucía</w:t>
      </w:r>
      <w:r w:rsidR="004343F7">
        <w:rPr>
          <w:rFonts w:ascii="Avenir Next" w:hAnsi="Avenir Next"/>
          <w:color w:val="auto"/>
          <w:sz w:val="24"/>
        </w:rPr>
        <w:t xml:space="preserve"> muestran</w:t>
      </w:r>
      <w:r>
        <w:rPr>
          <w:rFonts w:ascii="Avenir Next" w:hAnsi="Avenir Next"/>
          <w:color w:val="auto"/>
          <w:sz w:val="24"/>
        </w:rPr>
        <w:t xml:space="preserve"> un considerable </w:t>
      </w:r>
      <w:r w:rsidR="004343F7">
        <w:rPr>
          <w:rFonts w:ascii="Avenir Next" w:hAnsi="Avenir Next"/>
          <w:color w:val="auto"/>
          <w:sz w:val="24"/>
        </w:rPr>
        <w:t>aumento del</w:t>
      </w:r>
      <w:r w:rsidR="00F44CFC">
        <w:rPr>
          <w:rFonts w:ascii="Avenir Next" w:hAnsi="Avenir Next"/>
          <w:color w:val="auto"/>
          <w:sz w:val="24"/>
        </w:rPr>
        <w:t xml:space="preserve"> número de turistas</w:t>
      </w:r>
      <w:r w:rsidR="005006D0">
        <w:rPr>
          <w:rFonts w:ascii="Avenir Next" w:hAnsi="Avenir Next"/>
          <w:color w:val="auto"/>
          <w:sz w:val="24"/>
        </w:rPr>
        <w:t>,</w:t>
      </w:r>
      <w:r w:rsidR="00804A3C">
        <w:rPr>
          <w:rFonts w:ascii="Avenir Next" w:hAnsi="Avenir Next"/>
          <w:color w:val="auto"/>
          <w:sz w:val="24"/>
        </w:rPr>
        <w:t xml:space="preserve"> </w:t>
      </w:r>
      <w:r w:rsidR="004343F7">
        <w:rPr>
          <w:rFonts w:ascii="Avenir Next" w:hAnsi="Avenir Next"/>
          <w:color w:val="auto"/>
          <w:sz w:val="24"/>
        </w:rPr>
        <w:t>pernoctaciones y</w:t>
      </w:r>
      <w:r w:rsidR="00F44CFC">
        <w:rPr>
          <w:rFonts w:ascii="Avenir Next" w:hAnsi="Avenir Next"/>
          <w:color w:val="auto"/>
          <w:sz w:val="24"/>
        </w:rPr>
        <w:t xml:space="preserve"> gasto.</w:t>
      </w:r>
      <w:r w:rsidR="00804A3C">
        <w:rPr>
          <w:rFonts w:ascii="Avenir Next" w:hAnsi="Avenir Next"/>
          <w:color w:val="auto"/>
          <w:sz w:val="24"/>
        </w:rPr>
        <w:t xml:space="preserve"> </w:t>
      </w:r>
      <w:r w:rsidR="00F44CFC">
        <w:rPr>
          <w:rFonts w:ascii="Avenir Next" w:hAnsi="Avenir Next"/>
          <w:color w:val="auto"/>
          <w:sz w:val="24"/>
        </w:rPr>
        <w:t>No cabe duda</w:t>
      </w:r>
      <w:r w:rsidR="004343F7">
        <w:rPr>
          <w:rFonts w:ascii="Avenir Next" w:hAnsi="Avenir Next"/>
          <w:color w:val="auto"/>
          <w:sz w:val="24"/>
        </w:rPr>
        <w:t xml:space="preserve"> </w:t>
      </w:r>
      <w:r w:rsidR="001F7888">
        <w:rPr>
          <w:rFonts w:ascii="Avenir Next" w:hAnsi="Avenir Next"/>
          <w:color w:val="auto"/>
          <w:sz w:val="24"/>
        </w:rPr>
        <w:t>de que</w:t>
      </w:r>
      <w:r w:rsidR="004343F7">
        <w:rPr>
          <w:rFonts w:ascii="Avenir Next" w:hAnsi="Avenir Next"/>
          <w:color w:val="auto"/>
          <w:sz w:val="24"/>
        </w:rPr>
        <w:t xml:space="preserve"> </w:t>
      </w:r>
      <w:r w:rsidR="00F44CFC">
        <w:rPr>
          <w:rFonts w:ascii="Avenir Next" w:hAnsi="Avenir Next"/>
          <w:color w:val="auto"/>
          <w:sz w:val="24"/>
        </w:rPr>
        <w:t xml:space="preserve">la recuperación del turismo </w:t>
      </w:r>
      <w:r w:rsidR="004343F7">
        <w:rPr>
          <w:rFonts w:ascii="Avenir Next" w:hAnsi="Avenir Next"/>
          <w:color w:val="auto"/>
          <w:sz w:val="24"/>
        </w:rPr>
        <w:t xml:space="preserve">andaluz </w:t>
      </w:r>
      <w:r w:rsidR="005006D0">
        <w:rPr>
          <w:rFonts w:ascii="Avenir Next" w:hAnsi="Avenir Next"/>
          <w:color w:val="auto"/>
          <w:sz w:val="24"/>
        </w:rPr>
        <w:t xml:space="preserve">se uniría al consumo en la explicación </w:t>
      </w:r>
      <w:r w:rsidR="002E4E59">
        <w:rPr>
          <w:rFonts w:ascii="Avenir Next" w:hAnsi="Avenir Next"/>
          <w:color w:val="auto"/>
          <w:sz w:val="24"/>
        </w:rPr>
        <w:t>d</w:t>
      </w:r>
      <w:r w:rsidR="00F44CFC">
        <w:rPr>
          <w:rFonts w:ascii="Avenir Next" w:hAnsi="Avenir Next"/>
          <w:color w:val="auto"/>
          <w:sz w:val="24"/>
        </w:rPr>
        <w:t xml:space="preserve">el crecimiento durante </w:t>
      </w:r>
      <w:r w:rsidR="005006D0">
        <w:rPr>
          <w:rFonts w:ascii="Avenir Next" w:hAnsi="Avenir Next"/>
          <w:color w:val="auto"/>
          <w:sz w:val="24"/>
        </w:rPr>
        <w:t>el segund</w:t>
      </w:r>
      <w:r w:rsidR="002E4E59">
        <w:rPr>
          <w:rFonts w:ascii="Avenir Next" w:hAnsi="Avenir Next"/>
          <w:color w:val="auto"/>
          <w:sz w:val="24"/>
        </w:rPr>
        <w:t xml:space="preserve">o </w:t>
      </w:r>
      <w:r w:rsidR="005006D0">
        <w:rPr>
          <w:rFonts w:ascii="Avenir Next" w:hAnsi="Avenir Next"/>
          <w:color w:val="auto"/>
          <w:sz w:val="24"/>
        </w:rPr>
        <w:t>trimestre</w:t>
      </w:r>
      <w:r w:rsidR="00A553E9">
        <w:rPr>
          <w:rFonts w:ascii="Avenir Next" w:hAnsi="Avenir Next"/>
          <w:color w:val="auto"/>
          <w:sz w:val="24"/>
        </w:rPr>
        <w:t>, pero</w:t>
      </w:r>
      <w:r w:rsidR="00804A3C">
        <w:rPr>
          <w:rFonts w:ascii="Avenir Next" w:hAnsi="Avenir Next"/>
          <w:color w:val="auto"/>
          <w:sz w:val="24"/>
        </w:rPr>
        <w:t xml:space="preserve"> </w:t>
      </w:r>
      <w:r w:rsidR="00A62F6B">
        <w:rPr>
          <w:rFonts w:ascii="Avenir Next" w:hAnsi="Avenir Next"/>
          <w:color w:val="auto"/>
          <w:sz w:val="24"/>
        </w:rPr>
        <w:t>no ha sido tan intenso como en el resto de España</w:t>
      </w:r>
      <w:r w:rsidR="00804A3C">
        <w:rPr>
          <w:rFonts w:ascii="Avenir Next" w:hAnsi="Avenir Next"/>
          <w:color w:val="auto"/>
          <w:sz w:val="24"/>
        </w:rPr>
        <w:t>, lo</w:t>
      </w:r>
      <w:r w:rsidR="00A62F6B">
        <w:rPr>
          <w:rFonts w:ascii="Avenir Next" w:hAnsi="Avenir Next"/>
          <w:color w:val="auto"/>
          <w:sz w:val="24"/>
        </w:rPr>
        <w:t xml:space="preserve"> que podría explicarse, </w:t>
      </w:r>
      <w:r w:rsidR="0019547F">
        <w:rPr>
          <w:rFonts w:ascii="Avenir Next" w:hAnsi="Avenir Next"/>
          <w:color w:val="auto"/>
          <w:sz w:val="24"/>
        </w:rPr>
        <w:t>en buena</w:t>
      </w:r>
      <w:r w:rsidR="00F44CFC">
        <w:rPr>
          <w:rFonts w:ascii="Avenir Next" w:hAnsi="Avenir Next"/>
          <w:color w:val="auto"/>
          <w:sz w:val="24"/>
        </w:rPr>
        <w:t xml:space="preserve"> parte</w:t>
      </w:r>
      <w:r w:rsidR="00A62F6B">
        <w:rPr>
          <w:rFonts w:ascii="Avenir Next" w:hAnsi="Avenir Next"/>
          <w:color w:val="auto"/>
          <w:sz w:val="24"/>
        </w:rPr>
        <w:t xml:space="preserve">, por </w:t>
      </w:r>
      <w:r w:rsidR="00A553E9">
        <w:rPr>
          <w:rFonts w:ascii="Avenir Next" w:hAnsi="Avenir Next"/>
          <w:color w:val="auto"/>
          <w:sz w:val="24"/>
        </w:rPr>
        <w:t xml:space="preserve">el </w:t>
      </w:r>
      <w:r w:rsidR="00705081">
        <w:rPr>
          <w:rFonts w:ascii="Avenir Next" w:hAnsi="Avenir Next"/>
          <w:color w:val="auto"/>
          <w:sz w:val="24"/>
        </w:rPr>
        <w:t xml:space="preserve">mayor crecimiento del sector turístico en regiones que </w:t>
      </w:r>
      <w:r w:rsidR="00663666">
        <w:rPr>
          <w:rFonts w:ascii="Avenir Next" w:hAnsi="Avenir Next"/>
          <w:color w:val="auto"/>
          <w:sz w:val="24"/>
        </w:rPr>
        <w:t>aún destacaban</w:t>
      </w:r>
      <w:r w:rsidR="00705081">
        <w:rPr>
          <w:rFonts w:ascii="Avenir Next" w:hAnsi="Avenir Next"/>
          <w:color w:val="auto"/>
          <w:sz w:val="24"/>
        </w:rPr>
        <w:t xml:space="preserve"> por una brecha elevada desde el inicio de la pandemia</w:t>
      </w:r>
      <w:r w:rsidR="00A62F6B">
        <w:rPr>
          <w:rFonts w:ascii="Avenir Next" w:hAnsi="Avenir Next"/>
          <w:color w:val="auto"/>
          <w:sz w:val="24"/>
        </w:rPr>
        <w:t xml:space="preserve">, como son </w:t>
      </w:r>
      <w:r w:rsidR="00663666">
        <w:rPr>
          <w:rFonts w:ascii="Avenir Next" w:hAnsi="Avenir Next"/>
          <w:color w:val="auto"/>
          <w:sz w:val="24"/>
        </w:rPr>
        <w:t xml:space="preserve">Baleares </w:t>
      </w:r>
      <w:r w:rsidR="00A62F6B">
        <w:rPr>
          <w:rFonts w:ascii="Avenir Next" w:hAnsi="Avenir Next"/>
          <w:color w:val="auto"/>
          <w:sz w:val="24"/>
        </w:rPr>
        <w:t xml:space="preserve">o </w:t>
      </w:r>
      <w:r w:rsidR="00663666">
        <w:rPr>
          <w:rFonts w:ascii="Avenir Next" w:hAnsi="Avenir Next"/>
          <w:color w:val="auto"/>
          <w:sz w:val="24"/>
        </w:rPr>
        <w:t>Ca</w:t>
      </w:r>
      <w:r w:rsidR="002D28EA">
        <w:rPr>
          <w:rFonts w:ascii="Avenir Next" w:hAnsi="Avenir Next"/>
          <w:color w:val="auto"/>
          <w:sz w:val="24"/>
        </w:rPr>
        <w:t>n</w:t>
      </w:r>
      <w:r w:rsidR="00663666">
        <w:rPr>
          <w:rFonts w:ascii="Avenir Next" w:hAnsi="Avenir Next"/>
          <w:color w:val="auto"/>
          <w:sz w:val="24"/>
        </w:rPr>
        <w:t>ar</w:t>
      </w:r>
      <w:r w:rsidR="002D28EA">
        <w:rPr>
          <w:rFonts w:ascii="Avenir Next" w:hAnsi="Avenir Next"/>
          <w:color w:val="auto"/>
          <w:sz w:val="24"/>
        </w:rPr>
        <w:t>i</w:t>
      </w:r>
      <w:r w:rsidR="00663666">
        <w:rPr>
          <w:rFonts w:ascii="Avenir Next" w:hAnsi="Avenir Next"/>
          <w:color w:val="auto"/>
          <w:sz w:val="24"/>
        </w:rPr>
        <w:t>as</w:t>
      </w:r>
      <w:r w:rsidR="00705081">
        <w:rPr>
          <w:rFonts w:ascii="Avenir Next" w:hAnsi="Avenir Next"/>
          <w:color w:val="auto"/>
          <w:sz w:val="24"/>
        </w:rPr>
        <w:t>.</w:t>
      </w:r>
    </w:p>
    <w:p w14:paraId="275B557D" w14:textId="762F9209" w:rsidR="00CC5E19" w:rsidRDefault="008229C2" w:rsidP="00E46BAE">
      <w:pPr>
        <w:pStyle w:val="BodyA"/>
        <w:spacing w:before="100" w:after="100"/>
        <w:jc w:val="both"/>
        <w:rPr>
          <w:rFonts w:ascii="Avenir Next" w:hAnsi="Avenir Next"/>
          <w:color w:val="auto"/>
          <w:sz w:val="24"/>
        </w:rPr>
      </w:pPr>
      <w:r>
        <w:rPr>
          <w:rFonts w:ascii="Avenir Next" w:hAnsi="Avenir Next"/>
          <w:color w:val="auto"/>
          <w:sz w:val="24"/>
        </w:rPr>
        <w:t xml:space="preserve">En </w:t>
      </w:r>
      <w:r w:rsidR="00830F58">
        <w:rPr>
          <w:rFonts w:ascii="Avenir Next" w:hAnsi="Avenir Next"/>
          <w:color w:val="auto"/>
          <w:sz w:val="24"/>
        </w:rPr>
        <w:t>cuanto a la inversión,</w:t>
      </w:r>
      <w:r>
        <w:rPr>
          <w:rFonts w:ascii="Avenir Next" w:hAnsi="Avenir Next"/>
          <w:color w:val="auto"/>
          <w:sz w:val="24"/>
        </w:rPr>
        <w:t xml:space="preserve"> los</w:t>
      </w:r>
      <w:r w:rsidR="00830F58">
        <w:rPr>
          <w:rFonts w:ascii="Avenir Next" w:hAnsi="Avenir Next"/>
          <w:color w:val="auto"/>
          <w:sz w:val="24"/>
        </w:rPr>
        <w:t xml:space="preserve"> indicadores </w:t>
      </w:r>
      <w:r w:rsidR="00B029F6">
        <w:rPr>
          <w:rFonts w:ascii="Avenir Next" w:hAnsi="Avenir Next"/>
          <w:color w:val="auto"/>
          <w:sz w:val="24"/>
        </w:rPr>
        <w:t xml:space="preserve">disponibles </w:t>
      </w:r>
      <w:r w:rsidR="00830F58">
        <w:rPr>
          <w:rFonts w:ascii="Avenir Next" w:hAnsi="Avenir Next"/>
          <w:color w:val="auto"/>
          <w:sz w:val="24"/>
        </w:rPr>
        <w:t xml:space="preserve">son </w:t>
      </w:r>
      <w:r w:rsidR="002D28EA">
        <w:rPr>
          <w:rFonts w:ascii="Avenir Next" w:hAnsi="Avenir Next"/>
          <w:color w:val="auto"/>
          <w:sz w:val="24"/>
        </w:rPr>
        <w:t>positivos para el período analizado. Por</w:t>
      </w:r>
      <w:r w:rsidR="00830F58">
        <w:rPr>
          <w:rFonts w:ascii="Avenir Next" w:hAnsi="Avenir Next"/>
          <w:color w:val="auto"/>
          <w:sz w:val="24"/>
        </w:rPr>
        <w:t xml:space="preserve"> un </w:t>
      </w:r>
      <w:r w:rsidR="002D28EA">
        <w:rPr>
          <w:rFonts w:ascii="Avenir Next" w:hAnsi="Avenir Next"/>
          <w:color w:val="auto"/>
          <w:sz w:val="24"/>
        </w:rPr>
        <w:t>lado,</w:t>
      </w:r>
      <w:r w:rsidR="00830F58">
        <w:rPr>
          <w:rFonts w:ascii="Avenir Next" w:hAnsi="Avenir Next"/>
          <w:color w:val="auto"/>
          <w:sz w:val="24"/>
        </w:rPr>
        <w:t xml:space="preserve"> el sector de la construcción parece mantener un importante impulso,</w:t>
      </w:r>
      <w:r>
        <w:rPr>
          <w:rFonts w:ascii="Avenir Next" w:hAnsi="Avenir Next"/>
          <w:color w:val="auto"/>
          <w:sz w:val="24"/>
        </w:rPr>
        <w:t xml:space="preserve"> tanto</w:t>
      </w:r>
      <w:r w:rsidR="00830F58">
        <w:rPr>
          <w:rFonts w:ascii="Avenir Next" w:hAnsi="Avenir Next"/>
          <w:color w:val="auto"/>
          <w:sz w:val="24"/>
        </w:rPr>
        <w:t xml:space="preserve"> en edificación </w:t>
      </w:r>
      <w:r>
        <w:rPr>
          <w:rFonts w:ascii="Avenir Next" w:hAnsi="Avenir Next"/>
          <w:color w:val="auto"/>
          <w:sz w:val="24"/>
        </w:rPr>
        <w:t>privada como</w:t>
      </w:r>
      <w:r w:rsidR="00830F58">
        <w:rPr>
          <w:rFonts w:ascii="Avenir Next" w:hAnsi="Avenir Next"/>
          <w:color w:val="auto"/>
          <w:sz w:val="24"/>
        </w:rPr>
        <w:t xml:space="preserve"> en licitacione</w:t>
      </w:r>
      <w:r>
        <w:rPr>
          <w:rFonts w:ascii="Avenir Next" w:hAnsi="Avenir Next"/>
          <w:color w:val="auto"/>
          <w:sz w:val="24"/>
        </w:rPr>
        <w:t>s.</w:t>
      </w:r>
      <w:r w:rsidR="00585751">
        <w:rPr>
          <w:rFonts w:ascii="Avenir Next" w:hAnsi="Avenir Next"/>
          <w:color w:val="auto"/>
          <w:sz w:val="24"/>
        </w:rPr>
        <w:t xml:space="preserve"> </w:t>
      </w:r>
      <w:r>
        <w:rPr>
          <w:rFonts w:ascii="Avenir Next" w:hAnsi="Avenir Next"/>
          <w:color w:val="auto"/>
          <w:sz w:val="24"/>
        </w:rPr>
        <w:t>Sin</w:t>
      </w:r>
      <w:r w:rsidR="00585751">
        <w:rPr>
          <w:rFonts w:ascii="Avenir Next" w:hAnsi="Avenir Next"/>
          <w:color w:val="auto"/>
          <w:sz w:val="24"/>
        </w:rPr>
        <w:t xml:space="preserve"> </w:t>
      </w:r>
      <w:r w:rsidR="002D28EA">
        <w:rPr>
          <w:rFonts w:ascii="Avenir Next" w:hAnsi="Avenir Next"/>
          <w:color w:val="auto"/>
          <w:sz w:val="24"/>
        </w:rPr>
        <w:t>embargo,</w:t>
      </w:r>
      <w:r w:rsidR="00830F58">
        <w:rPr>
          <w:rFonts w:ascii="Avenir Next" w:hAnsi="Avenir Next"/>
          <w:color w:val="auto"/>
          <w:sz w:val="24"/>
        </w:rPr>
        <w:t xml:space="preserve"> los datos de inversión </w:t>
      </w:r>
      <w:r w:rsidR="00815DE9">
        <w:rPr>
          <w:rFonts w:ascii="Avenir Next" w:hAnsi="Avenir Next"/>
          <w:color w:val="auto"/>
          <w:sz w:val="24"/>
        </w:rPr>
        <w:t xml:space="preserve">extranjera </w:t>
      </w:r>
      <w:r w:rsidR="002D28EA">
        <w:rPr>
          <w:rFonts w:ascii="Avenir Next" w:hAnsi="Avenir Next"/>
          <w:color w:val="auto"/>
          <w:sz w:val="24"/>
        </w:rPr>
        <w:t xml:space="preserve">sí </w:t>
      </w:r>
      <w:r w:rsidR="00815DE9">
        <w:rPr>
          <w:rFonts w:ascii="Avenir Next" w:hAnsi="Avenir Next"/>
          <w:color w:val="auto"/>
          <w:sz w:val="24"/>
        </w:rPr>
        <w:t>se</w:t>
      </w:r>
      <w:r w:rsidR="00830F58">
        <w:rPr>
          <w:rFonts w:ascii="Avenir Next" w:hAnsi="Avenir Next"/>
          <w:color w:val="auto"/>
          <w:sz w:val="24"/>
        </w:rPr>
        <w:t xml:space="preserve"> han visto mermados de forma considerable durante el segundo </w:t>
      </w:r>
      <w:r w:rsidR="00815DE9">
        <w:rPr>
          <w:rFonts w:ascii="Avenir Next" w:hAnsi="Avenir Next"/>
          <w:color w:val="auto"/>
          <w:sz w:val="24"/>
        </w:rPr>
        <w:t>trimestre</w:t>
      </w:r>
      <w:r w:rsidR="002D28EA">
        <w:rPr>
          <w:rFonts w:ascii="Avenir Next" w:hAnsi="Avenir Next"/>
          <w:color w:val="auto"/>
          <w:sz w:val="24"/>
        </w:rPr>
        <w:t xml:space="preserve">, </w:t>
      </w:r>
      <w:r w:rsidR="00804A3C">
        <w:rPr>
          <w:rFonts w:ascii="Avenir Next" w:hAnsi="Avenir Next"/>
          <w:color w:val="auto"/>
          <w:sz w:val="24"/>
        </w:rPr>
        <w:t>aunque</w:t>
      </w:r>
      <w:r w:rsidR="002D28EA">
        <w:rPr>
          <w:rFonts w:ascii="Avenir Next" w:hAnsi="Avenir Next"/>
          <w:color w:val="auto"/>
          <w:sz w:val="24"/>
        </w:rPr>
        <w:t xml:space="preserve"> no debe</w:t>
      </w:r>
      <w:r w:rsidR="00630C75">
        <w:rPr>
          <w:rFonts w:ascii="Avenir Next" w:hAnsi="Avenir Next"/>
          <w:color w:val="auto"/>
          <w:sz w:val="24"/>
        </w:rPr>
        <w:t>n</w:t>
      </w:r>
      <w:r w:rsidR="002D28EA">
        <w:rPr>
          <w:rFonts w:ascii="Avenir Next" w:hAnsi="Avenir Next"/>
          <w:color w:val="auto"/>
          <w:sz w:val="24"/>
        </w:rPr>
        <w:t xml:space="preserve">, de momento, </w:t>
      </w:r>
      <w:r w:rsidR="001D62EB">
        <w:rPr>
          <w:rFonts w:ascii="Avenir Next" w:hAnsi="Avenir Next"/>
          <w:color w:val="auto"/>
          <w:sz w:val="24"/>
        </w:rPr>
        <w:t>implicar</w:t>
      </w:r>
      <w:r w:rsidR="002D28EA">
        <w:rPr>
          <w:rFonts w:ascii="Avenir Next" w:hAnsi="Avenir Next"/>
          <w:color w:val="auto"/>
          <w:sz w:val="24"/>
        </w:rPr>
        <w:t xml:space="preserve"> un cambio de tendencia</w:t>
      </w:r>
      <w:r w:rsidR="00815DE9">
        <w:rPr>
          <w:rFonts w:ascii="Avenir Next" w:hAnsi="Avenir Next"/>
          <w:color w:val="auto"/>
          <w:sz w:val="24"/>
        </w:rPr>
        <w:t>.</w:t>
      </w:r>
      <w:r w:rsidR="00804A3C">
        <w:rPr>
          <w:rFonts w:ascii="Avenir Next" w:hAnsi="Avenir Next"/>
          <w:color w:val="auto"/>
          <w:sz w:val="24"/>
        </w:rPr>
        <w:t xml:space="preserve"> </w:t>
      </w:r>
      <w:r w:rsidR="002D28EA">
        <w:rPr>
          <w:rFonts w:ascii="Avenir Next" w:hAnsi="Avenir Next"/>
          <w:color w:val="auto"/>
          <w:sz w:val="24"/>
        </w:rPr>
        <w:t>Los datos de afiliación en el sector</w:t>
      </w:r>
      <w:r w:rsidR="001D62EB">
        <w:rPr>
          <w:rFonts w:ascii="Avenir Next" w:hAnsi="Avenir Next"/>
          <w:color w:val="auto"/>
          <w:sz w:val="24"/>
        </w:rPr>
        <w:t xml:space="preserve"> de la construcción</w:t>
      </w:r>
      <w:r w:rsidR="002D28EA">
        <w:rPr>
          <w:rFonts w:ascii="Avenir Next" w:hAnsi="Avenir Next"/>
          <w:color w:val="auto"/>
          <w:sz w:val="24"/>
        </w:rPr>
        <w:t xml:space="preserve"> apoyan esta evolución positiva (+ 3,3 %). En cuanto a la inversión en equipos, de nuevo</w:t>
      </w:r>
      <w:r w:rsidR="00EB1A69">
        <w:rPr>
          <w:rFonts w:ascii="Avenir Next" w:hAnsi="Avenir Next"/>
          <w:color w:val="auto"/>
          <w:sz w:val="24"/>
        </w:rPr>
        <w:t>,</w:t>
      </w:r>
      <w:r w:rsidR="002D28EA">
        <w:rPr>
          <w:rFonts w:ascii="Avenir Next" w:hAnsi="Avenir Next"/>
          <w:color w:val="auto"/>
          <w:sz w:val="24"/>
        </w:rPr>
        <w:t xml:space="preserve"> tenemos que </w:t>
      </w:r>
      <w:r w:rsidR="00CC5E19">
        <w:rPr>
          <w:rFonts w:ascii="Avenir Next" w:hAnsi="Avenir Next"/>
          <w:color w:val="auto"/>
          <w:sz w:val="24"/>
        </w:rPr>
        <w:t>confiar en indicadores indirectos como son el índice de producción industrial de bienes de equipo o las matriculaciones de vehículos industriales</w:t>
      </w:r>
      <w:r w:rsidR="00585751">
        <w:rPr>
          <w:rFonts w:ascii="Avenir Next" w:hAnsi="Avenir Next"/>
          <w:color w:val="auto"/>
          <w:sz w:val="24"/>
        </w:rPr>
        <w:t xml:space="preserve">, que reflejan </w:t>
      </w:r>
      <w:r w:rsidR="00CC5E19">
        <w:rPr>
          <w:rFonts w:ascii="Avenir Next" w:hAnsi="Avenir Next"/>
          <w:color w:val="auto"/>
          <w:sz w:val="24"/>
        </w:rPr>
        <w:t>que, como viene ocurriendo desde la recuperación de la actividad tras la pandemia, ambos han mantenido una tendencia de crecimiento en estos últimos meses.</w:t>
      </w:r>
    </w:p>
    <w:p w14:paraId="75EB6F81" w14:textId="71A1C337" w:rsidR="004B68DD" w:rsidRDefault="005C4560" w:rsidP="00E46BAE">
      <w:pPr>
        <w:pStyle w:val="BodyA"/>
        <w:spacing w:before="100" w:after="100"/>
        <w:jc w:val="both"/>
        <w:rPr>
          <w:rFonts w:ascii="Avenir Next" w:hAnsi="Avenir Next"/>
          <w:color w:val="auto"/>
          <w:sz w:val="24"/>
        </w:rPr>
      </w:pPr>
      <w:r>
        <w:rPr>
          <w:rFonts w:ascii="Avenir Next" w:hAnsi="Avenir Next"/>
          <w:color w:val="auto"/>
          <w:sz w:val="24"/>
        </w:rPr>
        <w:t>Finalmente</w:t>
      </w:r>
      <w:r w:rsidR="007F076F">
        <w:rPr>
          <w:rFonts w:ascii="Avenir Next" w:hAnsi="Avenir Next"/>
          <w:color w:val="auto"/>
          <w:sz w:val="24"/>
        </w:rPr>
        <w:t xml:space="preserve">, </w:t>
      </w:r>
      <w:r>
        <w:rPr>
          <w:rFonts w:ascii="Avenir Next" w:hAnsi="Avenir Next"/>
          <w:color w:val="auto"/>
          <w:sz w:val="24"/>
        </w:rPr>
        <w:t>el sector exterior</w:t>
      </w:r>
      <w:r w:rsidR="007F076F">
        <w:rPr>
          <w:rFonts w:ascii="Avenir Next" w:hAnsi="Avenir Next"/>
          <w:color w:val="auto"/>
          <w:sz w:val="24"/>
        </w:rPr>
        <w:t xml:space="preserve"> ha</w:t>
      </w:r>
      <w:r w:rsidR="00585751">
        <w:rPr>
          <w:rFonts w:ascii="Avenir Next" w:hAnsi="Avenir Next"/>
          <w:color w:val="auto"/>
          <w:sz w:val="24"/>
        </w:rPr>
        <w:t xml:space="preserve"> </w:t>
      </w:r>
      <w:r w:rsidR="007F076F">
        <w:rPr>
          <w:rFonts w:ascii="Avenir Next" w:hAnsi="Avenir Next"/>
          <w:color w:val="auto"/>
          <w:sz w:val="24"/>
        </w:rPr>
        <w:t xml:space="preserve">sufrido </w:t>
      </w:r>
      <w:r w:rsidR="00716853">
        <w:rPr>
          <w:rFonts w:ascii="Avenir Next" w:hAnsi="Avenir Next"/>
          <w:color w:val="auto"/>
          <w:sz w:val="24"/>
        </w:rPr>
        <w:t>directamente las</w:t>
      </w:r>
      <w:r w:rsidR="00585751">
        <w:rPr>
          <w:rFonts w:ascii="Avenir Next" w:hAnsi="Avenir Next"/>
          <w:color w:val="auto"/>
          <w:sz w:val="24"/>
        </w:rPr>
        <w:t xml:space="preserve"> </w:t>
      </w:r>
      <w:r w:rsidR="007F076F">
        <w:rPr>
          <w:rFonts w:ascii="Avenir Next" w:hAnsi="Avenir Next"/>
          <w:color w:val="auto"/>
          <w:sz w:val="24"/>
        </w:rPr>
        <w:t>consecuencias de</w:t>
      </w:r>
      <w:r>
        <w:rPr>
          <w:rFonts w:ascii="Avenir Next" w:hAnsi="Avenir Next"/>
          <w:color w:val="auto"/>
          <w:sz w:val="24"/>
        </w:rPr>
        <w:t xml:space="preserve"> la coyuntura económica y geopolítica </w:t>
      </w:r>
      <w:r w:rsidR="00A62F6B">
        <w:rPr>
          <w:rFonts w:ascii="Avenir Next" w:hAnsi="Avenir Next"/>
          <w:color w:val="auto"/>
          <w:sz w:val="24"/>
        </w:rPr>
        <w:t>trasladando un claro deterioro de una balanza comercial que tan buena evolución había demostrado desde el final de la pandemia</w:t>
      </w:r>
      <w:r w:rsidR="00623705">
        <w:rPr>
          <w:rFonts w:ascii="Avenir Next" w:hAnsi="Avenir Next"/>
          <w:color w:val="auto"/>
          <w:sz w:val="24"/>
        </w:rPr>
        <w:t>. Por</w:t>
      </w:r>
      <w:r>
        <w:rPr>
          <w:rFonts w:ascii="Avenir Next" w:hAnsi="Avenir Next"/>
          <w:color w:val="auto"/>
          <w:sz w:val="24"/>
        </w:rPr>
        <w:t xml:space="preserve"> un </w:t>
      </w:r>
      <w:r w:rsidR="00623705">
        <w:rPr>
          <w:rFonts w:ascii="Avenir Next" w:hAnsi="Avenir Next"/>
          <w:color w:val="auto"/>
          <w:sz w:val="24"/>
        </w:rPr>
        <w:t>lado,</w:t>
      </w:r>
      <w:r>
        <w:rPr>
          <w:rFonts w:ascii="Avenir Next" w:hAnsi="Avenir Next"/>
          <w:color w:val="auto"/>
          <w:sz w:val="24"/>
        </w:rPr>
        <w:t xml:space="preserve"> las </w:t>
      </w:r>
      <w:r w:rsidR="007F076F">
        <w:rPr>
          <w:rFonts w:ascii="Avenir Next" w:hAnsi="Avenir Next"/>
          <w:color w:val="auto"/>
          <w:sz w:val="24"/>
        </w:rPr>
        <w:t>importaciones</w:t>
      </w:r>
      <w:r w:rsidR="004E3CE6">
        <w:rPr>
          <w:rFonts w:ascii="Avenir Next" w:hAnsi="Avenir Next"/>
          <w:color w:val="auto"/>
          <w:sz w:val="24"/>
        </w:rPr>
        <w:t>,</w:t>
      </w:r>
      <w:r w:rsidR="007F076F">
        <w:rPr>
          <w:rFonts w:ascii="Avenir Next" w:hAnsi="Avenir Next"/>
          <w:color w:val="auto"/>
          <w:sz w:val="24"/>
        </w:rPr>
        <w:t xml:space="preserve"> en</w:t>
      </w:r>
      <w:r>
        <w:rPr>
          <w:rFonts w:ascii="Avenir Next" w:hAnsi="Avenir Next"/>
          <w:color w:val="auto"/>
          <w:sz w:val="24"/>
        </w:rPr>
        <w:t xml:space="preserve"> términos </w:t>
      </w:r>
      <w:r w:rsidR="007F076F">
        <w:rPr>
          <w:rFonts w:ascii="Avenir Next" w:hAnsi="Avenir Next"/>
          <w:color w:val="auto"/>
          <w:sz w:val="24"/>
        </w:rPr>
        <w:t>nominales</w:t>
      </w:r>
      <w:r w:rsidR="004E3CE6">
        <w:rPr>
          <w:rFonts w:ascii="Avenir Next" w:hAnsi="Avenir Next"/>
          <w:color w:val="auto"/>
          <w:sz w:val="24"/>
        </w:rPr>
        <w:t>,</w:t>
      </w:r>
      <w:r w:rsidR="00585751">
        <w:rPr>
          <w:rFonts w:ascii="Avenir Next" w:hAnsi="Avenir Next"/>
          <w:color w:val="auto"/>
          <w:sz w:val="24"/>
        </w:rPr>
        <w:t xml:space="preserve"> </w:t>
      </w:r>
      <w:r w:rsidR="00630C75">
        <w:rPr>
          <w:rFonts w:ascii="Avenir Next" w:hAnsi="Avenir Next"/>
          <w:color w:val="auto"/>
          <w:sz w:val="24"/>
        </w:rPr>
        <w:t xml:space="preserve">se </w:t>
      </w:r>
      <w:r w:rsidR="004513A6">
        <w:rPr>
          <w:rFonts w:ascii="Avenir Next" w:hAnsi="Avenir Next"/>
          <w:color w:val="auto"/>
          <w:sz w:val="24"/>
        </w:rPr>
        <w:t xml:space="preserve">dispararon en el segundo </w:t>
      </w:r>
      <w:r w:rsidR="00343DE4">
        <w:rPr>
          <w:rFonts w:ascii="Avenir Next" w:hAnsi="Avenir Next"/>
          <w:color w:val="auto"/>
          <w:sz w:val="24"/>
        </w:rPr>
        <w:t>trimestre (</w:t>
      </w:r>
      <w:r w:rsidR="004E3CE6">
        <w:rPr>
          <w:rFonts w:ascii="Avenir Next" w:hAnsi="Avenir Next"/>
          <w:color w:val="auto"/>
          <w:sz w:val="24"/>
        </w:rPr>
        <w:t>58,3 % interanual)</w:t>
      </w:r>
      <w:r>
        <w:rPr>
          <w:rFonts w:ascii="Avenir Next" w:hAnsi="Avenir Next"/>
          <w:color w:val="auto"/>
          <w:sz w:val="24"/>
        </w:rPr>
        <w:t>,</w:t>
      </w:r>
      <w:r w:rsidR="007F076F">
        <w:rPr>
          <w:rFonts w:ascii="Avenir Next" w:hAnsi="Avenir Next"/>
          <w:color w:val="auto"/>
          <w:sz w:val="24"/>
        </w:rPr>
        <w:t xml:space="preserve"> teniendo</w:t>
      </w:r>
      <w:r>
        <w:rPr>
          <w:rFonts w:ascii="Avenir Next" w:hAnsi="Avenir Next"/>
          <w:color w:val="auto"/>
          <w:sz w:val="24"/>
        </w:rPr>
        <w:t xml:space="preserve"> en cuenta además que Andalucía es puerta de entrada de productos energéticos tales como el </w:t>
      </w:r>
      <w:r w:rsidR="007F076F">
        <w:rPr>
          <w:rFonts w:ascii="Avenir Next" w:hAnsi="Avenir Next"/>
          <w:color w:val="auto"/>
          <w:sz w:val="24"/>
        </w:rPr>
        <w:t>gas y</w:t>
      </w:r>
      <w:r w:rsidR="00E32DBD">
        <w:rPr>
          <w:rFonts w:ascii="Avenir Next" w:hAnsi="Avenir Next"/>
          <w:color w:val="auto"/>
          <w:sz w:val="24"/>
        </w:rPr>
        <w:t>,</w:t>
      </w:r>
      <w:r>
        <w:rPr>
          <w:rFonts w:ascii="Avenir Next" w:hAnsi="Avenir Next"/>
          <w:color w:val="auto"/>
          <w:sz w:val="24"/>
        </w:rPr>
        <w:t xml:space="preserve"> sobre </w:t>
      </w:r>
      <w:r w:rsidR="007F076F">
        <w:rPr>
          <w:rFonts w:ascii="Avenir Next" w:hAnsi="Avenir Next"/>
          <w:color w:val="auto"/>
          <w:sz w:val="24"/>
        </w:rPr>
        <w:t>todo</w:t>
      </w:r>
      <w:r w:rsidR="00E32DBD">
        <w:rPr>
          <w:rFonts w:ascii="Avenir Next" w:hAnsi="Avenir Next"/>
          <w:color w:val="auto"/>
          <w:sz w:val="24"/>
        </w:rPr>
        <w:t>,</w:t>
      </w:r>
      <w:r w:rsidR="007F076F">
        <w:rPr>
          <w:rFonts w:ascii="Avenir Next" w:hAnsi="Avenir Next"/>
          <w:color w:val="auto"/>
          <w:sz w:val="24"/>
        </w:rPr>
        <w:t xml:space="preserve"> crudo</w:t>
      </w:r>
      <w:r w:rsidR="00EF66CC">
        <w:rPr>
          <w:rFonts w:ascii="Avenir Next" w:hAnsi="Avenir Next"/>
          <w:color w:val="auto"/>
          <w:sz w:val="24"/>
        </w:rPr>
        <w:t xml:space="preserve">, lo que explica que </w:t>
      </w:r>
      <w:r w:rsidR="00EF66CC">
        <w:rPr>
          <w:rFonts w:ascii="Avenir Next" w:hAnsi="Avenir Next"/>
          <w:color w:val="auto"/>
          <w:sz w:val="24"/>
        </w:rPr>
        <w:lastRenderedPageBreak/>
        <w:t>el aumento de</w:t>
      </w:r>
      <w:r w:rsidR="005D11E2">
        <w:rPr>
          <w:rFonts w:ascii="Avenir Next" w:hAnsi="Avenir Next"/>
          <w:color w:val="auto"/>
          <w:sz w:val="24"/>
        </w:rPr>
        <w:t xml:space="preserve"> la partida de importaciones en Andalucía ha</w:t>
      </w:r>
      <w:r w:rsidR="00EF66CC">
        <w:rPr>
          <w:rFonts w:ascii="Avenir Next" w:hAnsi="Avenir Next"/>
          <w:color w:val="auto"/>
          <w:sz w:val="24"/>
        </w:rPr>
        <w:t>ya</w:t>
      </w:r>
      <w:r w:rsidR="005D11E2">
        <w:rPr>
          <w:rFonts w:ascii="Avenir Next" w:hAnsi="Avenir Next"/>
          <w:color w:val="auto"/>
          <w:sz w:val="24"/>
        </w:rPr>
        <w:t xml:space="preserve"> crecido a ritmos superiores a la media </w:t>
      </w:r>
      <w:r w:rsidR="00623705">
        <w:rPr>
          <w:rFonts w:ascii="Avenir Next" w:hAnsi="Avenir Next"/>
          <w:color w:val="auto"/>
          <w:sz w:val="24"/>
        </w:rPr>
        <w:t xml:space="preserve">española. </w:t>
      </w:r>
      <w:r w:rsidR="004E3CE6">
        <w:rPr>
          <w:rFonts w:ascii="Avenir Next" w:hAnsi="Avenir Next"/>
          <w:color w:val="auto"/>
          <w:sz w:val="24"/>
        </w:rPr>
        <w:t xml:space="preserve">El índice de valor unitario de las importaciones para abril (último mes disponible) crecía un 35,1 %, lo que refleja la magnitud de la subida de precios de los bienes importados. </w:t>
      </w:r>
      <w:r w:rsidR="00623705">
        <w:rPr>
          <w:rFonts w:ascii="Avenir Next" w:hAnsi="Avenir Next"/>
          <w:color w:val="auto"/>
          <w:sz w:val="24"/>
        </w:rPr>
        <w:t>Por</w:t>
      </w:r>
      <w:r w:rsidR="005D11E2">
        <w:rPr>
          <w:rFonts w:ascii="Avenir Next" w:hAnsi="Avenir Next"/>
          <w:color w:val="auto"/>
          <w:sz w:val="24"/>
        </w:rPr>
        <w:t xml:space="preserve"> el contrario,</w:t>
      </w:r>
      <w:r w:rsidR="00E32DBD">
        <w:rPr>
          <w:rFonts w:ascii="Avenir Next" w:hAnsi="Avenir Next"/>
          <w:color w:val="auto"/>
          <w:sz w:val="24"/>
        </w:rPr>
        <w:t xml:space="preserve"> las</w:t>
      </w:r>
      <w:r w:rsidR="005D11E2">
        <w:rPr>
          <w:rFonts w:ascii="Avenir Next" w:hAnsi="Avenir Next"/>
          <w:color w:val="auto"/>
          <w:sz w:val="24"/>
        </w:rPr>
        <w:t xml:space="preserve"> exportaciones han sufrido un crecimiento en términos nominales</w:t>
      </w:r>
      <w:r w:rsidR="004E3CE6">
        <w:rPr>
          <w:rFonts w:ascii="Avenir Next" w:hAnsi="Avenir Next"/>
          <w:color w:val="auto"/>
          <w:sz w:val="24"/>
        </w:rPr>
        <w:t xml:space="preserve"> mucho</w:t>
      </w:r>
      <w:r w:rsidR="005D11E2">
        <w:rPr>
          <w:rFonts w:ascii="Avenir Next" w:hAnsi="Avenir Next"/>
          <w:color w:val="auto"/>
          <w:sz w:val="24"/>
        </w:rPr>
        <w:t xml:space="preserve"> menor</w:t>
      </w:r>
      <w:r w:rsidR="004E3CE6">
        <w:rPr>
          <w:rFonts w:ascii="Avenir Next" w:hAnsi="Avenir Next"/>
          <w:color w:val="auto"/>
          <w:sz w:val="24"/>
        </w:rPr>
        <w:t xml:space="preserve"> (18,4 %) y que dad</w:t>
      </w:r>
      <w:r w:rsidR="00375041">
        <w:rPr>
          <w:rFonts w:ascii="Avenir Next" w:hAnsi="Avenir Next"/>
          <w:color w:val="auto"/>
          <w:sz w:val="24"/>
        </w:rPr>
        <w:t>o</w:t>
      </w:r>
      <w:r w:rsidR="004E3CE6">
        <w:rPr>
          <w:rFonts w:ascii="Avenir Next" w:hAnsi="Avenir Next"/>
          <w:color w:val="auto"/>
          <w:sz w:val="24"/>
        </w:rPr>
        <w:t xml:space="preserve"> </w:t>
      </w:r>
      <w:r w:rsidR="00375041">
        <w:rPr>
          <w:rFonts w:ascii="Avenir Next" w:hAnsi="Avenir Next"/>
          <w:color w:val="auto"/>
          <w:sz w:val="24"/>
        </w:rPr>
        <w:t xml:space="preserve">el aumento </w:t>
      </w:r>
      <w:r w:rsidR="004E3CE6">
        <w:rPr>
          <w:rFonts w:ascii="Avenir Next" w:hAnsi="Avenir Next"/>
          <w:color w:val="auto"/>
          <w:sz w:val="24"/>
        </w:rPr>
        <w:t>de su valor unitario (24,8 % en abril), podrían haber experimentado una contracción en términos reales durante el segundo trimestre</w:t>
      </w:r>
      <w:r w:rsidR="00375041">
        <w:rPr>
          <w:rFonts w:ascii="Avenir Next" w:hAnsi="Avenir Next"/>
          <w:color w:val="auto"/>
          <w:sz w:val="24"/>
        </w:rPr>
        <w:t xml:space="preserve">, lo que sería una manifestación </w:t>
      </w:r>
      <w:r w:rsidR="004E3CE6">
        <w:rPr>
          <w:rFonts w:ascii="Avenir Next" w:hAnsi="Avenir Next"/>
          <w:color w:val="auto"/>
          <w:sz w:val="24"/>
        </w:rPr>
        <w:t>de la</w:t>
      </w:r>
      <w:r w:rsidR="005D11E2">
        <w:rPr>
          <w:rFonts w:ascii="Avenir Next" w:hAnsi="Avenir Next"/>
          <w:color w:val="auto"/>
          <w:sz w:val="24"/>
        </w:rPr>
        <w:t xml:space="preserve"> reducción del comercio internacional motivado por los factores re</w:t>
      </w:r>
      <w:r w:rsidR="00570EFE">
        <w:rPr>
          <w:rFonts w:ascii="Avenir Next" w:hAnsi="Avenir Next"/>
          <w:color w:val="auto"/>
          <w:sz w:val="24"/>
        </w:rPr>
        <w:t xml:space="preserve">feridos </w:t>
      </w:r>
      <w:r w:rsidR="005D11E2">
        <w:rPr>
          <w:rFonts w:ascii="Avenir Next" w:hAnsi="Avenir Next"/>
          <w:color w:val="auto"/>
          <w:sz w:val="24"/>
        </w:rPr>
        <w:t>en este informe.</w:t>
      </w:r>
      <w:r w:rsidR="00375041">
        <w:rPr>
          <w:rFonts w:ascii="Avenir Next" w:hAnsi="Avenir Next"/>
          <w:color w:val="auto"/>
          <w:sz w:val="24"/>
        </w:rPr>
        <w:t xml:space="preserve"> En consecuencia, el saldo comercial aparente de Andalucía con el resto del mundo se ha debilitado en el segundo trimestre del año.</w:t>
      </w:r>
    </w:p>
    <w:p w14:paraId="6421928F" w14:textId="77777777" w:rsidR="004E3CE6" w:rsidRPr="00C075E0" w:rsidRDefault="004E3CE6" w:rsidP="00E46BAE">
      <w:pPr>
        <w:pStyle w:val="BodyA"/>
        <w:spacing w:before="100" w:after="100"/>
        <w:jc w:val="both"/>
        <w:rPr>
          <w:rFonts w:ascii="Avenir Next Demi Bold" w:hAnsi="Avenir Next Demi Bold"/>
          <w:b/>
          <w:bCs/>
          <w:color w:val="auto"/>
          <w:sz w:val="28"/>
          <w:szCs w:val="28"/>
          <w:u w:color="022ED3"/>
        </w:rPr>
      </w:pPr>
    </w:p>
    <w:p w14:paraId="77006AF6"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58331B">
        <w:rPr>
          <w:rFonts w:ascii="Avenir Next Demi Bold" w:hAnsi="Avenir Next Demi Bold"/>
          <w:b/>
          <w:bCs/>
          <w:color w:val="022ED3"/>
          <w:sz w:val="28"/>
          <w:szCs w:val="28"/>
          <w:u w:color="022ED3"/>
        </w:rPr>
        <w:t>Por el lado de la oferta</w:t>
      </w:r>
    </w:p>
    <w:p w14:paraId="66145899" w14:textId="65CB11CF" w:rsidR="006C28E7" w:rsidRDefault="004E3CE6" w:rsidP="00E46BAE">
      <w:pPr>
        <w:pStyle w:val="BodyA"/>
        <w:spacing w:before="100" w:after="100"/>
        <w:jc w:val="both"/>
        <w:rPr>
          <w:rFonts w:ascii="Avenir Next" w:hAnsi="Avenir Next"/>
          <w:color w:val="auto"/>
          <w:sz w:val="24"/>
        </w:rPr>
      </w:pPr>
      <w:r>
        <w:rPr>
          <w:rFonts w:ascii="Avenir Next" w:hAnsi="Avenir Next"/>
          <w:color w:val="auto"/>
          <w:sz w:val="24"/>
        </w:rPr>
        <w:t>La construcción y los servicios muestran un aumento de la actividad durante este período. No cabe duda de que tanto el sector turístico, como el consumo de las familias y el aumento de la inversión han impulsado la actividad de dichos sectores. Como se ha adelantado, el aumento de la afiliación especialmente en sectores estrechamente asociados a dich</w:t>
      </w:r>
      <w:r w:rsidR="00585751">
        <w:rPr>
          <w:rFonts w:ascii="Avenir Next" w:hAnsi="Avenir Next"/>
          <w:color w:val="auto"/>
          <w:sz w:val="24"/>
        </w:rPr>
        <w:t>o</w:t>
      </w:r>
      <w:r>
        <w:rPr>
          <w:rFonts w:ascii="Avenir Next" w:hAnsi="Avenir Next"/>
          <w:color w:val="auto"/>
          <w:sz w:val="24"/>
        </w:rPr>
        <w:t>s componentes de demanda así lo atestigua.</w:t>
      </w:r>
    </w:p>
    <w:p w14:paraId="3597E1E4" w14:textId="6D91182C" w:rsidR="006963B8" w:rsidRDefault="00375041" w:rsidP="00E46BAE">
      <w:pPr>
        <w:pStyle w:val="BodyA"/>
        <w:spacing w:before="100" w:after="100"/>
        <w:jc w:val="both"/>
        <w:rPr>
          <w:rFonts w:ascii="Avenir Next" w:hAnsi="Avenir Next"/>
          <w:color w:val="auto"/>
          <w:sz w:val="24"/>
        </w:rPr>
      </w:pPr>
      <w:r>
        <w:rPr>
          <w:rFonts w:ascii="Avenir Next" w:hAnsi="Avenir Next"/>
          <w:color w:val="auto"/>
          <w:sz w:val="24"/>
        </w:rPr>
        <w:t>L</w:t>
      </w:r>
      <w:r w:rsidR="006963B8">
        <w:rPr>
          <w:rFonts w:ascii="Avenir Next" w:hAnsi="Avenir Next"/>
          <w:color w:val="auto"/>
          <w:sz w:val="24"/>
        </w:rPr>
        <w:t>a industria</w:t>
      </w:r>
      <w:r>
        <w:rPr>
          <w:rFonts w:ascii="Avenir Next" w:hAnsi="Avenir Next"/>
          <w:color w:val="auto"/>
          <w:sz w:val="24"/>
        </w:rPr>
        <w:t xml:space="preserve"> </w:t>
      </w:r>
      <w:r w:rsidR="006963B8">
        <w:rPr>
          <w:rFonts w:ascii="Avenir Next" w:hAnsi="Avenir Next"/>
          <w:color w:val="auto"/>
          <w:sz w:val="24"/>
        </w:rPr>
        <w:t>muestra un comportamiento sólido a pesar de los envites que la coyuntura internacional pueden estar causando. El aumento de la producción industrial ha sido especialmente importante en bienes de consumo, lo que encajaría con lo indicado en el párrafo anterior, y superior a la media española, lo que también mostraría que el consumo de los andaluces ha crecido por encima de la media española como así ha mostrado igualmente el índice de comercio al por menor. Mientras, la producción en bienes de equipo ha mostrado una evolución sólida con un crecimiento del 4 %</w:t>
      </w:r>
      <w:r w:rsidR="00EF66CC">
        <w:rPr>
          <w:rFonts w:ascii="Avenir Next" w:hAnsi="Avenir Next"/>
          <w:color w:val="auto"/>
          <w:sz w:val="24"/>
        </w:rPr>
        <w:t>,</w:t>
      </w:r>
      <w:r w:rsidR="006963B8">
        <w:rPr>
          <w:rFonts w:ascii="Avenir Next" w:hAnsi="Avenir Next"/>
          <w:color w:val="auto"/>
          <w:sz w:val="24"/>
        </w:rPr>
        <w:t xml:space="preserve"> aunque algo inferior a la media española. </w:t>
      </w:r>
    </w:p>
    <w:p w14:paraId="1EC1A86B" w14:textId="77777777" w:rsidR="00457859" w:rsidRPr="007F207C" w:rsidRDefault="00457859" w:rsidP="00E46BAE">
      <w:pPr>
        <w:pStyle w:val="BodyA"/>
        <w:spacing w:before="100" w:after="100"/>
        <w:jc w:val="both"/>
        <w:rPr>
          <w:rFonts w:ascii="Avenir Next" w:hAnsi="Avenir Next"/>
          <w:color w:val="auto"/>
          <w:sz w:val="24"/>
        </w:rPr>
      </w:pPr>
    </w:p>
    <w:p w14:paraId="0666DA61" w14:textId="77777777" w:rsidR="002F4F21" w:rsidRPr="00717086" w:rsidRDefault="00457859" w:rsidP="00E46BAE">
      <w:pPr>
        <w:spacing w:before="100" w:after="100" w:line="288" w:lineRule="auto"/>
        <w:jc w:val="both"/>
        <w:rPr>
          <w:rFonts w:ascii="Avenir Next Demi Bold" w:eastAsia="Hoefler Text" w:hAnsi="Avenir Next Demi Bold" w:cs="Hoefler Text"/>
          <w:b/>
          <w:bCs/>
          <w:color w:val="022ED3"/>
          <w:sz w:val="28"/>
          <w:szCs w:val="28"/>
          <w:u w:color="022ED3"/>
          <w:lang w:val="es-ES_tradnl" w:eastAsia="es-ES"/>
        </w:rPr>
      </w:pPr>
      <w:r w:rsidRPr="00717086">
        <w:rPr>
          <w:rFonts w:ascii="Avenir Next Demi Bold" w:eastAsia="Hoefler Text" w:hAnsi="Avenir Next Demi Bold" w:cs="Hoefler Text"/>
          <w:b/>
          <w:bCs/>
          <w:color w:val="022ED3"/>
          <w:sz w:val="28"/>
          <w:szCs w:val="28"/>
          <w:u w:color="022ED3"/>
          <w:lang w:val="es-ES_tradnl" w:eastAsia="es-ES"/>
        </w:rPr>
        <w:t>Previsiones</w:t>
      </w:r>
    </w:p>
    <w:p w14:paraId="32D475FC" w14:textId="1804F138" w:rsidR="00A1520D" w:rsidRDefault="004513A6" w:rsidP="00DF2ED4">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 xml:space="preserve">El cambio de tendencia al que puede verse sometida la economía andaluza podría haberse iniciado antes de finalizar el segundo trimestre. Como se ha explicado, el aumento del PIB durante los meses de abril a junio </w:t>
      </w:r>
      <w:r w:rsidR="00431011">
        <w:rPr>
          <w:rFonts w:ascii="Avenir Next" w:eastAsia="Hoefler Text" w:hAnsi="Avenir Next" w:cs="Hoefler Text"/>
          <w:u w:color="000000"/>
          <w:lang w:val="es-ES_tradnl" w:eastAsia="es-ES"/>
        </w:rPr>
        <w:t>fue</w:t>
      </w:r>
      <w:r>
        <w:rPr>
          <w:rFonts w:ascii="Avenir Next" w:eastAsia="Hoefler Text" w:hAnsi="Avenir Next" w:cs="Hoefler Text"/>
          <w:u w:color="000000"/>
          <w:lang w:val="es-ES_tradnl" w:eastAsia="es-ES"/>
        </w:rPr>
        <w:t xml:space="preserve"> resultado de un conjunto de </w:t>
      </w:r>
      <w:r w:rsidR="000652D9">
        <w:rPr>
          <w:rFonts w:ascii="Avenir Next" w:eastAsia="Hoefler Text" w:hAnsi="Avenir Next" w:cs="Hoefler Text"/>
          <w:u w:color="000000"/>
          <w:lang w:val="es-ES_tradnl" w:eastAsia="es-ES"/>
        </w:rPr>
        <w:t xml:space="preserve">factores </w:t>
      </w:r>
      <w:r>
        <w:rPr>
          <w:rFonts w:ascii="Avenir Next" w:eastAsia="Hoefler Text" w:hAnsi="Avenir Next" w:cs="Hoefler Text"/>
          <w:u w:color="000000"/>
          <w:lang w:val="es-ES_tradnl" w:eastAsia="es-ES"/>
        </w:rPr>
        <w:t>positivos que supera</w:t>
      </w:r>
      <w:r w:rsidR="00E63B76">
        <w:rPr>
          <w:rFonts w:ascii="Avenir Next" w:eastAsia="Hoefler Text" w:hAnsi="Avenir Next" w:cs="Hoefler Text"/>
          <w:u w:color="000000"/>
          <w:lang w:val="es-ES_tradnl" w:eastAsia="es-ES"/>
        </w:rPr>
        <w:t>ron en intensidad</w:t>
      </w:r>
      <w:r>
        <w:rPr>
          <w:rFonts w:ascii="Avenir Next" w:eastAsia="Hoefler Text" w:hAnsi="Avenir Next" w:cs="Hoefler Text"/>
          <w:u w:color="000000"/>
          <w:lang w:val="es-ES_tradnl" w:eastAsia="es-ES"/>
        </w:rPr>
        <w:t xml:space="preserve"> a otros negativos. Sin embargo, todo parece indicar que mientras </w:t>
      </w:r>
      <w:r w:rsidR="00585751">
        <w:rPr>
          <w:rFonts w:ascii="Avenir Next" w:eastAsia="Hoefler Text" w:hAnsi="Avenir Next" w:cs="Hoefler Text"/>
          <w:u w:color="000000"/>
          <w:lang w:val="es-ES_tradnl" w:eastAsia="es-ES"/>
        </w:rPr>
        <w:t xml:space="preserve">que los </w:t>
      </w:r>
      <w:r>
        <w:rPr>
          <w:rFonts w:ascii="Avenir Next" w:eastAsia="Hoefler Text" w:hAnsi="Avenir Next" w:cs="Hoefler Text"/>
          <w:u w:color="000000"/>
          <w:lang w:val="es-ES_tradnl" w:eastAsia="es-ES"/>
        </w:rPr>
        <w:t>vientos de cola que impulsaron a nuestra economía en la primavera han ido desapareciendo, los factores negativos se han</w:t>
      </w:r>
      <w:r w:rsidR="00B5786A">
        <w:rPr>
          <w:rFonts w:ascii="Avenir Next" w:eastAsia="Hoefler Text" w:hAnsi="Avenir Next" w:cs="Hoefler Text"/>
          <w:u w:color="000000"/>
          <w:lang w:val="es-ES_tradnl" w:eastAsia="es-ES"/>
        </w:rPr>
        <w:t xml:space="preserve"> ido</w:t>
      </w:r>
      <w:r>
        <w:rPr>
          <w:rFonts w:ascii="Avenir Next" w:eastAsia="Hoefler Text" w:hAnsi="Avenir Next" w:cs="Hoefler Text"/>
          <w:u w:color="000000"/>
          <w:lang w:val="es-ES_tradnl" w:eastAsia="es-ES"/>
        </w:rPr>
        <w:t xml:space="preserve"> intensifica</w:t>
      </w:r>
      <w:r w:rsidR="00E63B76">
        <w:rPr>
          <w:rFonts w:ascii="Avenir Next" w:eastAsia="Hoefler Text" w:hAnsi="Avenir Next" w:cs="Hoefler Text"/>
          <w:u w:color="000000"/>
          <w:lang w:val="es-ES_tradnl" w:eastAsia="es-ES"/>
        </w:rPr>
        <w:t>ndo</w:t>
      </w:r>
      <w:r>
        <w:rPr>
          <w:rFonts w:ascii="Avenir Next" w:eastAsia="Hoefler Text" w:hAnsi="Avenir Next" w:cs="Hoefler Text"/>
          <w:u w:color="000000"/>
          <w:lang w:val="es-ES_tradnl" w:eastAsia="es-ES"/>
        </w:rPr>
        <w:t>. Por ello</w:t>
      </w:r>
      <w:r w:rsidR="002F0193">
        <w:rPr>
          <w:rFonts w:ascii="Avenir Next" w:eastAsia="Hoefler Text" w:hAnsi="Avenir Next" w:cs="Hoefler Text"/>
          <w:u w:color="000000"/>
          <w:lang w:val="es-ES_tradnl" w:eastAsia="es-ES"/>
        </w:rPr>
        <w:t>,</w:t>
      </w:r>
      <w:r>
        <w:rPr>
          <w:rFonts w:ascii="Avenir Next" w:eastAsia="Hoefler Text" w:hAnsi="Avenir Next" w:cs="Hoefler Text"/>
          <w:u w:color="000000"/>
          <w:lang w:val="es-ES_tradnl" w:eastAsia="es-ES"/>
        </w:rPr>
        <w:t xml:space="preserve"> las expectativas hacia el futuro más cercano de la economía andaluza </w:t>
      </w:r>
      <w:r w:rsidR="00E20957">
        <w:rPr>
          <w:rFonts w:ascii="Avenir Next" w:eastAsia="Hoefler Text" w:hAnsi="Avenir Next" w:cs="Hoefler Text"/>
          <w:u w:color="000000"/>
          <w:lang w:val="es-ES_tradnl" w:eastAsia="es-ES"/>
        </w:rPr>
        <w:t>son</w:t>
      </w:r>
      <w:r>
        <w:rPr>
          <w:rFonts w:ascii="Avenir Next" w:eastAsia="Hoefler Text" w:hAnsi="Avenir Next" w:cs="Hoefler Text"/>
          <w:u w:color="000000"/>
          <w:lang w:val="es-ES_tradnl" w:eastAsia="es-ES"/>
        </w:rPr>
        <w:t xml:space="preserve"> de un claro deterioro en su crecimiento.</w:t>
      </w:r>
    </w:p>
    <w:p w14:paraId="1BBF079C" w14:textId="6CB3279A" w:rsidR="00DF2ED4" w:rsidRDefault="00DA4A76" w:rsidP="00DF2ED4">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E</w:t>
      </w:r>
      <w:r w:rsidR="00A1520D">
        <w:rPr>
          <w:rFonts w:ascii="Avenir Next" w:eastAsia="Hoefler Text" w:hAnsi="Avenir Next" w:cs="Hoefler Text"/>
          <w:u w:color="000000"/>
          <w:lang w:val="es-ES_tradnl" w:eastAsia="es-ES"/>
        </w:rPr>
        <w:t xml:space="preserve">l escenario </w:t>
      </w:r>
      <w:r w:rsidR="00CD1C87">
        <w:rPr>
          <w:rFonts w:ascii="Avenir Next" w:eastAsia="Hoefler Text" w:hAnsi="Avenir Next" w:cs="Hoefler Text"/>
          <w:u w:color="000000"/>
          <w:lang w:val="es-ES_tradnl" w:eastAsia="es-ES"/>
        </w:rPr>
        <w:t>previsible para la economía mundial en los próximos meses es extraordinariamente complejo, conjugándose tensiones geopolíticas internacionales</w:t>
      </w:r>
      <w:r w:rsidR="007905CA">
        <w:rPr>
          <w:rFonts w:ascii="Avenir Next" w:eastAsia="Hoefler Text" w:hAnsi="Avenir Next" w:cs="Hoefler Text"/>
          <w:u w:color="000000"/>
          <w:lang w:val="es-ES_tradnl" w:eastAsia="es-ES"/>
        </w:rPr>
        <w:t>, con la guerra de Ucrania, elevados precios de la energía, inflación generalizada en Occidente y restricciones en suministros de algunas materias primas y componentes industriales</w:t>
      </w:r>
      <w:r w:rsidR="00173255">
        <w:rPr>
          <w:rFonts w:ascii="Avenir Next" w:eastAsia="Hoefler Text" w:hAnsi="Avenir Next" w:cs="Hoefler Text"/>
          <w:u w:color="000000"/>
          <w:lang w:val="es-ES_tradnl" w:eastAsia="es-ES"/>
        </w:rPr>
        <w:t>, a</w:t>
      </w:r>
      <w:r w:rsidR="007905CA">
        <w:rPr>
          <w:rFonts w:ascii="Avenir Next" w:eastAsia="Hoefler Text" w:hAnsi="Avenir Next" w:cs="Hoefler Text"/>
          <w:u w:color="000000"/>
          <w:lang w:val="es-ES_tradnl" w:eastAsia="es-ES"/>
        </w:rPr>
        <w:t xml:space="preserve"> lo </w:t>
      </w:r>
      <w:r w:rsidR="00173255">
        <w:rPr>
          <w:rFonts w:ascii="Avenir Next" w:eastAsia="Hoefler Text" w:hAnsi="Avenir Next" w:cs="Hoefler Text"/>
          <w:u w:color="000000"/>
          <w:lang w:val="es-ES_tradnl" w:eastAsia="es-ES"/>
        </w:rPr>
        <w:t xml:space="preserve">que </w:t>
      </w:r>
      <w:r w:rsidR="007905CA">
        <w:rPr>
          <w:rFonts w:ascii="Avenir Next" w:eastAsia="Hoefler Text" w:hAnsi="Avenir Next" w:cs="Hoefler Text"/>
          <w:u w:color="000000"/>
          <w:lang w:val="es-ES_tradnl" w:eastAsia="es-ES"/>
        </w:rPr>
        <w:t xml:space="preserve">hay que sumarle los riesgos de una pandemia aún no superada. Consecuencia de ello es que la dinámica de recuperación de la economía mundial de 2021 se haya ido desinflando, primero en </w:t>
      </w:r>
      <w:r w:rsidR="001F7888">
        <w:rPr>
          <w:rFonts w:ascii="Avenir Next" w:eastAsia="Hoefler Text" w:hAnsi="Avenir Next" w:cs="Hoefler Text"/>
          <w:u w:color="000000"/>
          <w:lang w:val="es-ES_tradnl" w:eastAsia="es-ES"/>
        </w:rPr>
        <w:t>EE. UU.</w:t>
      </w:r>
      <w:r w:rsidR="007905CA">
        <w:rPr>
          <w:rFonts w:ascii="Avenir Next" w:eastAsia="Hoefler Text" w:hAnsi="Avenir Next" w:cs="Hoefler Text"/>
          <w:u w:color="000000"/>
          <w:lang w:val="es-ES_tradnl" w:eastAsia="es-ES"/>
        </w:rPr>
        <w:t xml:space="preserve"> </w:t>
      </w:r>
      <w:r w:rsidR="00173255">
        <w:rPr>
          <w:rFonts w:ascii="Avenir Next" w:eastAsia="Hoefler Text" w:hAnsi="Avenir Next" w:cs="Hoefler Text"/>
          <w:u w:color="000000"/>
          <w:lang w:val="es-ES_tradnl" w:eastAsia="es-ES"/>
        </w:rPr>
        <w:t xml:space="preserve">(con recesión en el primer semestre de este año) </w:t>
      </w:r>
      <w:r w:rsidR="007905CA">
        <w:rPr>
          <w:rFonts w:ascii="Avenir Next" w:eastAsia="Hoefler Text" w:hAnsi="Avenir Next" w:cs="Hoefler Text"/>
          <w:u w:color="000000"/>
          <w:lang w:val="es-ES_tradnl" w:eastAsia="es-ES"/>
        </w:rPr>
        <w:t>y después en Europa</w:t>
      </w:r>
      <w:r w:rsidR="00173255">
        <w:rPr>
          <w:rFonts w:ascii="Avenir Next" w:eastAsia="Hoefler Text" w:hAnsi="Avenir Next" w:cs="Hoefler Text"/>
          <w:u w:color="000000"/>
          <w:lang w:val="es-ES_tradnl" w:eastAsia="es-ES"/>
        </w:rPr>
        <w:t>, donde los indicadores a mitad del año marcan un cambio de tendencia.</w:t>
      </w:r>
    </w:p>
    <w:p w14:paraId="0A93B4F5" w14:textId="1398A487" w:rsidR="00DE41DC" w:rsidRDefault="00DD3C46" w:rsidP="00B5786A">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Entre los factores perturbadores de la dinámica económica hacia el futuro el más destacado es la inflación, pues, a</w:t>
      </w:r>
      <w:r w:rsidR="00DE41DC">
        <w:rPr>
          <w:rFonts w:ascii="Avenir Next" w:eastAsia="Hoefler Text" w:hAnsi="Avenir Next" w:cs="Hoefler Text"/>
          <w:u w:color="000000"/>
          <w:lang w:val="es-ES_tradnl" w:eastAsia="es-ES"/>
        </w:rPr>
        <w:t>unque la evolución de no pocos precios asociados a materias primas y a productos energéticos (salvo el gas)</w:t>
      </w:r>
      <w:r>
        <w:rPr>
          <w:rFonts w:ascii="Avenir Next" w:eastAsia="Hoefler Text" w:hAnsi="Avenir Next" w:cs="Hoefler Text"/>
          <w:u w:color="000000"/>
          <w:lang w:val="es-ES_tradnl" w:eastAsia="es-ES"/>
        </w:rPr>
        <w:t xml:space="preserve"> se han moderado en las últimas semanas, es previsible que </w:t>
      </w:r>
      <w:r w:rsidR="00DE41DC">
        <w:rPr>
          <w:rFonts w:ascii="Avenir Next" w:eastAsia="Hoefler Text" w:hAnsi="Avenir Next" w:cs="Hoefler Text"/>
          <w:u w:color="000000"/>
          <w:lang w:val="es-ES_tradnl" w:eastAsia="es-ES"/>
        </w:rPr>
        <w:t>la inflación</w:t>
      </w:r>
      <w:r>
        <w:rPr>
          <w:rFonts w:ascii="Avenir Next" w:eastAsia="Hoefler Text" w:hAnsi="Avenir Next" w:cs="Hoefler Text"/>
          <w:u w:color="000000"/>
          <w:lang w:val="es-ES_tradnl" w:eastAsia="es-ES"/>
        </w:rPr>
        <w:t xml:space="preserve"> se mantendrá en niveles elevados hasta final de año y, aunque descienda, </w:t>
      </w:r>
      <w:r w:rsidR="00DA2C06">
        <w:rPr>
          <w:rFonts w:ascii="Avenir Next" w:eastAsia="Hoefler Text" w:hAnsi="Avenir Next" w:cs="Hoefler Text"/>
          <w:u w:color="000000"/>
          <w:lang w:val="es-ES_tradnl" w:eastAsia="es-ES"/>
        </w:rPr>
        <w:t xml:space="preserve">continuará </w:t>
      </w:r>
      <w:r>
        <w:rPr>
          <w:rFonts w:ascii="Avenir Next" w:eastAsia="Hoefler Text" w:hAnsi="Avenir Next" w:cs="Hoefler Text"/>
          <w:u w:color="000000"/>
          <w:lang w:val="es-ES_tradnl" w:eastAsia="es-ES"/>
        </w:rPr>
        <w:t xml:space="preserve">en 2023 lejos del objetivo </w:t>
      </w:r>
      <w:r>
        <w:rPr>
          <w:rFonts w:ascii="Avenir Next" w:eastAsia="Hoefler Text" w:hAnsi="Avenir Next" w:cs="Hoefler Text"/>
          <w:u w:color="000000"/>
          <w:lang w:val="es-ES_tradnl" w:eastAsia="es-ES"/>
        </w:rPr>
        <w:lastRenderedPageBreak/>
        <w:t>del 2 %</w:t>
      </w:r>
      <w:r w:rsidR="00DE41DC">
        <w:rPr>
          <w:rFonts w:ascii="Avenir Next" w:eastAsia="Hoefler Text" w:hAnsi="Avenir Next" w:cs="Hoefler Text"/>
          <w:u w:color="000000"/>
          <w:lang w:val="es-ES_tradnl" w:eastAsia="es-ES"/>
        </w:rPr>
        <w:t xml:space="preserve">. </w:t>
      </w:r>
      <w:r w:rsidR="00DA2C06">
        <w:rPr>
          <w:rFonts w:ascii="Avenir Next" w:eastAsia="Hoefler Text" w:hAnsi="Avenir Next" w:cs="Hoefler Text"/>
          <w:u w:color="000000"/>
          <w:lang w:val="es-ES_tradnl" w:eastAsia="es-ES"/>
        </w:rPr>
        <w:t>L</w:t>
      </w:r>
      <w:r w:rsidR="00B5786A">
        <w:rPr>
          <w:rFonts w:ascii="Avenir Next" w:eastAsia="Hoefler Text" w:hAnsi="Avenir Next" w:cs="Hoefler Text"/>
          <w:u w:color="000000"/>
          <w:lang w:val="es-ES_tradnl" w:eastAsia="es-ES"/>
        </w:rPr>
        <w:t>os bancos centrales de las principales economías desarrolladas</w:t>
      </w:r>
      <w:r>
        <w:rPr>
          <w:rFonts w:ascii="Avenir Next" w:eastAsia="Hoefler Text" w:hAnsi="Avenir Next" w:cs="Hoefler Text"/>
          <w:u w:color="000000"/>
          <w:lang w:val="es-ES_tradnl" w:eastAsia="es-ES"/>
        </w:rPr>
        <w:t xml:space="preserve"> están comprometi</w:t>
      </w:r>
      <w:r w:rsidR="00236EA6">
        <w:rPr>
          <w:rFonts w:ascii="Avenir Next" w:eastAsia="Hoefler Text" w:hAnsi="Avenir Next" w:cs="Hoefler Text"/>
          <w:u w:color="000000"/>
          <w:lang w:val="es-ES_tradnl" w:eastAsia="es-ES"/>
        </w:rPr>
        <w:t>dos</w:t>
      </w:r>
      <w:r w:rsidR="00B5786A">
        <w:rPr>
          <w:rFonts w:ascii="Avenir Next" w:eastAsia="Hoefler Text" w:hAnsi="Avenir Next" w:cs="Hoefler Text"/>
          <w:u w:color="000000"/>
          <w:lang w:val="es-ES_tradnl" w:eastAsia="es-ES"/>
        </w:rPr>
        <w:t xml:space="preserve"> </w:t>
      </w:r>
      <w:r w:rsidR="00236EA6">
        <w:rPr>
          <w:rFonts w:ascii="Avenir Next" w:eastAsia="Hoefler Text" w:hAnsi="Avenir Next" w:cs="Hoefler Text"/>
          <w:u w:color="000000"/>
          <w:lang w:val="es-ES_tradnl" w:eastAsia="es-ES"/>
        </w:rPr>
        <w:t xml:space="preserve">en </w:t>
      </w:r>
      <w:r w:rsidR="00B5786A">
        <w:rPr>
          <w:rFonts w:ascii="Avenir Next" w:eastAsia="Hoefler Text" w:hAnsi="Avenir Next" w:cs="Hoefler Text"/>
          <w:u w:color="000000"/>
          <w:lang w:val="es-ES_tradnl" w:eastAsia="es-ES"/>
        </w:rPr>
        <w:t xml:space="preserve">evitar la </w:t>
      </w:r>
      <w:r w:rsidR="0019547F">
        <w:rPr>
          <w:rFonts w:ascii="Avenir Next" w:eastAsia="Hoefler Text" w:hAnsi="Avenir Next" w:cs="Hoefler Text"/>
          <w:u w:color="000000"/>
          <w:lang w:val="es-ES_tradnl" w:eastAsia="es-ES"/>
        </w:rPr>
        <w:t>aparición de</w:t>
      </w:r>
      <w:r w:rsidR="00DE41DC">
        <w:rPr>
          <w:rFonts w:ascii="Avenir Next" w:eastAsia="Hoefler Text" w:hAnsi="Avenir Next" w:cs="Hoefler Text"/>
          <w:u w:color="000000"/>
          <w:lang w:val="es-ES_tradnl" w:eastAsia="es-ES"/>
        </w:rPr>
        <w:t xml:space="preserve"> posibles efectos de segunda ronda</w:t>
      </w:r>
      <w:r w:rsidR="00236EA6">
        <w:rPr>
          <w:rFonts w:ascii="Avenir Next" w:eastAsia="Hoefler Text" w:hAnsi="Avenir Next" w:cs="Hoefler Text"/>
          <w:u w:color="000000"/>
          <w:lang w:val="es-ES_tradnl" w:eastAsia="es-ES"/>
        </w:rPr>
        <w:t xml:space="preserve">, </w:t>
      </w:r>
      <w:r w:rsidR="00B5786A">
        <w:rPr>
          <w:rFonts w:ascii="Avenir Next" w:eastAsia="Hoefler Text" w:hAnsi="Avenir Next" w:cs="Hoefler Text"/>
          <w:u w:color="000000"/>
          <w:lang w:val="es-ES_tradnl" w:eastAsia="es-ES"/>
        </w:rPr>
        <w:t xml:space="preserve">por lo que el escenario más probable en los próximos meses es el </w:t>
      </w:r>
      <w:r w:rsidR="007804A5">
        <w:rPr>
          <w:rFonts w:ascii="Avenir Next" w:eastAsia="Hoefler Text" w:hAnsi="Avenir Next" w:cs="Hoefler Text"/>
          <w:u w:color="000000"/>
          <w:lang w:val="es-ES_tradnl" w:eastAsia="es-ES"/>
        </w:rPr>
        <w:t xml:space="preserve">mantenimiento de una senda de crecimiento de los tipos de interés </w:t>
      </w:r>
      <w:r w:rsidR="00B5786A">
        <w:rPr>
          <w:rFonts w:ascii="Avenir Next" w:eastAsia="Hoefler Text" w:hAnsi="Avenir Next" w:cs="Hoefler Text"/>
          <w:u w:color="000000"/>
          <w:lang w:val="es-ES_tradnl" w:eastAsia="es-ES"/>
        </w:rPr>
        <w:t>lo suficiente</w:t>
      </w:r>
      <w:r w:rsidR="007804A5">
        <w:rPr>
          <w:rFonts w:ascii="Avenir Next" w:eastAsia="Hoefler Text" w:hAnsi="Avenir Next" w:cs="Hoefler Text"/>
          <w:u w:color="000000"/>
          <w:lang w:val="es-ES_tradnl" w:eastAsia="es-ES"/>
        </w:rPr>
        <w:t>mente efectiva</w:t>
      </w:r>
      <w:r w:rsidR="00E20957">
        <w:rPr>
          <w:rFonts w:ascii="Avenir Next" w:eastAsia="Hoefler Text" w:hAnsi="Avenir Next" w:cs="Hoefler Text"/>
          <w:u w:color="000000"/>
          <w:lang w:val="es-ES_tradnl" w:eastAsia="es-ES"/>
        </w:rPr>
        <w:t xml:space="preserve"> </w:t>
      </w:r>
      <w:r w:rsidR="00B5786A">
        <w:rPr>
          <w:rFonts w:ascii="Avenir Next" w:eastAsia="Hoefler Text" w:hAnsi="Avenir Next" w:cs="Hoefler Text"/>
          <w:u w:color="000000"/>
          <w:lang w:val="es-ES_tradnl" w:eastAsia="es-ES"/>
        </w:rPr>
        <w:t>como</w:t>
      </w:r>
      <w:r w:rsidR="00DE41DC">
        <w:rPr>
          <w:rFonts w:ascii="Avenir Next" w:eastAsia="Hoefler Text" w:hAnsi="Avenir Next" w:cs="Hoefler Text"/>
          <w:u w:color="000000"/>
          <w:lang w:val="es-ES_tradnl" w:eastAsia="es-ES"/>
        </w:rPr>
        <w:t xml:space="preserve"> para </w:t>
      </w:r>
      <w:r w:rsidR="00DE41DC" w:rsidRPr="00DF2ED4">
        <w:rPr>
          <w:rFonts w:ascii="Avenir Next" w:eastAsia="Hoefler Text" w:hAnsi="Avenir Next" w:cs="Hoefler Text"/>
          <w:u w:color="000000"/>
          <w:lang w:val="es-ES_tradnl" w:eastAsia="es-ES"/>
        </w:rPr>
        <w:t>hacer volver la inflación a un nivel cercano al 2</w:t>
      </w:r>
      <w:r w:rsidR="009A62D5">
        <w:rPr>
          <w:rFonts w:ascii="Avenir Next" w:eastAsia="Hoefler Text" w:hAnsi="Avenir Next" w:cs="Hoefler Text"/>
          <w:u w:color="000000"/>
          <w:lang w:val="es-ES_tradnl" w:eastAsia="es-ES"/>
        </w:rPr>
        <w:t xml:space="preserve"> </w:t>
      </w:r>
      <w:r w:rsidR="00DE41DC" w:rsidRPr="00DF2ED4">
        <w:rPr>
          <w:rFonts w:ascii="Avenir Next" w:eastAsia="Hoefler Text" w:hAnsi="Avenir Next" w:cs="Hoefler Text"/>
          <w:u w:color="000000"/>
          <w:lang w:val="es-ES_tradnl" w:eastAsia="es-ES"/>
        </w:rPr>
        <w:t>%</w:t>
      </w:r>
      <w:r w:rsidR="00DE41DC">
        <w:rPr>
          <w:rFonts w:ascii="Avenir Next" w:eastAsia="Hoefler Text" w:hAnsi="Avenir Next" w:cs="Hoefler Text"/>
          <w:u w:color="000000"/>
          <w:lang w:val="es-ES_tradnl" w:eastAsia="es-ES"/>
        </w:rPr>
        <w:t xml:space="preserve">. Esta reducción se tratará de realizar evitando </w:t>
      </w:r>
      <w:r w:rsidR="00236EA6">
        <w:rPr>
          <w:rFonts w:ascii="Avenir Next" w:eastAsia="Hoefler Text" w:hAnsi="Avenir Next" w:cs="Hoefler Text"/>
          <w:u w:color="000000"/>
          <w:lang w:val="es-ES_tradnl" w:eastAsia="es-ES"/>
        </w:rPr>
        <w:t xml:space="preserve">la contracción de </w:t>
      </w:r>
      <w:r w:rsidR="00DE41DC">
        <w:rPr>
          <w:rFonts w:ascii="Avenir Next" w:eastAsia="Hoefler Text" w:hAnsi="Avenir Next" w:cs="Hoefler Text"/>
          <w:u w:color="000000"/>
          <w:lang w:val="es-ES_tradnl" w:eastAsia="es-ES"/>
        </w:rPr>
        <w:t>las economías, reto que no obstante se antoja complicado.</w:t>
      </w:r>
    </w:p>
    <w:p w14:paraId="1376325A" w14:textId="323F1E93" w:rsidR="00343DE4" w:rsidRDefault="005001E9" w:rsidP="00DF2ED4">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 xml:space="preserve">La conjunción </w:t>
      </w:r>
      <w:r w:rsidR="00585751">
        <w:rPr>
          <w:rFonts w:ascii="Avenir Next" w:eastAsia="Hoefler Text" w:hAnsi="Avenir Next" w:cs="Hoefler Text"/>
          <w:u w:color="000000"/>
          <w:lang w:val="es-ES_tradnl" w:eastAsia="es-ES"/>
        </w:rPr>
        <w:t>del</w:t>
      </w:r>
      <w:r>
        <w:rPr>
          <w:rFonts w:ascii="Avenir Next" w:eastAsia="Hoefler Text" w:hAnsi="Avenir Next" w:cs="Hoefler Text"/>
          <w:u w:color="000000"/>
          <w:lang w:val="es-ES_tradnl" w:eastAsia="es-ES"/>
        </w:rPr>
        <w:t xml:space="preserve"> aumento de la inflación y la ya iniciada subida de tipos</w:t>
      </w:r>
      <w:r w:rsidR="007E3380">
        <w:rPr>
          <w:rFonts w:ascii="Avenir Next" w:eastAsia="Hoefler Text" w:hAnsi="Avenir Next" w:cs="Hoefler Text"/>
          <w:u w:color="000000"/>
          <w:lang w:val="es-ES_tradnl" w:eastAsia="es-ES"/>
        </w:rPr>
        <w:t xml:space="preserve">, así como de las consecuencias comerciales de la guerra de Ucrania y de las </w:t>
      </w:r>
      <w:r w:rsidR="00D24CDF">
        <w:rPr>
          <w:rFonts w:ascii="Avenir Next" w:eastAsia="Hoefler Text" w:hAnsi="Avenir Next" w:cs="Hoefler Text"/>
          <w:u w:color="000000"/>
          <w:lang w:val="es-ES_tradnl" w:eastAsia="es-ES"/>
        </w:rPr>
        <w:t xml:space="preserve">sanciones a Rusia </w:t>
      </w:r>
      <w:r w:rsidR="00AA15BC">
        <w:rPr>
          <w:rFonts w:ascii="Avenir Next" w:eastAsia="Hoefler Text" w:hAnsi="Avenir Next" w:cs="Hoefler Text"/>
          <w:u w:color="000000"/>
          <w:lang w:val="es-ES_tradnl" w:eastAsia="es-ES"/>
        </w:rPr>
        <w:t>se concretan en</w:t>
      </w:r>
      <w:r w:rsidR="00D24CDF">
        <w:rPr>
          <w:rFonts w:ascii="Avenir Next" w:eastAsia="Hoefler Text" w:hAnsi="Avenir Next" w:cs="Hoefler Text"/>
          <w:u w:color="000000"/>
          <w:lang w:val="es-ES_tradnl" w:eastAsia="es-ES"/>
        </w:rPr>
        <w:t xml:space="preserve"> el </w:t>
      </w:r>
      <w:r w:rsidR="00B75C79">
        <w:rPr>
          <w:rFonts w:ascii="Avenir Next" w:eastAsia="Hoefler Text" w:hAnsi="Avenir Next" w:cs="Hoefler Text"/>
          <w:u w:color="000000"/>
          <w:lang w:val="es-ES_tradnl" w:eastAsia="es-ES"/>
        </w:rPr>
        <w:t>empeoramiento</w:t>
      </w:r>
      <w:r w:rsidR="00D24CDF">
        <w:rPr>
          <w:rFonts w:ascii="Avenir Next" w:eastAsia="Hoefler Text" w:hAnsi="Avenir Next" w:cs="Hoefler Text"/>
          <w:u w:color="000000"/>
          <w:lang w:val="es-ES_tradnl" w:eastAsia="es-ES"/>
        </w:rPr>
        <w:t xml:space="preserve"> de la percepción económica en el corto plazo. Los PMIs para las economías avanzadas han mostrado un fuerte deterioro en los últimos meses, situándose la mayoría de ellos en zona de contracción. A pesar de la relativa mejoría del dato de agosto</w:t>
      </w:r>
      <w:r w:rsidR="00AA15BC">
        <w:rPr>
          <w:rFonts w:ascii="Avenir Next" w:eastAsia="Hoefler Text" w:hAnsi="Avenir Next" w:cs="Hoefler Text"/>
          <w:u w:color="000000"/>
          <w:lang w:val="es-ES_tradnl" w:eastAsia="es-ES"/>
        </w:rPr>
        <w:t xml:space="preserve"> para Europa</w:t>
      </w:r>
      <w:r w:rsidR="00D24CDF">
        <w:rPr>
          <w:rFonts w:ascii="Avenir Next" w:eastAsia="Hoefler Text" w:hAnsi="Avenir Next" w:cs="Hoefler Text"/>
          <w:u w:color="000000"/>
          <w:lang w:val="es-ES_tradnl" w:eastAsia="es-ES"/>
        </w:rPr>
        <w:t xml:space="preserve">, la percepción de los empresarios es que en los meses siguientes la actividad </w:t>
      </w:r>
      <w:r w:rsidR="0019547F">
        <w:rPr>
          <w:rFonts w:ascii="Avenir Next" w:eastAsia="Hoefler Text" w:hAnsi="Avenir Next" w:cs="Hoefler Text"/>
          <w:u w:color="000000"/>
          <w:lang w:val="es-ES_tradnl" w:eastAsia="es-ES"/>
        </w:rPr>
        <w:t>global de</w:t>
      </w:r>
      <w:r w:rsidR="00D24CDF">
        <w:rPr>
          <w:rFonts w:ascii="Avenir Next" w:eastAsia="Hoefler Text" w:hAnsi="Avenir Next" w:cs="Hoefler Text"/>
          <w:u w:color="000000"/>
          <w:lang w:val="es-ES_tradnl" w:eastAsia="es-ES"/>
        </w:rPr>
        <w:t xml:space="preserve"> la mayor parte de los países desarrollados sufrirá </w:t>
      </w:r>
      <w:r w:rsidR="00D928E2">
        <w:rPr>
          <w:rFonts w:ascii="Avenir Next" w:eastAsia="Hoefler Text" w:hAnsi="Avenir Next" w:cs="Hoefler Text"/>
          <w:u w:color="000000"/>
          <w:lang w:val="es-ES_tradnl" w:eastAsia="es-ES"/>
        </w:rPr>
        <w:t xml:space="preserve">un fuerte debilitamiento </w:t>
      </w:r>
      <w:r w:rsidR="00AA15BC">
        <w:rPr>
          <w:rFonts w:ascii="Avenir Next" w:eastAsia="Hoefler Text" w:hAnsi="Avenir Next" w:cs="Hoefler Text"/>
          <w:u w:color="000000"/>
          <w:lang w:val="es-ES_tradnl" w:eastAsia="es-ES"/>
        </w:rPr>
        <w:t>e incluso,</w:t>
      </w:r>
      <w:r w:rsidR="00D928E2">
        <w:rPr>
          <w:rFonts w:ascii="Avenir Next" w:eastAsia="Hoefler Text" w:hAnsi="Avenir Next" w:cs="Hoefler Text"/>
          <w:u w:color="000000"/>
          <w:lang w:val="es-ES_tradnl" w:eastAsia="es-ES"/>
        </w:rPr>
        <w:t xml:space="preserve"> en</w:t>
      </w:r>
      <w:r w:rsidR="00AA15BC">
        <w:rPr>
          <w:rFonts w:ascii="Avenir Next" w:eastAsia="Hoefler Text" w:hAnsi="Avenir Next" w:cs="Hoefler Text"/>
          <w:u w:color="000000"/>
          <w:lang w:val="es-ES_tradnl" w:eastAsia="es-ES"/>
        </w:rPr>
        <w:t xml:space="preserve"> no pocos,</w:t>
      </w:r>
      <w:r w:rsidR="00D928E2">
        <w:rPr>
          <w:rFonts w:ascii="Avenir Next" w:eastAsia="Hoefler Text" w:hAnsi="Avenir Next" w:cs="Hoefler Text"/>
          <w:u w:color="000000"/>
          <w:lang w:val="es-ES_tradnl" w:eastAsia="es-ES"/>
        </w:rPr>
        <w:t xml:space="preserve"> </w:t>
      </w:r>
      <w:r w:rsidR="00D24CDF">
        <w:rPr>
          <w:rFonts w:ascii="Avenir Next" w:eastAsia="Hoefler Text" w:hAnsi="Avenir Next" w:cs="Hoefler Text"/>
          <w:u w:color="000000"/>
          <w:lang w:val="es-ES_tradnl" w:eastAsia="es-ES"/>
        </w:rPr>
        <w:t xml:space="preserve">una </w:t>
      </w:r>
      <w:r w:rsidR="00D928E2">
        <w:rPr>
          <w:rFonts w:ascii="Avenir Next" w:eastAsia="Hoefler Text" w:hAnsi="Avenir Next" w:cs="Hoefler Text"/>
          <w:u w:color="000000"/>
          <w:lang w:val="es-ES_tradnl" w:eastAsia="es-ES"/>
        </w:rPr>
        <w:t xml:space="preserve">probable </w:t>
      </w:r>
      <w:r w:rsidR="00D24CDF">
        <w:rPr>
          <w:rFonts w:ascii="Avenir Next" w:eastAsia="Hoefler Text" w:hAnsi="Avenir Next" w:cs="Hoefler Text"/>
          <w:u w:color="000000"/>
          <w:lang w:val="es-ES_tradnl" w:eastAsia="es-ES"/>
        </w:rPr>
        <w:t>contracción</w:t>
      </w:r>
      <w:r w:rsidR="00D928E2">
        <w:rPr>
          <w:rFonts w:ascii="Avenir Next" w:eastAsia="Hoefler Text" w:hAnsi="Avenir Next" w:cs="Hoefler Text"/>
          <w:u w:color="000000"/>
          <w:lang w:val="es-ES_tradnl" w:eastAsia="es-ES"/>
        </w:rPr>
        <w:t>. Los datos de pedidos industriales y de stock</w:t>
      </w:r>
      <w:r w:rsidR="00AA15BC">
        <w:rPr>
          <w:rFonts w:ascii="Avenir Next" w:eastAsia="Hoefler Text" w:hAnsi="Avenir Next" w:cs="Hoefler Text"/>
          <w:u w:color="000000"/>
          <w:lang w:val="es-ES_tradnl" w:eastAsia="es-ES"/>
        </w:rPr>
        <w:t>, que suelen adelantar el ciclo económico,</w:t>
      </w:r>
      <w:r w:rsidR="00D928E2">
        <w:rPr>
          <w:rFonts w:ascii="Avenir Next" w:eastAsia="Hoefler Text" w:hAnsi="Avenir Next" w:cs="Hoefler Text"/>
          <w:u w:color="000000"/>
          <w:lang w:val="es-ES_tradnl" w:eastAsia="es-ES"/>
        </w:rPr>
        <w:t xml:space="preserve"> así lo refrendan.</w:t>
      </w:r>
    </w:p>
    <w:p w14:paraId="051B7541" w14:textId="495032CA" w:rsidR="00151EA6" w:rsidRDefault="00151EA6" w:rsidP="00DF2ED4">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noProof/>
          <w:u w:color="000000"/>
          <w:lang w:val="es-ES" w:eastAsia="es-ES"/>
        </w:rPr>
        <w:drawing>
          <wp:inline distT="0" distB="0" distL="0" distR="0" wp14:anchorId="3D9B8F3B" wp14:editId="13D28F4C">
            <wp:extent cx="6146800" cy="3340083"/>
            <wp:effectExtent l="0" t="0" r="635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018" cy="3343462"/>
                    </a:xfrm>
                    <a:prstGeom prst="rect">
                      <a:avLst/>
                    </a:prstGeom>
                    <a:noFill/>
                  </pic:spPr>
                </pic:pic>
              </a:graphicData>
            </a:graphic>
          </wp:inline>
        </w:drawing>
      </w:r>
    </w:p>
    <w:p w14:paraId="24B959B5" w14:textId="35C58A45" w:rsidR="00151EA6" w:rsidRDefault="00151EA6" w:rsidP="00DF2ED4">
      <w:pPr>
        <w:spacing w:before="100" w:after="100" w:line="288" w:lineRule="auto"/>
        <w:jc w:val="both"/>
        <w:rPr>
          <w:rFonts w:ascii="Avenir Next" w:eastAsia="Hoefler Text" w:hAnsi="Avenir Next" w:cs="Hoefler Text"/>
          <w:u w:color="000000"/>
          <w:lang w:val="es-ES_tradnl" w:eastAsia="es-ES"/>
        </w:rPr>
      </w:pPr>
      <w:r w:rsidRPr="00151EA6">
        <w:rPr>
          <w:rFonts w:ascii="Avenir Next" w:eastAsia="Hoefler Text" w:hAnsi="Avenir Next" w:cs="Hoefler Text"/>
          <w:sz w:val="20"/>
          <w:szCs w:val="20"/>
          <w:u w:color="000000"/>
          <w:lang w:val="es-ES_tradnl" w:eastAsia="es-ES"/>
        </w:rPr>
        <w:t>Fuente: PMI Markit</w:t>
      </w:r>
    </w:p>
    <w:p w14:paraId="2EFB20D5" w14:textId="1A0A59FE" w:rsidR="00343DE4" w:rsidRDefault="00F24672" w:rsidP="00DF2ED4">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Por todas estas razones</w:t>
      </w:r>
      <w:r w:rsidR="0015042A">
        <w:rPr>
          <w:rFonts w:ascii="Avenir Next" w:eastAsia="Hoefler Text" w:hAnsi="Avenir Next" w:cs="Hoefler Text"/>
          <w:u w:color="000000"/>
          <w:lang w:val="es-ES_tradnl" w:eastAsia="es-ES"/>
        </w:rPr>
        <w:t xml:space="preserve">, el crecimiento económico </w:t>
      </w:r>
      <w:r w:rsidR="004336B7">
        <w:rPr>
          <w:rFonts w:ascii="Avenir Next" w:eastAsia="Hoefler Text" w:hAnsi="Avenir Next" w:cs="Hoefler Text"/>
          <w:u w:color="000000"/>
          <w:lang w:val="es-ES_tradnl" w:eastAsia="es-ES"/>
        </w:rPr>
        <w:t xml:space="preserve">mundial </w:t>
      </w:r>
      <w:r w:rsidR="0015042A">
        <w:rPr>
          <w:rFonts w:ascii="Avenir Next" w:eastAsia="Hoefler Text" w:hAnsi="Avenir Next" w:cs="Hoefler Text"/>
          <w:u w:color="000000"/>
          <w:lang w:val="es-ES_tradnl" w:eastAsia="es-ES"/>
        </w:rPr>
        <w:t xml:space="preserve">transitará en los próximos meses desde un </w:t>
      </w:r>
      <w:r w:rsidR="006909C4">
        <w:rPr>
          <w:rFonts w:ascii="Avenir Next" w:eastAsia="Hoefler Text" w:hAnsi="Avenir Next" w:cs="Hoefler Text"/>
          <w:u w:color="000000"/>
          <w:lang w:val="es-ES_tradnl" w:eastAsia="es-ES"/>
        </w:rPr>
        <w:t>ritmo aún impulsado</w:t>
      </w:r>
      <w:r w:rsidR="00585751">
        <w:rPr>
          <w:rFonts w:ascii="Avenir Next" w:eastAsia="Hoefler Text" w:hAnsi="Avenir Next" w:cs="Hoefler Text"/>
          <w:u w:color="000000"/>
          <w:lang w:val="es-ES_tradnl" w:eastAsia="es-ES"/>
        </w:rPr>
        <w:t xml:space="preserve"> </w:t>
      </w:r>
      <w:r w:rsidR="006909C4">
        <w:rPr>
          <w:rFonts w:ascii="Avenir Next" w:eastAsia="Hoefler Text" w:hAnsi="Avenir Next" w:cs="Hoefler Text"/>
          <w:u w:color="000000"/>
          <w:lang w:val="es-ES_tradnl" w:eastAsia="es-ES"/>
        </w:rPr>
        <w:t>por</w:t>
      </w:r>
      <w:r w:rsidR="0015042A">
        <w:rPr>
          <w:rFonts w:ascii="Avenir Next" w:eastAsia="Hoefler Text" w:hAnsi="Avenir Next" w:cs="Hoefler Text"/>
          <w:u w:color="000000"/>
          <w:lang w:val="es-ES_tradnl" w:eastAsia="es-ES"/>
        </w:rPr>
        <w:t xml:space="preserve"> la recuperación de la pandemia hacia otro más moderado como consecuencia del impacto de los hechos antes mencionados</w:t>
      </w:r>
      <w:r w:rsidR="00992F21">
        <w:rPr>
          <w:rFonts w:ascii="Avenir Next" w:eastAsia="Hoefler Text" w:hAnsi="Avenir Next" w:cs="Hoefler Text"/>
          <w:u w:color="000000"/>
          <w:lang w:val="es-ES_tradnl" w:eastAsia="es-ES"/>
        </w:rPr>
        <w:t>, incluso de contracción temporal de la actividad</w:t>
      </w:r>
      <w:r w:rsidR="00A4567B">
        <w:rPr>
          <w:rFonts w:ascii="Avenir Next" w:eastAsia="Hoefler Text" w:hAnsi="Avenir Next" w:cs="Hoefler Text"/>
          <w:u w:color="000000"/>
          <w:lang w:val="es-ES_tradnl" w:eastAsia="es-ES"/>
        </w:rPr>
        <w:t>.</w:t>
      </w:r>
      <w:r w:rsidR="00002F9F">
        <w:rPr>
          <w:rFonts w:ascii="Avenir Next" w:eastAsia="Hoefler Text" w:hAnsi="Avenir Next" w:cs="Hoefler Text"/>
          <w:u w:color="000000"/>
          <w:lang w:val="es-ES_tradnl" w:eastAsia="es-ES"/>
        </w:rPr>
        <w:t xml:space="preserve"> </w:t>
      </w:r>
      <w:r w:rsidR="002113F7">
        <w:rPr>
          <w:rFonts w:ascii="Avenir Next" w:eastAsia="Hoefler Text" w:hAnsi="Avenir Next" w:cs="Hoefler Text"/>
          <w:u w:color="000000"/>
          <w:lang w:val="es-ES_tradnl" w:eastAsia="es-ES"/>
        </w:rPr>
        <w:t>Es por esta</w:t>
      </w:r>
      <w:r w:rsidR="00FE07B7">
        <w:rPr>
          <w:rFonts w:ascii="Avenir Next" w:eastAsia="Hoefler Text" w:hAnsi="Avenir Next" w:cs="Hoefler Text"/>
          <w:u w:color="000000"/>
          <w:lang w:val="es-ES_tradnl" w:eastAsia="es-ES"/>
        </w:rPr>
        <w:t>s</w:t>
      </w:r>
      <w:r w:rsidR="00585751">
        <w:rPr>
          <w:rFonts w:ascii="Avenir Next" w:eastAsia="Hoefler Text" w:hAnsi="Avenir Next" w:cs="Hoefler Text"/>
          <w:u w:color="000000"/>
          <w:lang w:val="es-ES_tradnl" w:eastAsia="es-ES"/>
        </w:rPr>
        <w:t xml:space="preserve"> </w:t>
      </w:r>
      <w:r w:rsidR="00FE07B7">
        <w:rPr>
          <w:rFonts w:ascii="Avenir Next" w:eastAsia="Hoefler Text" w:hAnsi="Avenir Next" w:cs="Hoefler Text"/>
          <w:u w:color="000000"/>
          <w:lang w:val="es-ES_tradnl" w:eastAsia="es-ES"/>
        </w:rPr>
        <w:t>razones</w:t>
      </w:r>
      <w:r w:rsidR="002113F7">
        <w:rPr>
          <w:rFonts w:ascii="Avenir Next" w:eastAsia="Hoefler Text" w:hAnsi="Avenir Next" w:cs="Hoefler Text"/>
          <w:u w:color="000000"/>
          <w:lang w:val="es-ES_tradnl" w:eastAsia="es-ES"/>
        </w:rPr>
        <w:t xml:space="preserve"> que el FMI, en su informe de julio reducía su anterior previsión de crecimiento para 2022 de un 3,6 % a un 3,2 %, destacando la enorme amenaza que puede suponer la contracción en el </w:t>
      </w:r>
      <w:r w:rsidR="00B700F5">
        <w:rPr>
          <w:rFonts w:ascii="Avenir Next" w:eastAsia="Hoefler Text" w:hAnsi="Avenir Next" w:cs="Hoefler Text"/>
          <w:u w:color="000000"/>
          <w:lang w:val="es-ES_tradnl" w:eastAsia="es-ES"/>
        </w:rPr>
        <w:t>crecimiento</w:t>
      </w:r>
      <w:r w:rsidR="002113F7">
        <w:rPr>
          <w:rFonts w:ascii="Avenir Next" w:eastAsia="Hoefler Text" w:hAnsi="Avenir Next" w:cs="Hoefler Text"/>
          <w:u w:color="000000"/>
          <w:lang w:val="es-ES_tradnl" w:eastAsia="es-ES"/>
        </w:rPr>
        <w:t xml:space="preserve"> tanto en los Estados Unidos, como en China y en Europa.</w:t>
      </w:r>
      <w:r w:rsidR="00B951D9">
        <w:rPr>
          <w:rFonts w:ascii="Avenir Next" w:eastAsia="Hoefler Text" w:hAnsi="Avenir Next" w:cs="Hoefler Text"/>
          <w:u w:color="000000"/>
          <w:lang w:val="es-ES_tradnl" w:eastAsia="es-ES"/>
        </w:rPr>
        <w:t xml:space="preserve"> Mientras, la OCDE</w:t>
      </w:r>
      <w:r w:rsidR="00E22D3A">
        <w:rPr>
          <w:rFonts w:ascii="Avenir Next" w:eastAsia="Hoefler Text" w:hAnsi="Avenir Next" w:cs="Hoefler Text"/>
          <w:u w:color="000000"/>
          <w:lang w:val="es-ES_tradnl" w:eastAsia="es-ES"/>
        </w:rPr>
        <w:t>,</w:t>
      </w:r>
      <w:r w:rsidR="00B951D9">
        <w:rPr>
          <w:rFonts w:ascii="Avenir Next" w:eastAsia="Hoefler Text" w:hAnsi="Avenir Next" w:cs="Hoefler Text"/>
          <w:u w:color="000000"/>
          <w:lang w:val="es-ES_tradnl" w:eastAsia="es-ES"/>
        </w:rPr>
        <w:t xml:space="preserve"> que había reducido su previsión de crecimiento hasta el 3,1 % antes del verano, volvió a reducirla en una décima a la espera de nuevos datos</w:t>
      </w:r>
      <w:r w:rsidR="00DF2ED4" w:rsidRPr="00DF2ED4">
        <w:rPr>
          <w:rFonts w:ascii="Avenir Next" w:eastAsia="Hoefler Text" w:hAnsi="Avenir Next" w:cs="Hoefler Text"/>
          <w:u w:color="000000"/>
          <w:lang w:val="es-ES_tradnl" w:eastAsia="es-ES"/>
        </w:rPr>
        <w:t>.</w:t>
      </w:r>
    </w:p>
    <w:p w14:paraId="732749CB" w14:textId="77777777" w:rsidR="00343DE4" w:rsidRDefault="00343DE4" w:rsidP="00DF2ED4">
      <w:pPr>
        <w:spacing w:before="100" w:after="100" w:line="288" w:lineRule="auto"/>
        <w:jc w:val="both"/>
        <w:rPr>
          <w:rFonts w:ascii="Avenir Next" w:eastAsia="Hoefler Text" w:hAnsi="Avenir Next" w:cs="Hoefler Text"/>
          <w:u w:color="000000"/>
          <w:lang w:val="es-ES_tradnl" w:eastAsia="es-ES"/>
        </w:rPr>
      </w:pPr>
    </w:p>
    <w:p w14:paraId="4546D659" w14:textId="4BBD8C6E" w:rsidR="00DF2ED4" w:rsidRDefault="0078143C" w:rsidP="00343DE4">
      <w:pPr>
        <w:spacing w:before="100" w:after="100" w:line="288" w:lineRule="auto"/>
        <w:jc w:val="center"/>
        <w:rPr>
          <w:rFonts w:ascii="Avenir Next" w:eastAsia="Hoefler Text" w:hAnsi="Avenir Next" w:cs="Hoefler Text"/>
          <w:u w:color="000000"/>
          <w:lang w:val="es-ES_tradnl" w:eastAsia="es-ES"/>
        </w:rPr>
      </w:pPr>
      <w:r w:rsidRPr="0078143C">
        <w:rPr>
          <w:noProof/>
        </w:rPr>
        <w:lastRenderedPageBreak/>
        <w:drawing>
          <wp:inline distT="0" distB="0" distL="0" distR="0" wp14:anchorId="7C5476D9" wp14:editId="7157AE10">
            <wp:extent cx="5859780" cy="22479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9780" cy="2247900"/>
                    </a:xfrm>
                    <a:prstGeom prst="rect">
                      <a:avLst/>
                    </a:prstGeom>
                    <a:noFill/>
                    <a:ln>
                      <a:noFill/>
                    </a:ln>
                  </pic:spPr>
                </pic:pic>
              </a:graphicData>
            </a:graphic>
          </wp:inline>
        </w:drawing>
      </w:r>
    </w:p>
    <w:p w14:paraId="4999F9DC" w14:textId="77777777" w:rsidR="00343DE4" w:rsidRDefault="00343DE4" w:rsidP="00DF2ED4">
      <w:pPr>
        <w:spacing w:before="100" w:after="100" w:line="288" w:lineRule="auto"/>
        <w:jc w:val="both"/>
        <w:rPr>
          <w:rFonts w:ascii="Avenir Next" w:eastAsia="Hoefler Text" w:hAnsi="Avenir Next" w:cs="Hoefler Text"/>
          <w:u w:color="000000"/>
          <w:lang w:val="es-ES_tradnl" w:eastAsia="es-ES"/>
        </w:rPr>
      </w:pPr>
    </w:p>
    <w:p w14:paraId="33134B7C" w14:textId="6D133071" w:rsidR="00B700F5" w:rsidRPr="00DF2ED4" w:rsidRDefault="00AA15BC" w:rsidP="00DF2ED4">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Para la zona euro, e</w:t>
      </w:r>
      <w:r w:rsidR="00812135">
        <w:rPr>
          <w:rFonts w:ascii="Avenir Next" w:eastAsia="Hoefler Text" w:hAnsi="Avenir Next" w:cs="Hoefler Text"/>
          <w:u w:color="000000"/>
          <w:lang w:val="es-ES_tradnl" w:eastAsia="es-ES"/>
        </w:rPr>
        <w:t>l</w:t>
      </w:r>
      <w:r w:rsidR="00E22D3A">
        <w:rPr>
          <w:rFonts w:ascii="Avenir Next" w:eastAsia="Hoefler Text" w:hAnsi="Avenir Next" w:cs="Hoefler Text"/>
          <w:u w:color="000000"/>
          <w:lang w:val="es-ES_tradnl" w:eastAsia="es-ES"/>
        </w:rPr>
        <w:t xml:space="preserve"> </w:t>
      </w:r>
      <w:r w:rsidR="00B700F5">
        <w:rPr>
          <w:rFonts w:ascii="Avenir Next" w:eastAsia="Hoefler Text" w:hAnsi="Avenir Next" w:cs="Hoefler Text"/>
          <w:u w:color="000000"/>
          <w:lang w:val="es-ES_tradnl" w:eastAsia="es-ES"/>
        </w:rPr>
        <w:t>Banco Central Europeo</w:t>
      </w:r>
      <w:r w:rsidR="003C4BD3">
        <w:rPr>
          <w:rFonts w:ascii="Avenir Next" w:eastAsia="Hoefler Text" w:hAnsi="Avenir Next" w:cs="Hoefler Text"/>
          <w:u w:color="000000"/>
          <w:lang w:val="es-ES_tradnl" w:eastAsia="es-ES"/>
        </w:rPr>
        <w:t>, en el mismo momento que elevaba 0,75 puntos su tipo de intervención,</w:t>
      </w:r>
      <w:r w:rsidR="00E22D3A">
        <w:rPr>
          <w:rFonts w:ascii="Avenir Next" w:eastAsia="Hoefler Text" w:hAnsi="Avenir Next" w:cs="Hoefler Text"/>
          <w:u w:color="000000"/>
          <w:lang w:val="es-ES_tradnl" w:eastAsia="es-ES"/>
        </w:rPr>
        <w:t xml:space="preserve"> </w:t>
      </w:r>
      <w:r w:rsidR="00B700F5">
        <w:rPr>
          <w:rFonts w:ascii="Avenir Next" w:eastAsia="Hoefler Text" w:hAnsi="Avenir Next" w:cs="Hoefler Text"/>
          <w:u w:color="000000"/>
          <w:lang w:val="es-ES_tradnl" w:eastAsia="es-ES"/>
        </w:rPr>
        <w:t>realiz</w:t>
      </w:r>
      <w:r w:rsidR="00812135">
        <w:rPr>
          <w:rFonts w:ascii="Avenir Next" w:eastAsia="Hoefler Text" w:hAnsi="Avenir Next" w:cs="Hoefler Text"/>
          <w:u w:color="000000"/>
          <w:lang w:val="es-ES_tradnl" w:eastAsia="es-ES"/>
        </w:rPr>
        <w:t>ó</w:t>
      </w:r>
      <w:r w:rsidR="00B700F5">
        <w:rPr>
          <w:rFonts w:ascii="Avenir Next" w:eastAsia="Hoefler Text" w:hAnsi="Avenir Next" w:cs="Hoefler Text"/>
          <w:u w:color="000000"/>
          <w:lang w:val="es-ES_tradnl" w:eastAsia="es-ES"/>
        </w:rPr>
        <w:t xml:space="preserve"> </w:t>
      </w:r>
      <w:r w:rsidR="005945C9">
        <w:rPr>
          <w:rFonts w:ascii="Avenir Next" w:eastAsia="Hoefler Text" w:hAnsi="Avenir Next" w:cs="Hoefler Text"/>
          <w:u w:color="000000"/>
          <w:lang w:val="es-ES_tradnl" w:eastAsia="es-ES"/>
        </w:rPr>
        <w:t xml:space="preserve">el pasado 8 de septiembre </w:t>
      </w:r>
      <w:r w:rsidR="00B700F5">
        <w:rPr>
          <w:rFonts w:ascii="Avenir Next" w:eastAsia="Hoefler Text" w:hAnsi="Avenir Next" w:cs="Hoefler Text"/>
          <w:u w:color="000000"/>
          <w:lang w:val="es-ES_tradnl" w:eastAsia="es-ES"/>
        </w:rPr>
        <w:t xml:space="preserve">un </w:t>
      </w:r>
      <w:r w:rsidR="005945C9">
        <w:rPr>
          <w:rFonts w:ascii="Avenir Next" w:eastAsia="Hoefler Text" w:hAnsi="Avenir Next" w:cs="Hoefler Text"/>
          <w:u w:color="000000"/>
          <w:lang w:val="es-ES_tradnl" w:eastAsia="es-ES"/>
        </w:rPr>
        <w:t xml:space="preserve">ligero </w:t>
      </w:r>
      <w:r w:rsidR="00B700F5">
        <w:rPr>
          <w:rFonts w:ascii="Avenir Next" w:eastAsia="Hoefler Text" w:hAnsi="Avenir Next" w:cs="Hoefler Text"/>
          <w:u w:color="000000"/>
          <w:lang w:val="es-ES_tradnl" w:eastAsia="es-ES"/>
        </w:rPr>
        <w:t>ajuste a</w:t>
      </w:r>
      <w:r w:rsidR="005945C9">
        <w:rPr>
          <w:rFonts w:ascii="Avenir Next" w:eastAsia="Hoefler Text" w:hAnsi="Avenir Next" w:cs="Hoefler Text"/>
          <w:u w:color="000000"/>
          <w:lang w:val="es-ES_tradnl" w:eastAsia="es-ES"/>
        </w:rPr>
        <w:t xml:space="preserve">l alza </w:t>
      </w:r>
      <w:r>
        <w:rPr>
          <w:rFonts w:ascii="Avenir Next" w:eastAsia="Hoefler Text" w:hAnsi="Avenir Next" w:cs="Hoefler Text"/>
          <w:u w:color="000000"/>
          <w:lang w:val="es-ES_tradnl" w:eastAsia="es-ES"/>
        </w:rPr>
        <w:t xml:space="preserve">en sus previsiones </w:t>
      </w:r>
      <w:r w:rsidR="005945C9">
        <w:rPr>
          <w:rFonts w:ascii="Avenir Next" w:eastAsia="Hoefler Text" w:hAnsi="Avenir Next" w:cs="Hoefler Text"/>
          <w:u w:color="000000"/>
          <w:lang w:val="es-ES_tradnl" w:eastAsia="es-ES"/>
        </w:rPr>
        <w:t>para 2022</w:t>
      </w:r>
      <w:r>
        <w:rPr>
          <w:rFonts w:ascii="Avenir Next" w:eastAsia="Hoefler Text" w:hAnsi="Avenir Next" w:cs="Hoefler Text"/>
          <w:u w:color="000000"/>
          <w:lang w:val="es-ES_tradnl" w:eastAsia="es-ES"/>
        </w:rPr>
        <w:t>, del 2,8 % al 3,1 %,</w:t>
      </w:r>
      <w:r w:rsidR="005945C9">
        <w:rPr>
          <w:rFonts w:ascii="Avenir Next" w:eastAsia="Hoefler Text" w:hAnsi="Avenir Next" w:cs="Hoefler Text"/>
          <w:u w:color="000000"/>
          <w:lang w:val="es-ES_tradnl" w:eastAsia="es-ES"/>
        </w:rPr>
        <w:t xml:space="preserve"> gracias a las relativas sorpresas que algunos países mostraron en sus tasas de crecimiento durante el segundo trimestre. No obstante, según el propio informe del BCE, esta revisión es coherente con un claro debilitamiento en el segundo semestre que se trasladará a 2023</w:t>
      </w:r>
      <w:r w:rsidR="00332B32">
        <w:rPr>
          <w:rFonts w:ascii="Avenir Next" w:eastAsia="Hoefler Text" w:hAnsi="Avenir Next" w:cs="Hoefler Text"/>
          <w:u w:color="000000"/>
          <w:lang w:val="es-ES_tradnl" w:eastAsia="es-ES"/>
        </w:rPr>
        <w:t>, año para el cuál el BCE revisa a la baja el crecimiento del PIB de la eurozona desde el 2,1 hasta el 0,9 %</w:t>
      </w:r>
      <w:r w:rsidR="005945C9">
        <w:rPr>
          <w:rFonts w:ascii="Avenir Next" w:eastAsia="Hoefler Text" w:hAnsi="Avenir Next" w:cs="Hoefler Text"/>
          <w:u w:color="000000"/>
          <w:lang w:val="es-ES_tradnl" w:eastAsia="es-ES"/>
        </w:rPr>
        <w:t xml:space="preserve">. Por su parte, y a la espera de una nueva revisión, que posiblemente acompañe a la del BCE, </w:t>
      </w:r>
      <w:r w:rsidR="00120EB7">
        <w:rPr>
          <w:rFonts w:ascii="Avenir Next" w:eastAsia="Hoefler Text" w:hAnsi="Avenir Next" w:cs="Hoefler Text"/>
          <w:u w:color="000000"/>
          <w:lang w:val="es-ES_tradnl" w:eastAsia="es-ES"/>
        </w:rPr>
        <w:t xml:space="preserve">la Comisión Europea </w:t>
      </w:r>
      <w:r w:rsidR="005945C9">
        <w:rPr>
          <w:rFonts w:ascii="Avenir Next" w:eastAsia="Hoefler Text" w:hAnsi="Avenir Next" w:cs="Hoefler Text"/>
          <w:u w:color="000000"/>
          <w:lang w:val="es-ES_tradnl" w:eastAsia="es-ES"/>
        </w:rPr>
        <w:t>mantiene su estimación en el 2,7 %</w:t>
      </w:r>
      <w:r w:rsidR="00120EB7">
        <w:rPr>
          <w:rFonts w:ascii="Avenir Next" w:eastAsia="Hoefler Text" w:hAnsi="Avenir Next" w:cs="Hoefler Text"/>
          <w:u w:color="000000"/>
          <w:lang w:val="es-ES_tradnl" w:eastAsia="es-ES"/>
        </w:rPr>
        <w:t>.</w:t>
      </w:r>
      <w:r>
        <w:rPr>
          <w:rFonts w:ascii="Avenir Next" w:eastAsia="Hoefler Text" w:hAnsi="Avenir Next" w:cs="Hoefler Text"/>
          <w:u w:color="000000"/>
          <w:lang w:val="es-ES_tradnl" w:eastAsia="es-ES"/>
        </w:rPr>
        <w:t xml:space="preserve"> </w:t>
      </w:r>
    </w:p>
    <w:p w14:paraId="0643905E" w14:textId="380DD323" w:rsidR="00DF2ED4" w:rsidRPr="00DF2ED4" w:rsidRDefault="00566E03" w:rsidP="00DF2ED4">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España</w:t>
      </w:r>
      <w:r w:rsidR="00D115C8">
        <w:rPr>
          <w:rFonts w:ascii="Avenir Next" w:eastAsia="Hoefler Text" w:hAnsi="Avenir Next" w:cs="Hoefler Text"/>
          <w:u w:color="000000"/>
          <w:lang w:val="es-ES_tradnl" w:eastAsia="es-ES"/>
        </w:rPr>
        <w:t>,</w:t>
      </w:r>
      <w:r w:rsidR="00120EB7">
        <w:rPr>
          <w:rFonts w:ascii="Avenir Next" w:eastAsia="Hoefler Text" w:hAnsi="Avenir Next" w:cs="Hoefler Text"/>
          <w:u w:color="000000"/>
          <w:lang w:val="es-ES_tradnl" w:eastAsia="es-ES"/>
        </w:rPr>
        <w:t xml:space="preserve"> </w:t>
      </w:r>
      <w:r>
        <w:rPr>
          <w:rFonts w:ascii="Avenir Next" w:eastAsia="Hoefler Text" w:hAnsi="Avenir Next" w:cs="Hoefler Text"/>
          <w:u w:color="000000"/>
          <w:lang w:val="es-ES_tradnl" w:eastAsia="es-ES"/>
        </w:rPr>
        <w:t xml:space="preserve">a pesar de </w:t>
      </w:r>
      <w:r w:rsidR="00380137">
        <w:rPr>
          <w:rFonts w:ascii="Avenir Next" w:eastAsia="Hoefler Text" w:hAnsi="Avenir Next" w:cs="Hoefler Text"/>
          <w:u w:color="000000"/>
          <w:lang w:val="es-ES_tradnl" w:eastAsia="es-ES"/>
        </w:rPr>
        <w:t>encontrarse en una posición relativamente más cómoda que otras economías de Europa</w:t>
      </w:r>
      <w:r w:rsidR="00120EB7">
        <w:rPr>
          <w:rFonts w:ascii="Avenir Next" w:eastAsia="Hoefler Text" w:hAnsi="Avenir Next" w:cs="Hoefler Text"/>
          <w:u w:color="000000"/>
          <w:lang w:val="es-ES_tradnl" w:eastAsia="es-ES"/>
        </w:rPr>
        <w:t xml:space="preserve"> por la menor dependencia del gas ruso</w:t>
      </w:r>
      <w:r w:rsidR="00380137">
        <w:rPr>
          <w:rFonts w:ascii="Avenir Next" w:eastAsia="Hoefler Text" w:hAnsi="Avenir Next" w:cs="Hoefler Text"/>
          <w:u w:color="000000"/>
          <w:lang w:val="es-ES_tradnl" w:eastAsia="es-ES"/>
        </w:rPr>
        <w:t xml:space="preserve">, </w:t>
      </w:r>
      <w:r w:rsidR="00A2247F">
        <w:rPr>
          <w:rFonts w:ascii="Avenir Next" w:eastAsia="Hoefler Text" w:hAnsi="Avenir Next" w:cs="Hoefler Text"/>
          <w:u w:color="000000"/>
          <w:lang w:val="es-ES_tradnl" w:eastAsia="es-ES"/>
        </w:rPr>
        <w:t>sufrirá</w:t>
      </w:r>
      <w:r w:rsidR="00585751">
        <w:rPr>
          <w:rFonts w:ascii="Avenir Next" w:eastAsia="Hoefler Text" w:hAnsi="Avenir Next" w:cs="Hoefler Text"/>
          <w:u w:color="000000"/>
          <w:lang w:val="es-ES_tradnl" w:eastAsia="es-ES"/>
        </w:rPr>
        <w:t xml:space="preserve"> </w:t>
      </w:r>
      <w:r w:rsidR="00380137">
        <w:rPr>
          <w:rFonts w:ascii="Avenir Next" w:eastAsia="Hoefler Text" w:hAnsi="Avenir Next" w:cs="Hoefler Text"/>
          <w:u w:color="000000"/>
          <w:lang w:val="es-ES_tradnl" w:eastAsia="es-ES"/>
        </w:rPr>
        <w:t xml:space="preserve">también las consecuencias de lo </w:t>
      </w:r>
      <w:r w:rsidR="00D115C8">
        <w:rPr>
          <w:rFonts w:ascii="Avenir Next" w:eastAsia="Hoefler Text" w:hAnsi="Avenir Next" w:cs="Hoefler Text"/>
          <w:u w:color="000000"/>
          <w:lang w:val="es-ES_tradnl" w:eastAsia="es-ES"/>
        </w:rPr>
        <w:t xml:space="preserve">anteriormente </w:t>
      </w:r>
      <w:r w:rsidR="00380137">
        <w:rPr>
          <w:rFonts w:ascii="Avenir Next" w:eastAsia="Hoefler Text" w:hAnsi="Avenir Next" w:cs="Hoefler Text"/>
          <w:u w:color="000000"/>
          <w:lang w:val="es-ES_tradnl" w:eastAsia="es-ES"/>
        </w:rPr>
        <w:t xml:space="preserve">mencionado. </w:t>
      </w:r>
      <w:r w:rsidR="00DC6279">
        <w:rPr>
          <w:rFonts w:ascii="Avenir Next" w:eastAsia="Hoefler Text" w:hAnsi="Avenir Next" w:cs="Hoefler Text"/>
          <w:u w:color="000000"/>
          <w:lang w:val="es-ES_tradnl" w:eastAsia="es-ES"/>
        </w:rPr>
        <w:t>L</w:t>
      </w:r>
      <w:r w:rsidR="00DF2ED4" w:rsidRPr="00DF2ED4">
        <w:rPr>
          <w:rFonts w:ascii="Avenir Next" w:eastAsia="Hoefler Text" w:hAnsi="Avenir Next" w:cs="Hoefler Text"/>
          <w:u w:color="000000"/>
          <w:lang w:val="es-ES_tradnl" w:eastAsia="es-ES"/>
        </w:rPr>
        <w:t>a subida de la tasa de inflación</w:t>
      </w:r>
      <w:r w:rsidR="00691BFD">
        <w:rPr>
          <w:rFonts w:ascii="Avenir Next" w:eastAsia="Hoefler Text" w:hAnsi="Avenir Next" w:cs="Hoefler Text"/>
          <w:u w:color="000000"/>
          <w:lang w:val="es-ES_tradnl" w:eastAsia="es-ES"/>
        </w:rPr>
        <w:t xml:space="preserve">, que alcanzó un </w:t>
      </w:r>
      <w:r w:rsidR="004E753B">
        <w:rPr>
          <w:rFonts w:ascii="Avenir Next" w:eastAsia="Hoefler Text" w:hAnsi="Avenir Next" w:cs="Hoefler Text"/>
          <w:u w:color="000000"/>
          <w:lang w:val="es-ES_tradnl" w:eastAsia="es-ES"/>
        </w:rPr>
        <w:t xml:space="preserve">máximo </w:t>
      </w:r>
      <w:r w:rsidR="002765ED">
        <w:rPr>
          <w:rFonts w:ascii="Avenir Next" w:eastAsia="Hoefler Text" w:hAnsi="Avenir Next" w:cs="Hoefler Text"/>
          <w:u w:color="000000"/>
          <w:lang w:val="es-ES_tradnl" w:eastAsia="es-ES"/>
        </w:rPr>
        <w:t xml:space="preserve">del </w:t>
      </w:r>
      <w:r w:rsidR="00660578">
        <w:rPr>
          <w:rFonts w:ascii="Avenir Next" w:eastAsia="Hoefler Text" w:hAnsi="Avenir Next" w:cs="Hoefler Text"/>
          <w:u w:color="000000"/>
          <w:lang w:val="es-ES_tradnl" w:eastAsia="es-ES"/>
        </w:rPr>
        <w:t>10,8%</w:t>
      </w:r>
      <w:r w:rsidR="00E06A7E">
        <w:rPr>
          <w:rFonts w:ascii="Avenir Next" w:eastAsia="Hoefler Text" w:hAnsi="Avenir Next" w:cs="Hoefler Text"/>
          <w:u w:color="000000"/>
          <w:lang w:val="es-ES_tradnl" w:eastAsia="es-ES"/>
        </w:rPr>
        <w:t xml:space="preserve"> en julio</w:t>
      </w:r>
      <w:r w:rsidR="00691BFD">
        <w:rPr>
          <w:rFonts w:ascii="Avenir Next" w:eastAsia="Hoefler Text" w:hAnsi="Avenir Next" w:cs="Hoefler Text"/>
          <w:u w:color="000000"/>
          <w:lang w:val="es-ES_tradnl" w:eastAsia="es-ES"/>
        </w:rPr>
        <w:t>, va a complicar el escenario</w:t>
      </w:r>
      <w:r w:rsidR="00DC6279">
        <w:rPr>
          <w:rFonts w:ascii="Avenir Next" w:eastAsia="Hoefler Text" w:hAnsi="Avenir Next" w:cs="Hoefler Text"/>
          <w:u w:color="000000"/>
          <w:lang w:val="es-ES_tradnl" w:eastAsia="es-ES"/>
        </w:rPr>
        <w:t xml:space="preserve"> futuro</w:t>
      </w:r>
      <w:r w:rsidR="00812135">
        <w:rPr>
          <w:rFonts w:ascii="Avenir Next" w:eastAsia="Hoefler Text" w:hAnsi="Avenir Next" w:cs="Hoefler Text"/>
          <w:u w:color="000000"/>
          <w:lang w:val="es-ES_tradnl" w:eastAsia="es-ES"/>
        </w:rPr>
        <w:t>,</w:t>
      </w:r>
      <w:r w:rsidR="00DF2ED4" w:rsidRPr="00DF2ED4">
        <w:rPr>
          <w:rFonts w:ascii="Avenir Next" w:eastAsia="Hoefler Text" w:hAnsi="Avenir Next" w:cs="Hoefler Text"/>
          <w:u w:color="000000"/>
          <w:lang w:val="es-ES_tradnl" w:eastAsia="es-ES"/>
        </w:rPr>
        <w:t xml:space="preserve"> </w:t>
      </w:r>
      <w:r w:rsidR="00812135">
        <w:rPr>
          <w:rFonts w:ascii="Avenir Next" w:eastAsia="Hoefler Text" w:hAnsi="Avenir Next" w:cs="Hoefler Text"/>
          <w:u w:color="000000"/>
          <w:lang w:val="es-ES_tradnl" w:eastAsia="es-ES"/>
        </w:rPr>
        <w:t>y e</w:t>
      </w:r>
      <w:r w:rsidR="00DF2ED4" w:rsidRPr="00DF2ED4">
        <w:rPr>
          <w:rFonts w:ascii="Avenir Next" w:eastAsia="Hoefler Text" w:hAnsi="Avenir Next" w:cs="Hoefler Text"/>
          <w:u w:color="000000"/>
          <w:lang w:val="es-ES_tradnl" w:eastAsia="es-ES"/>
        </w:rPr>
        <w:t xml:space="preserve">l aumento de </w:t>
      </w:r>
      <w:r w:rsidR="00F618F9">
        <w:rPr>
          <w:rFonts w:ascii="Avenir Next" w:eastAsia="Hoefler Text" w:hAnsi="Avenir Next" w:cs="Hoefler Text"/>
          <w:u w:color="000000"/>
          <w:lang w:val="es-ES_tradnl" w:eastAsia="es-ES"/>
        </w:rPr>
        <w:t xml:space="preserve">la </w:t>
      </w:r>
      <w:r w:rsidR="00DF2ED4" w:rsidRPr="00DF2ED4">
        <w:rPr>
          <w:rFonts w:ascii="Avenir Next" w:eastAsia="Hoefler Text" w:hAnsi="Avenir Next" w:cs="Hoefler Text"/>
          <w:u w:color="000000"/>
          <w:lang w:val="es-ES_tradnl" w:eastAsia="es-ES"/>
        </w:rPr>
        <w:t xml:space="preserve">inflación subyacente </w:t>
      </w:r>
      <w:r w:rsidR="00F618F9">
        <w:rPr>
          <w:rFonts w:ascii="Avenir Next" w:eastAsia="Hoefler Text" w:hAnsi="Avenir Next" w:cs="Hoefler Text"/>
          <w:u w:color="000000"/>
          <w:lang w:val="es-ES_tradnl" w:eastAsia="es-ES"/>
        </w:rPr>
        <w:t>por encima del 6</w:t>
      </w:r>
      <w:r w:rsidR="00DF2ED4" w:rsidRPr="00DF2ED4">
        <w:rPr>
          <w:rFonts w:ascii="Avenir Next" w:eastAsia="Hoefler Text" w:hAnsi="Avenir Next" w:cs="Hoefler Text"/>
          <w:u w:color="000000"/>
          <w:lang w:val="es-ES_tradnl" w:eastAsia="es-ES"/>
        </w:rPr>
        <w:t xml:space="preserve">% </w:t>
      </w:r>
      <w:r w:rsidR="00F618F9">
        <w:rPr>
          <w:rFonts w:ascii="Avenir Next" w:eastAsia="Hoefler Text" w:hAnsi="Avenir Next" w:cs="Hoefler Text"/>
          <w:u w:color="000000"/>
          <w:lang w:val="es-ES_tradnl" w:eastAsia="es-ES"/>
        </w:rPr>
        <w:t>en agosto</w:t>
      </w:r>
      <w:r w:rsidR="00DC6279">
        <w:rPr>
          <w:rFonts w:ascii="Avenir Next" w:eastAsia="Hoefler Text" w:hAnsi="Avenir Next" w:cs="Hoefler Text"/>
          <w:u w:color="000000"/>
          <w:lang w:val="es-ES_tradnl" w:eastAsia="es-ES"/>
        </w:rPr>
        <w:t xml:space="preserve"> no augura nada positivo</w:t>
      </w:r>
      <w:r w:rsidR="00DF2ED4" w:rsidRPr="00DF2ED4">
        <w:rPr>
          <w:rFonts w:ascii="Avenir Next" w:eastAsia="Hoefler Text" w:hAnsi="Avenir Next" w:cs="Hoefler Text"/>
          <w:u w:color="000000"/>
          <w:lang w:val="es-ES_tradnl" w:eastAsia="es-ES"/>
        </w:rPr>
        <w:t>.</w:t>
      </w:r>
      <w:r w:rsidR="00DC6279">
        <w:rPr>
          <w:rFonts w:ascii="Avenir Next" w:eastAsia="Hoefler Text" w:hAnsi="Avenir Next" w:cs="Hoefler Text"/>
          <w:u w:color="000000"/>
          <w:lang w:val="es-ES_tradnl" w:eastAsia="es-ES"/>
        </w:rPr>
        <w:t xml:space="preserve"> La lucha contra la inflación afectará</w:t>
      </w:r>
      <w:r w:rsidR="00812135">
        <w:rPr>
          <w:rFonts w:ascii="Avenir Next" w:eastAsia="Hoefler Text" w:hAnsi="Avenir Next" w:cs="Hoefler Text"/>
          <w:u w:color="000000"/>
          <w:lang w:val="es-ES_tradnl" w:eastAsia="es-ES"/>
        </w:rPr>
        <w:t xml:space="preserve"> </w:t>
      </w:r>
      <w:r w:rsidR="00DF2ED4" w:rsidRPr="00DF2ED4">
        <w:rPr>
          <w:rFonts w:ascii="Avenir Next" w:eastAsia="Hoefler Text" w:hAnsi="Avenir Next" w:cs="Hoefler Text"/>
          <w:u w:color="000000"/>
          <w:lang w:val="es-ES_tradnl" w:eastAsia="es-ES"/>
        </w:rPr>
        <w:t>al consumo</w:t>
      </w:r>
      <w:r w:rsidR="00DC6279">
        <w:rPr>
          <w:rFonts w:ascii="Avenir Next" w:eastAsia="Hoefler Text" w:hAnsi="Avenir Next" w:cs="Hoefler Text"/>
          <w:u w:color="000000"/>
          <w:lang w:val="es-ES_tradnl" w:eastAsia="es-ES"/>
        </w:rPr>
        <w:t xml:space="preserve"> </w:t>
      </w:r>
      <w:r w:rsidR="009A62D5">
        <w:rPr>
          <w:rFonts w:ascii="Avenir Next" w:eastAsia="Hoefler Text" w:hAnsi="Avenir Next" w:cs="Hoefler Text"/>
          <w:u w:color="000000"/>
          <w:lang w:val="es-ES_tradnl" w:eastAsia="es-ES"/>
        </w:rPr>
        <w:t>y la</w:t>
      </w:r>
      <w:r w:rsidR="00DC6279">
        <w:rPr>
          <w:rFonts w:ascii="Avenir Next" w:eastAsia="Hoefler Text" w:hAnsi="Avenir Next" w:cs="Hoefler Text"/>
          <w:u w:color="000000"/>
          <w:lang w:val="es-ES_tradnl" w:eastAsia="es-ES"/>
        </w:rPr>
        <w:t xml:space="preserve"> inversión.</w:t>
      </w:r>
      <w:r w:rsidR="002765ED">
        <w:rPr>
          <w:rFonts w:ascii="Avenir Next" w:eastAsia="Hoefler Text" w:hAnsi="Avenir Next" w:cs="Hoefler Text"/>
          <w:u w:color="000000"/>
          <w:lang w:val="es-ES_tradnl" w:eastAsia="es-ES"/>
        </w:rPr>
        <w:t xml:space="preserve"> Así, a pesar de las posibles revisiones a la baja del crecimiento económico español para lo que resta de año, aún </w:t>
      </w:r>
      <w:r w:rsidR="00E06A7E">
        <w:rPr>
          <w:rFonts w:ascii="Avenir Next" w:eastAsia="Hoefler Text" w:hAnsi="Avenir Next" w:cs="Hoefler Text"/>
          <w:u w:color="000000"/>
          <w:lang w:val="es-ES_tradnl" w:eastAsia="es-ES"/>
        </w:rPr>
        <w:t xml:space="preserve">aumentará </w:t>
      </w:r>
      <w:r w:rsidR="002765ED">
        <w:rPr>
          <w:rFonts w:ascii="Avenir Next" w:eastAsia="Hoefler Text" w:hAnsi="Avenir Next" w:cs="Hoefler Text"/>
          <w:u w:color="000000"/>
          <w:lang w:val="es-ES_tradnl" w:eastAsia="es-ES"/>
        </w:rPr>
        <w:t>por encima de la media europea y en tasas cercanas al 4 %</w:t>
      </w:r>
      <w:r w:rsidR="0055716F">
        <w:rPr>
          <w:rFonts w:ascii="Avenir Next" w:eastAsia="Hoefler Text" w:hAnsi="Avenir Next" w:cs="Hoefler Text"/>
          <w:u w:color="000000"/>
          <w:lang w:val="es-ES_tradnl" w:eastAsia="es-ES"/>
        </w:rPr>
        <w:t>, eso sí, con un segundo semestre</w:t>
      </w:r>
      <w:r w:rsidR="0060769F">
        <w:rPr>
          <w:rFonts w:ascii="Avenir Next" w:eastAsia="Hoefler Text" w:hAnsi="Avenir Next" w:cs="Hoefler Text"/>
          <w:u w:color="000000"/>
          <w:lang w:val="es-ES_tradnl" w:eastAsia="es-ES"/>
        </w:rPr>
        <w:t xml:space="preserve"> claramente peor que el primero. </w:t>
      </w:r>
    </w:p>
    <w:p w14:paraId="69062217" w14:textId="676A4609" w:rsidR="002765ED" w:rsidRDefault="00753753" w:rsidP="002765ED">
      <w:pPr>
        <w:pStyle w:val="BodyA"/>
        <w:spacing w:before="100" w:after="100"/>
        <w:jc w:val="both"/>
        <w:rPr>
          <w:rFonts w:ascii="Avenir Next" w:hAnsi="Avenir Next"/>
          <w:color w:val="auto"/>
          <w:sz w:val="24"/>
        </w:rPr>
      </w:pPr>
      <w:r w:rsidRPr="00822D52">
        <w:rPr>
          <w:rFonts w:ascii="Avenir Next" w:hAnsi="Avenir Next"/>
          <w:sz w:val="24"/>
          <w:szCs w:val="24"/>
        </w:rPr>
        <w:t>El futuro que le depara</w:t>
      </w:r>
      <w:r w:rsidR="00D115C8">
        <w:rPr>
          <w:rFonts w:ascii="Avenir Next" w:hAnsi="Avenir Next"/>
          <w:sz w:val="24"/>
          <w:szCs w:val="24"/>
        </w:rPr>
        <w:t xml:space="preserve"> </w:t>
      </w:r>
      <w:r w:rsidRPr="00822D52">
        <w:rPr>
          <w:rFonts w:ascii="Avenir Next" w:hAnsi="Avenir Next"/>
          <w:sz w:val="24"/>
          <w:szCs w:val="24"/>
        </w:rPr>
        <w:t xml:space="preserve">a Andalucía no puede ser </w:t>
      </w:r>
      <w:r w:rsidR="00812135">
        <w:rPr>
          <w:rFonts w:ascii="Avenir Next" w:hAnsi="Avenir Next"/>
          <w:sz w:val="24"/>
          <w:szCs w:val="24"/>
        </w:rPr>
        <w:t xml:space="preserve">muy </w:t>
      </w:r>
      <w:r w:rsidRPr="00822D52">
        <w:rPr>
          <w:rFonts w:ascii="Avenir Next" w:hAnsi="Avenir Next"/>
          <w:sz w:val="24"/>
          <w:szCs w:val="24"/>
        </w:rPr>
        <w:t>diferente a</w:t>
      </w:r>
      <w:r w:rsidR="00D115C8">
        <w:rPr>
          <w:rFonts w:ascii="Avenir Next" w:hAnsi="Avenir Next"/>
          <w:sz w:val="24"/>
          <w:szCs w:val="24"/>
        </w:rPr>
        <w:t>l</w:t>
      </w:r>
      <w:r w:rsidRPr="00822D52">
        <w:rPr>
          <w:rFonts w:ascii="Avenir Next" w:hAnsi="Avenir Next"/>
          <w:sz w:val="24"/>
          <w:szCs w:val="24"/>
        </w:rPr>
        <w:t xml:space="preserve"> resto de España. </w:t>
      </w:r>
      <w:r w:rsidR="002765ED" w:rsidRPr="00822D52">
        <w:rPr>
          <w:rFonts w:ascii="Avenir Next" w:hAnsi="Avenir Next"/>
          <w:sz w:val="24"/>
          <w:szCs w:val="24"/>
        </w:rPr>
        <w:t>Durante lo que resta de año el crecimiento de la región no ser</w:t>
      </w:r>
      <w:r w:rsidR="002765ED">
        <w:rPr>
          <w:rFonts w:ascii="Avenir Next" w:hAnsi="Avenir Next"/>
          <w:sz w:val="24"/>
          <w:szCs w:val="24"/>
        </w:rPr>
        <w:t>á</w:t>
      </w:r>
      <w:r w:rsidR="002765ED" w:rsidRPr="00822D52">
        <w:rPr>
          <w:rFonts w:ascii="Avenir Next" w:hAnsi="Avenir Next"/>
          <w:sz w:val="24"/>
          <w:szCs w:val="24"/>
        </w:rPr>
        <w:t xml:space="preserve"> ajeno a la </w:t>
      </w:r>
      <w:r w:rsidR="00D115C8">
        <w:rPr>
          <w:rFonts w:ascii="Avenir Next" w:hAnsi="Avenir Next"/>
          <w:sz w:val="24"/>
          <w:szCs w:val="24"/>
        </w:rPr>
        <w:t xml:space="preserve">notable reducción </w:t>
      </w:r>
      <w:r w:rsidR="00A21853" w:rsidRPr="00822D52">
        <w:rPr>
          <w:rFonts w:ascii="Avenir Next" w:hAnsi="Avenir Next"/>
          <w:sz w:val="24"/>
          <w:szCs w:val="24"/>
        </w:rPr>
        <w:t>del efecto</w:t>
      </w:r>
      <w:r w:rsidR="00585751">
        <w:rPr>
          <w:rFonts w:ascii="Avenir Next" w:hAnsi="Avenir Next"/>
          <w:sz w:val="24"/>
          <w:szCs w:val="24"/>
        </w:rPr>
        <w:t xml:space="preserve"> </w:t>
      </w:r>
      <w:r w:rsidR="00A21853" w:rsidRPr="00822D52">
        <w:rPr>
          <w:rFonts w:ascii="Avenir Next" w:hAnsi="Avenir Next"/>
          <w:sz w:val="24"/>
          <w:szCs w:val="24"/>
        </w:rPr>
        <w:t xml:space="preserve">turismo como </w:t>
      </w:r>
      <w:r w:rsidR="000E37F6">
        <w:rPr>
          <w:rFonts w:ascii="Avenir Next" w:hAnsi="Avenir Next"/>
          <w:sz w:val="24"/>
          <w:szCs w:val="24"/>
        </w:rPr>
        <w:t xml:space="preserve">principal </w:t>
      </w:r>
      <w:r w:rsidR="00A21853" w:rsidRPr="00822D52">
        <w:rPr>
          <w:rFonts w:ascii="Avenir Next" w:hAnsi="Avenir Next"/>
          <w:sz w:val="24"/>
          <w:szCs w:val="24"/>
        </w:rPr>
        <w:t>factor de crecimiento</w:t>
      </w:r>
      <w:r w:rsidR="00D115C8">
        <w:rPr>
          <w:rFonts w:ascii="Avenir Next" w:hAnsi="Avenir Next"/>
          <w:sz w:val="24"/>
          <w:szCs w:val="24"/>
        </w:rPr>
        <w:t xml:space="preserve"> en primavera y verano</w:t>
      </w:r>
      <w:r w:rsidR="002765ED" w:rsidRPr="00822D52">
        <w:rPr>
          <w:rFonts w:ascii="Avenir Next" w:hAnsi="Avenir Next"/>
          <w:sz w:val="24"/>
          <w:szCs w:val="24"/>
        </w:rPr>
        <w:t xml:space="preserve">. </w:t>
      </w:r>
      <w:r w:rsidR="002765ED">
        <w:rPr>
          <w:rFonts w:ascii="Avenir Next" w:hAnsi="Avenir Next"/>
          <w:sz w:val="24"/>
          <w:szCs w:val="24"/>
        </w:rPr>
        <w:t>T</w:t>
      </w:r>
      <w:r w:rsidR="002765ED" w:rsidRPr="00822D52">
        <w:rPr>
          <w:rFonts w:ascii="Avenir Next" w:hAnsi="Avenir Next"/>
          <w:sz w:val="24"/>
          <w:szCs w:val="24"/>
        </w:rPr>
        <w:t xml:space="preserve">ampoco lo será </w:t>
      </w:r>
      <w:r w:rsidR="00D115C8">
        <w:rPr>
          <w:rFonts w:ascii="Avenir Next" w:hAnsi="Avenir Next"/>
          <w:sz w:val="24"/>
          <w:szCs w:val="24"/>
        </w:rPr>
        <w:t xml:space="preserve">al </w:t>
      </w:r>
      <w:r w:rsidR="002765ED" w:rsidRPr="00822D52">
        <w:rPr>
          <w:rFonts w:ascii="Avenir Next" w:hAnsi="Avenir Next"/>
          <w:sz w:val="24"/>
          <w:szCs w:val="24"/>
        </w:rPr>
        <w:t xml:space="preserve">debilitamiento que ya caracteriza al consumo de las familias. </w:t>
      </w:r>
      <w:r w:rsidR="002765ED">
        <w:rPr>
          <w:rFonts w:ascii="Avenir Next" w:hAnsi="Avenir Next"/>
          <w:color w:val="auto"/>
          <w:sz w:val="24"/>
          <w:szCs w:val="24"/>
        </w:rPr>
        <w:t>Así,</w:t>
      </w:r>
      <w:r w:rsidR="002765ED">
        <w:rPr>
          <w:rFonts w:ascii="Avenir Next" w:hAnsi="Avenir Next"/>
          <w:color w:val="auto"/>
          <w:sz w:val="24"/>
        </w:rPr>
        <w:t xml:space="preserve"> tanto los datos </w:t>
      </w:r>
      <w:r w:rsidR="005945C9">
        <w:rPr>
          <w:rFonts w:ascii="Avenir Next" w:hAnsi="Avenir Next"/>
          <w:color w:val="auto"/>
          <w:sz w:val="24"/>
        </w:rPr>
        <w:t xml:space="preserve">del Índice de Comercio al por Menor </w:t>
      </w:r>
      <w:r w:rsidR="002765ED">
        <w:rPr>
          <w:rFonts w:ascii="Avenir Next" w:hAnsi="Avenir Next"/>
          <w:color w:val="auto"/>
          <w:sz w:val="24"/>
        </w:rPr>
        <w:t xml:space="preserve">para el mes de julio (-4,7 %, -7,6 % en términos constantes y sin estaciones de servicios) como otros </w:t>
      </w:r>
      <w:r w:rsidR="00D115C8">
        <w:rPr>
          <w:rFonts w:ascii="Avenir Next" w:hAnsi="Avenir Next"/>
          <w:color w:val="auto"/>
          <w:sz w:val="24"/>
        </w:rPr>
        <w:t xml:space="preserve">indicadores </w:t>
      </w:r>
      <w:r w:rsidR="002765ED">
        <w:rPr>
          <w:rFonts w:ascii="Avenir Next" w:hAnsi="Avenir Next"/>
          <w:color w:val="auto"/>
          <w:sz w:val="24"/>
        </w:rPr>
        <w:t xml:space="preserve">de alta frecuencia </w:t>
      </w:r>
      <w:r w:rsidR="00812135">
        <w:rPr>
          <w:rFonts w:ascii="Avenir Next" w:hAnsi="Avenir Next"/>
          <w:color w:val="auto"/>
          <w:sz w:val="24"/>
        </w:rPr>
        <w:t>-</w:t>
      </w:r>
      <w:r w:rsidR="002765ED">
        <w:rPr>
          <w:rFonts w:ascii="Avenir Next" w:hAnsi="Avenir Next"/>
          <w:color w:val="auto"/>
          <w:sz w:val="24"/>
        </w:rPr>
        <w:t>como son los pagos por tarjeta elaborados por instituciones financieras como es el BBVA</w:t>
      </w:r>
      <w:r w:rsidR="00812135">
        <w:rPr>
          <w:rFonts w:ascii="Avenir Next" w:hAnsi="Avenir Next"/>
          <w:color w:val="auto"/>
          <w:sz w:val="24"/>
        </w:rPr>
        <w:t>-</w:t>
      </w:r>
      <w:r w:rsidR="00AD2699">
        <w:rPr>
          <w:rFonts w:ascii="Avenir Next" w:hAnsi="Avenir Next"/>
          <w:color w:val="auto"/>
          <w:sz w:val="24"/>
        </w:rPr>
        <w:t xml:space="preserve"> </w:t>
      </w:r>
      <w:r w:rsidR="002765ED">
        <w:rPr>
          <w:rFonts w:ascii="Avenir Next" w:hAnsi="Avenir Next"/>
          <w:color w:val="auto"/>
          <w:sz w:val="24"/>
        </w:rPr>
        <w:t>muestran una intensa moderación para</w:t>
      </w:r>
      <w:r w:rsidR="00585751">
        <w:rPr>
          <w:rFonts w:ascii="Avenir Next" w:hAnsi="Avenir Next"/>
          <w:color w:val="auto"/>
          <w:sz w:val="24"/>
        </w:rPr>
        <w:t xml:space="preserve"> </w:t>
      </w:r>
      <w:r w:rsidR="00C90FD7">
        <w:rPr>
          <w:rFonts w:ascii="Avenir Next" w:hAnsi="Avenir Next"/>
          <w:color w:val="auto"/>
          <w:sz w:val="24"/>
        </w:rPr>
        <w:t>l</w:t>
      </w:r>
      <w:r w:rsidR="00E9579E">
        <w:rPr>
          <w:rFonts w:ascii="Avenir Next" w:hAnsi="Avenir Next"/>
          <w:color w:val="auto"/>
          <w:sz w:val="24"/>
        </w:rPr>
        <w:t>os primeros meses del tercer trimestre</w:t>
      </w:r>
      <w:r w:rsidR="002765ED">
        <w:rPr>
          <w:rFonts w:ascii="Avenir Next" w:hAnsi="Avenir Next"/>
          <w:color w:val="auto"/>
          <w:sz w:val="24"/>
        </w:rPr>
        <w:t>.</w:t>
      </w:r>
      <w:r w:rsidR="00C90FD7">
        <w:rPr>
          <w:rFonts w:ascii="Avenir Next" w:hAnsi="Avenir Next"/>
          <w:color w:val="auto"/>
          <w:sz w:val="24"/>
        </w:rPr>
        <w:t xml:space="preserve"> Mientras, el Índice de Confianza del Consumidor se </w:t>
      </w:r>
      <w:r w:rsidR="00343DE4">
        <w:rPr>
          <w:rFonts w:ascii="Avenir Next" w:hAnsi="Avenir Next"/>
          <w:color w:val="auto"/>
          <w:sz w:val="24"/>
        </w:rPr>
        <w:t>desplomó</w:t>
      </w:r>
      <w:r w:rsidR="00C90FD7">
        <w:rPr>
          <w:rFonts w:ascii="Avenir Next" w:hAnsi="Avenir Next"/>
          <w:color w:val="auto"/>
          <w:sz w:val="24"/>
        </w:rPr>
        <w:t xml:space="preserve"> en julio para España, pasando desde un valor 65,8 a 55,5 en tan solo un mes. Esta caída es reproducida por el Índice de Valoración de la Situación Actual y el Índice de Expectativas.</w:t>
      </w:r>
      <w:r w:rsidR="00086A71">
        <w:rPr>
          <w:rFonts w:ascii="Avenir Next" w:hAnsi="Avenir Next"/>
          <w:color w:val="auto"/>
          <w:sz w:val="24"/>
        </w:rPr>
        <w:t xml:space="preserve"> Sin embargo, esta percepción negativa no parece trasladarse aún al tejido productivo. Así, el Índice de Confianza Empresarial aumentó tanto para Andalucía como para España para el tercer trimestre. No obstante, la construcción </w:t>
      </w:r>
      <w:r w:rsidR="00F30500">
        <w:rPr>
          <w:rFonts w:ascii="Avenir Next" w:hAnsi="Avenir Next"/>
          <w:color w:val="auto"/>
          <w:sz w:val="24"/>
        </w:rPr>
        <w:t xml:space="preserve">estadística </w:t>
      </w:r>
      <w:r w:rsidR="00086A71">
        <w:rPr>
          <w:rFonts w:ascii="Avenir Next" w:hAnsi="Avenir Next"/>
          <w:color w:val="auto"/>
          <w:sz w:val="24"/>
        </w:rPr>
        <w:t xml:space="preserve">de este tipo de </w:t>
      </w:r>
      <w:r w:rsidR="00F30500">
        <w:rPr>
          <w:rFonts w:ascii="Avenir Next" w:hAnsi="Avenir Next"/>
          <w:color w:val="auto"/>
          <w:sz w:val="24"/>
        </w:rPr>
        <w:t xml:space="preserve">índices, muy relacionados con el momento económico en el que se realiza (un buen segundo trimestre) induce a pensar </w:t>
      </w:r>
      <w:r w:rsidR="00086A71">
        <w:rPr>
          <w:rFonts w:ascii="Avenir Next" w:hAnsi="Avenir Next"/>
          <w:color w:val="auto"/>
          <w:sz w:val="24"/>
        </w:rPr>
        <w:t>que en l</w:t>
      </w:r>
      <w:r w:rsidR="00F30500">
        <w:rPr>
          <w:rFonts w:ascii="Avenir Next" w:hAnsi="Avenir Next"/>
          <w:color w:val="auto"/>
          <w:sz w:val="24"/>
        </w:rPr>
        <w:t xml:space="preserve">as próximas publicaciones para el segundo semestre de este año </w:t>
      </w:r>
      <w:r w:rsidR="00086A71">
        <w:rPr>
          <w:rFonts w:ascii="Avenir Next" w:hAnsi="Avenir Next"/>
          <w:color w:val="auto"/>
          <w:sz w:val="24"/>
        </w:rPr>
        <w:t xml:space="preserve">veamos una corrección a la baja de </w:t>
      </w:r>
      <w:r w:rsidR="001F7888">
        <w:rPr>
          <w:rFonts w:ascii="Avenir Next" w:hAnsi="Avenir Next"/>
          <w:color w:val="auto"/>
          <w:sz w:val="24"/>
        </w:rPr>
        <w:t>estos</w:t>
      </w:r>
      <w:r w:rsidR="00086A71">
        <w:rPr>
          <w:rFonts w:ascii="Avenir Next" w:hAnsi="Avenir Next"/>
          <w:color w:val="auto"/>
          <w:sz w:val="24"/>
        </w:rPr>
        <w:t>.</w:t>
      </w:r>
    </w:p>
    <w:p w14:paraId="2B56B22F" w14:textId="0569AB67" w:rsidR="00086A71" w:rsidRPr="008D210D" w:rsidRDefault="00086A71" w:rsidP="00086A71">
      <w:pPr>
        <w:spacing w:before="100" w:after="100" w:line="288" w:lineRule="auto"/>
        <w:jc w:val="both"/>
        <w:rPr>
          <w:rFonts w:ascii="Avenir Next" w:eastAsia="Hoefler Text" w:hAnsi="Avenir Next" w:cs="Hoefler Text"/>
          <w:u w:color="000000"/>
          <w:lang w:val="es-ES" w:eastAsia="es-ES"/>
        </w:rPr>
      </w:pPr>
      <w:r>
        <w:rPr>
          <w:rFonts w:ascii="Avenir Next" w:hAnsi="Avenir Next"/>
          <w:lang w:val="es-ES_tradnl"/>
        </w:rPr>
        <w:lastRenderedPageBreak/>
        <w:t xml:space="preserve">En este sentido, </w:t>
      </w:r>
      <w:r>
        <w:rPr>
          <w:rFonts w:ascii="Avenir Next" w:hAnsi="Avenir Next"/>
          <w:lang w:val="es-ES"/>
        </w:rPr>
        <w:t>resulta</w:t>
      </w:r>
      <w:r w:rsidRPr="008D210D">
        <w:rPr>
          <w:rFonts w:ascii="Avenir Next" w:hAnsi="Avenir Next"/>
          <w:lang w:val="es-ES"/>
        </w:rPr>
        <w:t xml:space="preserve"> interesante conocer</w:t>
      </w:r>
      <w:r w:rsidR="003B6707">
        <w:rPr>
          <w:rFonts w:ascii="Avenir Next" w:hAnsi="Avenir Next"/>
          <w:lang w:val="es-ES"/>
        </w:rPr>
        <w:t xml:space="preserve"> también</w:t>
      </w:r>
      <w:r w:rsidRPr="008D210D">
        <w:rPr>
          <w:rFonts w:ascii="Avenir Next" w:hAnsi="Avenir Next"/>
          <w:lang w:val="es-ES"/>
        </w:rPr>
        <w:t xml:space="preserve"> la </w:t>
      </w:r>
      <w:r w:rsidR="00AD2699">
        <w:rPr>
          <w:rFonts w:ascii="Avenir Next" w:hAnsi="Avenir Next"/>
          <w:lang w:val="es-ES"/>
        </w:rPr>
        <w:t xml:space="preserve">evolución </w:t>
      </w:r>
      <w:r w:rsidRPr="008D210D">
        <w:rPr>
          <w:rFonts w:ascii="Avenir Next" w:hAnsi="Avenir Next"/>
          <w:lang w:val="es-ES"/>
        </w:rPr>
        <w:t>que la inversión puede estar experimentando en los últimos meses</w:t>
      </w:r>
      <w:r>
        <w:rPr>
          <w:rFonts w:ascii="Avenir Next" w:hAnsi="Avenir Next"/>
          <w:lang w:val="es-ES"/>
        </w:rPr>
        <w:t xml:space="preserve"> en Andalucía</w:t>
      </w:r>
      <w:r w:rsidR="00791032">
        <w:rPr>
          <w:rFonts w:ascii="Avenir Next" w:hAnsi="Avenir Next"/>
          <w:lang w:val="es-ES"/>
        </w:rPr>
        <w:t xml:space="preserve"> y que se consolidaría en el final de año</w:t>
      </w:r>
      <w:r w:rsidRPr="008D210D">
        <w:rPr>
          <w:rFonts w:ascii="Avenir Next" w:hAnsi="Avenir Next"/>
          <w:lang w:val="es-ES"/>
        </w:rPr>
        <w:t xml:space="preserve">. Por un lado, y aunque aún no está presente en los indicadores que poseemos, </w:t>
      </w:r>
      <w:r w:rsidR="00302F1B">
        <w:rPr>
          <w:rFonts w:ascii="Avenir Next" w:hAnsi="Avenir Next"/>
          <w:lang w:val="es-ES"/>
        </w:rPr>
        <w:t xml:space="preserve">la inversión </w:t>
      </w:r>
      <w:r w:rsidRPr="008D210D">
        <w:rPr>
          <w:rFonts w:ascii="Avenir Next" w:hAnsi="Avenir Next"/>
          <w:lang w:val="es-ES"/>
        </w:rPr>
        <w:t xml:space="preserve">no es inmune a la evolución de los precios que ciertas materias primas han experimentado desde mediados de 2021, así como a la relativa escasez de no pocos componentes industriales. Este hecho podría estar pasando factura tanto en la industria de bienes de equipo como al sector de la construcción, lo que amenazaría a la inversión durante el tercer trimestre. En segundo lugar, todo parece indicar que la demanda de hipotecas se ha acelerado durante el segundo trimestre ante la perspectiva de un encarecimiento en la financiación. Es de prever que para el tercer trimestre el aumento del número de hipotecas firmadas, así como de los importes, se reduzcan. En tercer lugar, es muy probable que la aceleración </w:t>
      </w:r>
      <w:r w:rsidR="00AD2699">
        <w:rPr>
          <w:rFonts w:ascii="Avenir Next" w:hAnsi="Avenir Next"/>
          <w:lang w:val="es-ES"/>
        </w:rPr>
        <w:t>d</w:t>
      </w:r>
      <w:r w:rsidRPr="008D210D">
        <w:rPr>
          <w:rFonts w:ascii="Avenir Next" w:hAnsi="Avenir Next"/>
          <w:lang w:val="es-ES"/>
        </w:rPr>
        <w:t xml:space="preserve">e la ejecución de los fondos europeos aportará, al contrario que los factores anteriores, impulso a la inversión. Por lo tanto, ya durante finales del segundo trimestre </w:t>
      </w:r>
      <w:r>
        <w:rPr>
          <w:rFonts w:ascii="Avenir Next" w:hAnsi="Avenir Next"/>
          <w:lang w:val="es-ES"/>
        </w:rPr>
        <w:t>podríamos haber asistido</w:t>
      </w:r>
      <w:r w:rsidRPr="008D210D">
        <w:rPr>
          <w:rFonts w:ascii="Avenir Next" w:hAnsi="Avenir Next"/>
          <w:lang w:val="es-ES"/>
        </w:rPr>
        <w:t xml:space="preserve"> a una transición de la inversión a un nuevo escenario para el que su naturaleza permanece aún oculta.</w:t>
      </w:r>
    </w:p>
    <w:p w14:paraId="37FE8925" w14:textId="7E46DF94" w:rsidR="00841DB4" w:rsidRDefault="00223A5C" w:rsidP="00753753">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En resumen</w:t>
      </w:r>
      <w:r w:rsidR="00A21853">
        <w:rPr>
          <w:rFonts w:ascii="Avenir Next" w:eastAsia="Hoefler Text" w:hAnsi="Avenir Next" w:cs="Hoefler Text"/>
          <w:u w:color="000000"/>
          <w:lang w:val="es-ES_tradnl" w:eastAsia="es-ES"/>
        </w:rPr>
        <w:t xml:space="preserve">, un mayor debilitamiento del consumo de las familias y una demanda externa que necesariamente se verá debilitada dejan en manos de la inversión, y en particular de la pública, </w:t>
      </w:r>
      <w:r w:rsidR="00302F1B">
        <w:rPr>
          <w:rFonts w:ascii="Avenir Next" w:eastAsia="Hoefler Text" w:hAnsi="Avenir Next" w:cs="Hoefler Text"/>
          <w:u w:color="000000"/>
          <w:lang w:val="es-ES_tradnl" w:eastAsia="es-ES"/>
        </w:rPr>
        <w:t>la improbable compensación de los otros componentes de la demanda</w:t>
      </w:r>
      <w:r w:rsidR="00A21853" w:rsidRPr="00223A5C">
        <w:rPr>
          <w:rFonts w:ascii="Avenir Next" w:eastAsia="Hoefler Text" w:hAnsi="Avenir Next" w:cs="Hoefler Text"/>
          <w:u w:color="000000"/>
          <w:lang w:val="es-ES_tradnl" w:eastAsia="es-ES"/>
        </w:rPr>
        <w:t xml:space="preserve">. </w:t>
      </w:r>
      <w:r w:rsidR="008F28AC">
        <w:rPr>
          <w:rFonts w:ascii="Avenir Next" w:eastAsia="Hoefler Text" w:hAnsi="Avenir Next" w:cs="Hoefler Text"/>
          <w:u w:color="000000"/>
          <w:lang w:val="es-ES_tradnl" w:eastAsia="es-ES"/>
        </w:rPr>
        <w:t>No obstante</w:t>
      </w:r>
      <w:r w:rsidR="00A21853" w:rsidRPr="00223A5C">
        <w:rPr>
          <w:rFonts w:ascii="Avenir Next" w:eastAsia="Hoefler Text" w:hAnsi="Avenir Next" w:cs="Hoefler Text"/>
          <w:u w:color="000000"/>
          <w:lang w:val="es-ES_tradnl" w:eastAsia="es-ES"/>
        </w:rPr>
        <w:t xml:space="preserve">, todo hace apuntar que la posible contracción de la actividad no será de la </w:t>
      </w:r>
      <w:r w:rsidR="00A2247F" w:rsidRPr="00223A5C">
        <w:rPr>
          <w:rFonts w:ascii="Avenir Next" w:eastAsia="Hoefler Text" w:hAnsi="Avenir Next" w:cs="Hoefler Text"/>
          <w:u w:color="000000"/>
          <w:lang w:val="es-ES_tradnl" w:eastAsia="es-ES"/>
        </w:rPr>
        <w:t>m</w:t>
      </w:r>
      <w:r w:rsidR="00A21853" w:rsidRPr="00223A5C">
        <w:rPr>
          <w:rFonts w:ascii="Avenir Next" w:eastAsia="Hoefler Text" w:hAnsi="Avenir Next" w:cs="Hoefler Text"/>
          <w:u w:color="000000"/>
          <w:lang w:val="es-ES_tradnl" w:eastAsia="es-ES"/>
        </w:rPr>
        <w:t xml:space="preserve">isma intensidad que en otras economías europeas. </w:t>
      </w:r>
      <w:r w:rsidR="00AD2699">
        <w:rPr>
          <w:rFonts w:ascii="Avenir Next" w:eastAsia="Hoefler Text" w:hAnsi="Avenir Next" w:cs="Hoefler Text"/>
          <w:u w:color="000000"/>
          <w:lang w:val="es-ES_tradnl" w:eastAsia="es-ES"/>
        </w:rPr>
        <w:t>Además</w:t>
      </w:r>
      <w:r w:rsidR="00A21853" w:rsidRPr="00223A5C">
        <w:rPr>
          <w:rFonts w:ascii="Avenir Next" w:eastAsia="Hoefler Text" w:hAnsi="Avenir Next" w:cs="Hoefler Text"/>
          <w:u w:color="000000"/>
          <w:lang w:val="es-ES_tradnl" w:eastAsia="es-ES"/>
        </w:rPr>
        <w:t>, la carga financiera de familias y empresas es mucho menos onerosa y sensible a la su</w:t>
      </w:r>
      <w:r w:rsidR="00A2247F" w:rsidRPr="00223A5C">
        <w:rPr>
          <w:rFonts w:ascii="Avenir Next" w:eastAsia="Hoefler Text" w:hAnsi="Avenir Next" w:cs="Hoefler Text"/>
          <w:u w:color="000000"/>
          <w:lang w:val="es-ES_tradnl" w:eastAsia="es-ES"/>
        </w:rPr>
        <w:t>b</w:t>
      </w:r>
      <w:r w:rsidR="00A21853" w:rsidRPr="00223A5C">
        <w:rPr>
          <w:rFonts w:ascii="Avenir Next" w:eastAsia="Hoefler Text" w:hAnsi="Avenir Next" w:cs="Hoefler Text"/>
          <w:u w:color="000000"/>
          <w:lang w:val="es-ES_tradnl" w:eastAsia="es-ES"/>
        </w:rPr>
        <w:t>ida de tipos comparado con una década atrás. Por otro lado, nuestros</w:t>
      </w:r>
      <w:r w:rsidR="00A21853">
        <w:rPr>
          <w:rFonts w:ascii="Avenir Next" w:eastAsia="Hoefler Text" w:hAnsi="Avenir Next" w:cs="Hoefler Text"/>
          <w:u w:color="000000"/>
          <w:lang w:val="es-ES_tradnl" w:eastAsia="es-ES"/>
        </w:rPr>
        <w:t xml:space="preserve"> lazos y grado de dependencia de los canales comerciales y de distribución con las economías más implicadas en la guerra harán que sus efectos sean más indirectos y menos intensos. Sin embargo, como factores negativos, </w:t>
      </w:r>
      <w:r w:rsidR="00D7157A">
        <w:rPr>
          <w:rFonts w:ascii="Avenir Next" w:eastAsia="Hoefler Text" w:hAnsi="Avenir Next" w:cs="Hoefler Text"/>
          <w:u w:color="000000"/>
          <w:lang w:val="es-ES_tradnl" w:eastAsia="es-ES"/>
        </w:rPr>
        <w:t xml:space="preserve">de </w:t>
      </w:r>
      <w:r w:rsidR="00A21853">
        <w:rPr>
          <w:rFonts w:ascii="Avenir Next" w:eastAsia="Hoefler Text" w:hAnsi="Avenir Next" w:cs="Hoefler Text"/>
          <w:u w:color="000000"/>
          <w:lang w:val="es-ES_tradnl" w:eastAsia="es-ES"/>
        </w:rPr>
        <w:t xml:space="preserve">la economía andaluza se encuentra </w:t>
      </w:r>
      <w:r>
        <w:rPr>
          <w:rFonts w:ascii="Avenir Next" w:eastAsia="Hoefler Text" w:hAnsi="Avenir Next" w:cs="Hoefler Text"/>
          <w:u w:color="000000"/>
          <w:lang w:val="es-ES_tradnl" w:eastAsia="es-ES"/>
        </w:rPr>
        <w:t xml:space="preserve">un mayor peso del consumo, así como una </w:t>
      </w:r>
      <w:r w:rsidR="00A21853">
        <w:rPr>
          <w:rFonts w:ascii="Avenir Next" w:eastAsia="Hoefler Text" w:hAnsi="Avenir Next" w:cs="Hoefler Text"/>
          <w:u w:color="000000"/>
          <w:lang w:val="es-ES_tradnl" w:eastAsia="es-ES"/>
        </w:rPr>
        <w:t xml:space="preserve">mayor debilidad </w:t>
      </w:r>
      <w:r w:rsidR="00841DB4">
        <w:rPr>
          <w:rFonts w:ascii="Avenir Next" w:eastAsia="Hoefler Text" w:hAnsi="Avenir Next" w:cs="Hoefler Text"/>
          <w:u w:color="000000"/>
          <w:lang w:val="es-ES_tradnl" w:eastAsia="es-ES"/>
        </w:rPr>
        <w:t>del mercado de trabajo</w:t>
      </w:r>
      <w:r w:rsidR="00DE77E9">
        <w:rPr>
          <w:rFonts w:ascii="Avenir Next" w:eastAsia="Hoefler Text" w:hAnsi="Avenir Next" w:cs="Hoefler Text"/>
          <w:u w:color="000000"/>
          <w:lang w:val="es-ES_tradnl" w:eastAsia="es-ES"/>
        </w:rPr>
        <w:t xml:space="preserve"> y </w:t>
      </w:r>
      <w:r w:rsidR="00A21853">
        <w:rPr>
          <w:rFonts w:ascii="Avenir Next" w:eastAsia="Hoefler Text" w:hAnsi="Avenir Next" w:cs="Hoefler Text"/>
          <w:u w:color="000000"/>
          <w:lang w:val="es-ES_tradnl" w:eastAsia="es-ES"/>
        </w:rPr>
        <w:t xml:space="preserve">mayor concentración en actividades productivas, como el turismo o </w:t>
      </w:r>
      <w:r>
        <w:rPr>
          <w:rFonts w:ascii="Avenir Next" w:eastAsia="Hoefler Text" w:hAnsi="Avenir Next" w:cs="Hoefler Text"/>
          <w:u w:color="000000"/>
          <w:lang w:val="es-ES_tradnl" w:eastAsia="es-ES"/>
        </w:rPr>
        <w:t xml:space="preserve">los sectores asociados al </w:t>
      </w:r>
      <w:r w:rsidR="00A21853">
        <w:rPr>
          <w:rFonts w:ascii="Avenir Next" w:eastAsia="Hoefler Text" w:hAnsi="Avenir Next" w:cs="Hoefler Text"/>
          <w:u w:color="000000"/>
          <w:lang w:val="es-ES_tradnl" w:eastAsia="es-ES"/>
        </w:rPr>
        <w:t>consumo, que puedan amplificar relativamente los efectos.</w:t>
      </w:r>
    </w:p>
    <w:p w14:paraId="3AE022A3" w14:textId="4382EA8F" w:rsidR="00223A5C" w:rsidRDefault="00D61ECB" w:rsidP="00753753">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t xml:space="preserve">Teniendo en consideración los indicadores disponibles y las anteriores reflexiones </w:t>
      </w:r>
      <w:r w:rsidR="00223A5C">
        <w:rPr>
          <w:rFonts w:ascii="Avenir Next" w:eastAsia="Hoefler Text" w:hAnsi="Avenir Next" w:cs="Hoefler Text"/>
          <w:u w:color="000000"/>
          <w:lang w:val="es-ES_tradnl" w:eastAsia="es-ES"/>
        </w:rPr>
        <w:t xml:space="preserve">el panel de expertos del Observatorio Económico de Andalucía estima un crecimiento de la economía andaluza para el año 2022 del </w:t>
      </w:r>
      <w:r>
        <w:rPr>
          <w:rFonts w:ascii="Avenir Next" w:eastAsia="Hoefler Text" w:hAnsi="Avenir Next" w:cs="Hoefler Text"/>
          <w:u w:color="000000"/>
          <w:lang w:val="es-ES_tradnl" w:eastAsia="es-ES"/>
        </w:rPr>
        <w:t>3,</w:t>
      </w:r>
      <w:r w:rsidR="006724CA">
        <w:rPr>
          <w:rFonts w:ascii="Avenir Next" w:eastAsia="Hoefler Text" w:hAnsi="Avenir Next" w:cs="Hoefler Text"/>
          <w:u w:color="000000"/>
          <w:lang w:val="es-ES_tradnl" w:eastAsia="es-ES"/>
        </w:rPr>
        <w:t>8</w:t>
      </w:r>
      <w:r>
        <w:rPr>
          <w:rFonts w:ascii="Avenir Next" w:eastAsia="Hoefler Text" w:hAnsi="Avenir Next" w:cs="Hoefler Text"/>
          <w:u w:color="000000"/>
          <w:lang w:val="es-ES_tradnl" w:eastAsia="es-ES"/>
        </w:rPr>
        <w:t>%</w:t>
      </w:r>
      <w:r w:rsidR="00223A5C">
        <w:rPr>
          <w:rFonts w:ascii="Avenir Next" w:eastAsia="Hoefler Text" w:hAnsi="Avenir Next" w:cs="Hoefler Text"/>
          <w:u w:color="000000"/>
          <w:lang w:val="es-ES_tradnl" w:eastAsia="es-ES"/>
        </w:rPr>
        <w:t xml:space="preserve"> y para el año 2023 de </w:t>
      </w:r>
      <w:r w:rsidR="006724CA">
        <w:rPr>
          <w:rFonts w:ascii="Avenir Next" w:eastAsia="Hoefler Text" w:hAnsi="Avenir Next" w:cs="Hoefler Text"/>
          <w:u w:color="000000"/>
          <w:lang w:val="es-ES_tradnl" w:eastAsia="es-ES"/>
        </w:rPr>
        <w:t>2,</w:t>
      </w:r>
      <w:r w:rsidR="002C33BF">
        <w:rPr>
          <w:rFonts w:ascii="Avenir Next" w:eastAsia="Hoefler Text" w:hAnsi="Avenir Next" w:cs="Hoefler Text"/>
          <w:u w:color="000000"/>
          <w:lang w:val="es-ES_tradnl" w:eastAsia="es-ES"/>
        </w:rPr>
        <w:t xml:space="preserve">0 </w:t>
      </w:r>
      <w:r w:rsidR="006724CA">
        <w:rPr>
          <w:rFonts w:ascii="Avenir Next" w:eastAsia="Hoefler Text" w:hAnsi="Avenir Next" w:cs="Hoefler Text"/>
          <w:u w:color="000000"/>
          <w:lang w:val="es-ES_tradnl" w:eastAsia="es-ES"/>
        </w:rPr>
        <w:t>%</w:t>
      </w:r>
      <w:r w:rsidR="00223A5C">
        <w:rPr>
          <w:rFonts w:ascii="Avenir Next" w:eastAsia="Hoefler Text" w:hAnsi="Avenir Next" w:cs="Hoefler Text"/>
          <w:u w:color="000000"/>
          <w:lang w:val="es-ES_tradnl" w:eastAsia="es-ES"/>
        </w:rPr>
        <w:t>.</w:t>
      </w:r>
    </w:p>
    <w:p w14:paraId="439DAB05" w14:textId="77777777" w:rsidR="00716853" w:rsidRDefault="00716853" w:rsidP="00753753">
      <w:pPr>
        <w:spacing w:before="100" w:after="100" w:line="288" w:lineRule="auto"/>
        <w:jc w:val="both"/>
        <w:rPr>
          <w:rFonts w:ascii="Avenir Next" w:eastAsia="Hoefler Text" w:hAnsi="Avenir Next" w:cs="Hoefler Text"/>
          <w:u w:color="000000"/>
          <w:lang w:val="es-ES_tradnl" w:eastAsia="es-ES"/>
        </w:rPr>
      </w:pPr>
    </w:p>
    <w:p w14:paraId="12B6B68F" w14:textId="77777777" w:rsidR="009135E1" w:rsidRDefault="009135E1" w:rsidP="00753753">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br w:type="page"/>
      </w:r>
    </w:p>
    <w:bookmarkEnd w:id="2"/>
    <w:p w14:paraId="06865A54" w14:textId="4446F7FA" w:rsidR="00522B20" w:rsidRDefault="0078143C">
      <w:pPr>
        <w:pStyle w:val="BodyA"/>
        <w:jc w:val="center"/>
        <w:outlineLvl w:val="0"/>
        <w:rPr>
          <w:color w:val="022ED3"/>
          <w:u w:color="022ED3"/>
        </w:rPr>
      </w:pPr>
      <w:r w:rsidRPr="0078143C">
        <w:rPr>
          <w:noProof/>
        </w:rPr>
        <w:lastRenderedPageBreak/>
        <w:drawing>
          <wp:inline distT="0" distB="0" distL="0" distR="0" wp14:anchorId="5602EC12" wp14:editId="36152819">
            <wp:extent cx="6184900" cy="869124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8691245"/>
                    </a:xfrm>
                    <a:prstGeom prst="rect">
                      <a:avLst/>
                    </a:prstGeom>
                    <a:noFill/>
                    <a:ln>
                      <a:noFill/>
                    </a:ln>
                  </pic:spPr>
                </pic:pic>
              </a:graphicData>
            </a:graphic>
          </wp:inline>
        </w:drawing>
      </w:r>
    </w:p>
    <w:p w14:paraId="6B43FBD7" w14:textId="77777777" w:rsidR="00522B20" w:rsidRDefault="00522B20">
      <w:pPr>
        <w:pStyle w:val="BodyA"/>
        <w:jc w:val="center"/>
        <w:outlineLvl w:val="0"/>
        <w:rPr>
          <w:color w:val="022ED3"/>
          <w:u w:color="022ED3"/>
        </w:rPr>
      </w:pPr>
    </w:p>
    <w:p w14:paraId="2A215135" w14:textId="77777777" w:rsidR="00522B20" w:rsidRDefault="00522B20">
      <w:pPr>
        <w:pStyle w:val="BodyA"/>
        <w:jc w:val="center"/>
        <w:outlineLvl w:val="0"/>
        <w:rPr>
          <w:color w:val="022ED3"/>
          <w:u w:color="022ED3"/>
        </w:rPr>
      </w:pPr>
    </w:p>
    <w:p w14:paraId="5B351985" w14:textId="77777777" w:rsidR="00522B20" w:rsidRDefault="00522B20">
      <w:pPr>
        <w:pStyle w:val="BodyA"/>
        <w:jc w:val="center"/>
        <w:outlineLvl w:val="0"/>
        <w:rPr>
          <w:color w:val="022ED3"/>
          <w:u w:color="022ED3"/>
        </w:rPr>
      </w:pPr>
    </w:p>
    <w:p w14:paraId="1F20F728" w14:textId="77777777" w:rsidR="00522B20" w:rsidRDefault="00522B20">
      <w:pPr>
        <w:pStyle w:val="BodyA"/>
        <w:jc w:val="center"/>
        <w:outlineLvl w:val="0"/>
        <w:rPr>
          <w:color w:val="022ED3"/>
          <w:u w:color="022ED3"/>
        </w:rPr>
      </w:pPr>
    </w:p>
    <w:p w14:paraId="4EB68C54" w14:textId="77777777" w:rsidR="00522B20" w:rsidRDefault="00522B20">
      <w:pPr>
        <w:pStyle w:val="BodyA"/>
        <w:jc w:val="center"/>
        <w:rPr>
          <w:rFonts w:ascii="Avenir Next" w:eastAsia="Avenir Next" w:hAnsi="Avenir Next" w:cs="Avenir Next"/>
        </w:rPr>
      </w:pPr>
    </w:p>
    <w:p w14:paraId="4C324157" w14:textId="77777777" w:rsidR="00614FAC" w:rsidRDefault="00614FAC">
      <w:pPr>
        <w:pStyle w:val="BodyA"/>
        <w:jc w:val="center"/>
        <w:rPr>
          <w:rFonts w:ascii="Avenir Next" w:eastAsia="Avenir Next" w:hAnsi="Avenir Next" w:cs="Avenir Next"/>
        </w:rPr>
      </w:pPr>
    </w:p>
    <w:p w14:paraId="3F0183BE" w14:textId="77777777" w:rsidR="00522B20" w:rsidRDefault="00163183">
      <w:pPr>
        <w:pStyle w:val="BodyA"/>
        <w:jc w:val="center"/>
        <w:rPr>
          <w:rFonts w:ascii="Avenir Next" w:eastAsia="Avenir Next" w:hAnsi="Avenir Next" w:cs="Avenir Next"/>
        </w:rPr>
      </w:pPr>
      <w:r>
        <w:rPr>
          <w:rFonts w:ascii="Avenir Next" w:eastAsia="Avenir Next" w:hAnsi="Avenir Next" w:cs="Avenir Next"/>
          <w:noProof/>
          <w:lang w:val="es-ES"/>
        </w:rPr>
        <w:drawing>
          <wp:anchor distT="0" distB="0" distL="0" distR="0" simplePos="0" relativeHeight="251658241" behindDoc="0" locked="0" layoutInCell="1" allowOverlap="1" wp14:anchorId="5C80E572" wp14:editId="57EF3A67">
            <wp:simplePos x="0" y="0"/>
            <wp:positionH relativeFrom="margin">
              <wp:posOffset>1574165</wp:posOffset>
            </wp:positionH>
            <wp:positionV relativeFrom="line">
              <wp:posOffset>398145</wp:posOffset>
            </wp:positionV>
            <wp:extent cx="3211195" cy="921385"/>
            <wp:effectExtent l="19050" t="0" r="8255" b="0"/>
            <wp:wrapTopAndBottom distT="0" distB="0"/>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3" cstate="print"/>
                    <a:stretch>
                      <a:fillRect/>
                    </a:stretch>
                  </pic:blipFill>
                  <pic:spPr>
                    <a:xfrm>
                      <a:off x="0" y="0"/>
                      <a:ext cx="3211195" cy="921385"/>
                    </a:xfrm>
                    <a:prstGeom prst="rect">
                      <a:avLst/>
                    </a:prstGeom>
                    <a:ln w="12700" cap="flat">
                      <a:noFill/>
                      <a:miter lim="400000"/>
                    </a:ln>
                    <a:effectLst/>
                  </pic:spPr>
                </pic:pic>
              </a:graphicData>
            </a:graphic>
          </wp:anchor>
        </w:drawing>
      </w:r>
    </w:p>
    <w:p w14:paraId="3827E165" w14:textId="77777777" w:rsidR="00163183" w:rsidRDefault="00163183">
      <w:pPr>
        <w:pStyle w:val="BodyA"/>
        <w:jc w:val="center"/>
        <w:rPr>
          <w:rFonts w:ascii="Avenir Next" w:eastAsia="Avenir Next" w:hAnsi="Avenir Next" w:cs="Avenir Next"/>
        </w:rPr>
      </w:pPr>
    </w:p>
    <w:p w14:paraId="6CFEC392" w14:textId="77777777" w:rsidR="00522B20" w:rsidRDefault="00522B20">
      <w:pPr>
        <w:pStyle w:val="BodyA"/>
        <w:jc w:val="center"/>
        <w:rPr>
          <w:rFonts w:ascii="Avenir Next" w:eastAsia="Avenir Next" w:hAnsi="Avenir Next" w:cs="Avenir Next"/>
        </w:rPr>
      </w:pPr>
    </w:p>
    <w:p w14:paraId="04A196C1" w14:textId="77777777" w:rsidR="00522B20" w:rsidRDefault="00522B20">
      <w:pPr>
        <w:pStyle w:val="BodyA"/>
        <w:jc w:val="center"/>
        <w:rPr>
          <w:rFonts w:ascii="Avenir Next" w:eastAsia="Avenir Next" w:hAnsi="Avenir Next" w:cs="Avenir Next"/>
        </w:rPr>
      </w:pPr>
    </w:p>
    <w:p w14:paraId="46210E01" w14:textId="77777777" w:rsidR="00522B20" w:rsidRDefault="00522B20">
      <w:pPr>
        <w:pStyle w:val="BodyA"/>
        <w:jc w:val="center"/>
        <w:rPr>
          <w:rFonts w:ascii="Avenir Next" w:eastAsia="Avenir Next" w:hAnsi="Avenir Next" w:cs="Avenir Next"/>
        </w:rPr>
      </w:pPr>
    </w:p>
    <w:p w14:paraId="7D23166C"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46203A2D"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0FA06227" wp14:editId="16E238C1">
            <wp:simplePos x="0" y="0"/>
            <wp:positionH relativeFrom="page">
              <wp:posOffset>2492680</wp:posOffset>
            </wp:positionH>
            <wp:positionV relativeFrom="line">
              <wp:posOffset>231902</wp:posOffset>
            </wp:positionV>
            <wp:extent cx="2558439" cy="980736"/>
            <wp:effectExtent l="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4" cstate="print"/>
                    <a:stretch>
                      <a:fillRect/>
                    </a:stretch>
                  </pic:blipFill>
                  <pic:spPr>
                    <a:xfrm>
                      <a:off x="0" y="0"/>
                      <a:ext cx="2558439" cy="980736"/>
                    </a:xfrm>
                    <a:prstGeom prst="rect">
                      <a:avLst/>
                    </a:prstGeom>
                    <a:ln w="12700" cap="flat">
                      <a:noFill/>
                      <a:miter lim="400000"/>
                    </a:ln>
                    <a:effectLst/>
                  </pic:spPr>
                </pic:pic>
              </a:graphicData>
            </a:graphic>
          </wp:anchor>
        </w:drawing>
      </w:r>
      <w:bookmarkEnd w:id="1"/>
    </w:p>
    <w:sectPr w:rsidR="00522B20" w:rsidSect="00522B20">
      <w:headerReference w:type="even" r:id="rId15"/>
      <w:headerReference w:type="default" r:id="rId16"/>
      <w:footerReference w:type="even" r:id="rId17"/>
      <w:footerReference w:type="default" r:id="rId18"/>
      <w:headerReference w:type="first" r:id="rId19"/>
      <w:footerReference w:type="first" r:id="rId20"/>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BA67" w14:textId="77777777" w:rsidR="00CE1556" w:rsidRDefault="00CE1556" w:rsidP="00522B20">
      <w:r>
        <w:separator/>
      </w:r>
    </w:p>
  </w:endnote>
  <w:endnote w:type="continuationSeparator" w:id="0">
    <w:p w14:paraId="32F3B6AF" w14:textId="77777777" w:rsidR="00CE1556" w:rsidRDefault="00CE1556" w:rsidP="00522B20">
      <w:r>
        <w:continuationSeparator/>
      </w:r>
    </w:p>
  </w:endnote>
  <w:endnote w:type="continuationNotice" w:id="1">
    <w:p w14:paraId="7A51E9C9" w14:textId="77777777" w:rsidR="00CE1556" w:rsidRDefault="00CE1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Cambria"/>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454C" w14:textId="77777777" w:rsidR="00092AAD" w:rsidRDefault="00092A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F8AF4" w14:textId="77777777" w:rsidR="00130982" w:rsidRDefault="00130982">
    <w:pPr>
      <w:pStyle w:val="HeaderFooterA"/>
      <w:tabs>
        <w:tab w:val="clear" w:pos="9020"/>
        <w:tab w:val="center" w:pos="4750"/>
        <w:tab w:val="right" w:pos="9240"/>
      </w:tabs>
    </w:pPr>
    <w:r>
      <w:tab/>
    </w:r>
    <w:r>
      <w:tab/>
    </w:r>
    <w:r w:rsidR="00F234A7">
      <w:fldChar w:fldCharType="begin"/>
    </w:r>
    <w:r w:rsidR="00D40DA6">
      <w:instrText xml:space="preserve"> PAGE </w:instrText>
    </w:r>
    <w:r w:rsidR="00F234A7">
      <w:fldChar w:fldCharType="separate"/>
    </w:r>
    <w:r w:rsidR="00A2247F">
      <w:rPr>
        <w:noProof/>
      </w:rPr>
      <w:t>8</w:t>
    </w:r>
    <w:r w:rsidR="00F234A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08937" w14:textId="77777777" w:rsidR="00092AAD" w:rsidRDefault="00092A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F5D22" w14:textId="77777777" w:rsidR="00CE1556" w:rsidRDefault="00CE1556" w:rsidP="00522B20">
      <w:r>
        <w:separator/>
      </w:r>
    </w:p>
  </w:footnote>
  <w:footnote w:type="continuationSeparator" w:id="0">
    <w:p w14:paraId="445A75C2" w14:textId="77777777" w:rsidR="00CE1556" w:rsidRDefault="00CE1556" w:rsidP="00522B20">
      <w:r>
        <w:continuationSeparator/>
      </w:r>
    </w:p>
  </w:footnote>
  <w:footnote w:type="continuationNotice" w:id="1">
    <w:p w14:paraId="6F38BFD0" w14:textId="77777777" w:rsidR="00CE1556" w:rsidRDefault="00CE15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8A40" w14:textId="77777777" w:rsidR="00092AAD" w:rsidRDefault="00092A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5F63" w14:textId="77777777"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t>1</w:t>
    </w:r>
    <w:r w:rsidR="00092AAD">
      <w:rPr>
        <w:color w:val="0026B4"/>
        <w:u w:color="0026B4"/>
      </w:rPr>
      <w:t>2</w:t>
    </w:r>
    <w:r>
      <w:rPr>
        <w:color w:val="0026B4"/>
        <w:u w:color="0026B4"/>
      </w:rPr>
      <w:t xml:space="preserve"> de </w:t>
    </w:r>
    <w:r w:rsidR="00092AAD">
      <w:rPr>
        <w:color w:val="0026B4"/>
        <w:u w:color="0026B4"/>
      </w:rPr>
      <w:t>septiembre</w:t>
    </w:r>
    <w:r>
      <w:rPr>
        <w:color w:val="0026B4"/>
        <w:u w:color="0026B4"/>
      </w:rPr>
      <w:t xml:space="preserve"> de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8C42" w14:textId="77777777" w:rsidR="00092AAD" w:rsidRDefault="00092A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932107">
    <w:abstractNumId w:val="3"/>
  </w:num>
  <w:num w:numId="2" w16cid:durableId="1196770804">
    <w:abstractNumId w:val="1"/>
  </w:num>
  <w:num w:numId="3" w16cid:durableId="83496133">
    <w:abstractNumId w:val="4"/>
  </w:num>
  <w:num w:numId="4" w16cid:durableId="1085808411">
    <w:abstractNumId w:val="2"/>
  </w:num>
  <w:num w:numId="5" w16cid:durableId="82925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732"/>
    <w:rsid w:val="00000A24"/>
    <w:rsid w:val="0000104E"/>
    <w:rsid w:val="000011C4"/>
    <w:rsid w:val="000019C9"/>
    <w:rsid w:val="00001B74"/>
    <w:rsid w:val="00001EED"/>
    <w:rsid w:val="00002813"/>
    <w:rsid w:val="00002F9F"/>
    <w:rsid w:val="0000357D"/>
    <w:rsid w:val="000040C3"/>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5BF"/>
    <w:rsid w:val="000158E5"/>
    <w:rsid w:val="00015C4F"/>
    <w:rsid w:val="0001695C"/>
    <w:rsid w:val="00017109"/>
    <w:rsid w:val="00017844"/>
    <w:rsid w:val="00017915"/>
    <w:rsid w:val="00021035"/>
    <w:rsid w:val="00021572"/>
    <w:rsid w:val="00021F4E"/>
    <w:rsid w:val="00022256"/>
    <w:rsid w:val="000225B1"/>
    <w:rsid w:val="000228B9"/>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47DD"/>
    <w:rsid w:val="000C5431"/>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1F04"/>
    <w:rsid w:val="00113492"/>
    <w:rsid w:val="00113ACE"/>
    <w:rsid w:val="00113C6E"/>
    <w:rsid w:val="00114178"/>
    <w:rsid w:val="00114309"/>
    <w:rsid w:val="00114374"/>
    <w:rsid w:val="00114710"/>
    <w:rsid w:val="001148E7"/>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6554"/>
    <w:rsid w:val="001270DB"/>
    <w:rsid w:val="00127230"/>
    <w:rsid w:val="001304B4"/>
    <w:rsid w:val="00130780"/>
    <w:rsid w:val="00130982"/>
    <w:rsid w:val="00130FE1"/>
    <w:rsid w:val="00131397"/>
    <w:rsid w:val="0013265D"/>
    <w:rsid w:val="0013320A"/>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6F4"/>
    <w:rsid w:val="00190BF3"/>
    <w:rsid w:val="00191C7B"/>
    <w:rsid w:val="00191E1A"/>
    <w:rsid w:val="001920A8"/>
    <w:rsid w:val="00192179"/>
    <w:rsid w:val="0019226D"/>
    <w:rsid w:val="00193246"/>
    <w:rsid w:val="0019329D"/>
    <w:rsid w:val="0019348E"/>
    <w:rsid w:val="00193FB2"/>
    <w:rsid w:val="0019433F"/>
    <w:rsid w:val="00194AB8"/>
    <w:rsid w:val="0019547F"/>
    <w:rsid w:val="0019574D"/>
    <w:rsid w:val="00195ACB"/>
    <w:rsid w:val="00196A5F"/>
    <w:rsid w:val="00196A8F"/>
    <w:rsid w:val="00196B5D"/>
    <w:rsid w:val="00197833"/>
    <w:rsid w:val="00197EBE"/>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1B3B"/>
    <w:rsid w:val="00221B69"/>
    <w:rsid w:val="00221D1B"/>
    <w:rsid w:val="00221F95"/>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60300"/>
    <w:rsid w:val="00260BF7"/>
    <w:rsid w:val="002612FD"/>
    <w:rsid w:val="002623F5"/>
    <w:rsid w:val="002635D7"/>
    <w:rsid w:val="002639F6"/>
    <w:rsid w:val="00263BE6"/>
    <w:rsid w:val="00264077"/>
    <w:rsid w:val="0026430E"/>
    <w:rsid w:val="00264C08"/>
    <w:rsid w:val="00266847"/>
    <w:rsid w:val="0027232B"/>
    <w:rsid w:val="0027265E"/>
    <w:rsid w:val="00273729"/>
    <w:rsid w:val="00273BC2"/>
    <w:rsid w:val="002743A7"/>
    <w:rsid w:val="00274A07"/>
    <w:rsid w:val="00274AA9"/>
    <w:rsid w:val="0027507A"/>
    <w:rsid w:val="00275354"/>
    <w:rsid w:val="00275848"/>
    <w:rsid w:val="0027624E"/>
    <w:rsid w:val="00276305"/>
    <w:rsid w:val="002765ED"/>
    <w:rsid w:val="00276646"/>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2F1B"/>
    <w:rsid w:val="003045AD"/>
    <w:rsid w:val="0030479D"/>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26D9"/>
    <w:rsid w:val="00332B32"/>
    <w:rsid w:val="00332E9E"/>
    <w:rsid w:val="0033310F"/>
    <w:rsid w:val="003334D0"/>
    <w:rsid w:val="003338D1"/>
    <w:rsid w:val="003345DB"/>
    <w:rsid w:val="00334A7F"/>
    <w:rsid w:val="003362E1"/>
    <w:rsid w:val="00336942"/>
    <w:rsid w:val="0033752E"/>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F09"/>
    <w:rsid w:val="003500DD"/>
    <w:rsid w:val="003503D5"/>
    <w:rsid w:val="00352C55"/>
    <w:rsid w:val="003534B0"/>
    <w:rsid w:val="00354009"/>
    <w:rsid w:val="00354426"/>
    <w:rsid w:val="003546BD"/>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D57"/>
    <w:rsid w:val="00367EA1"/>
    <w:rsid w:val="00373A35"/>
    <w:rsid w:val="00373E1D"/>
    <w:rsid w:val="00373E3C"/>
    <w:rsid w:val="00374763"/>
    <w:rsid w:val="0037490C"/>
    <w:rsid w:val="00375041"/>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6380"/>
    <w:rsid w:val="003C64B1"/>
    <w:rsid w:val="003C7C16"/>
    <w:rsid w:val="003D0914"/>
    <w:rsid w:val="003D0B2E"/>
    <w:rsid w:val="003D2D0A"/>
    <w:rsid w:val="003D2FFC"/>
    <w:rsid w:val="003D4065"/>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63F8"/>
    <w:rsid w:val="003F71A7"/>
    <w:rsid w:val="003F7934"/>
    <w:rsid w:val="003F7A50"/>
    <w:rsid w:val="004008BB"/>
    <w:rsid w:val="004025CB"/>
    <w:rsid w:val="004026CF"/>
    <w:rsid w:val="004026E4"/>
    <w:rsid w:val="00402705"/>
    <w:rsid w:val="00402C13"/>
    <w:rsid w:val="00403EE2"/>
    <w:rsid w:val="00403FE0"/>
    <w:rsid w:val="004043B4"/>
    <w:rsid w:val="004044DB"/>
    <w:rsid w:val="00404AB1"/>
    <w:rsid w:val="00404B54"/>
    <w:rsid w:val="00405831"/>
    <w:rsid w:val="00407054"/>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21AB"/>
    <w:rsid w:val="00472596"/>
    <w:rsid w:val="00472AF9"/>
    <w:rsid w:val="00472B29"/>
    <w:rsid w:val="00472F25"/>
    <w:rsid w:val="00472FE9"/>
    <w:rsid w:val="00473948"/>
    <w:rsid w:val="00473F4C"/>
    <w:rsid w:val="004743F3"/>
    <w:rsid w:val="00474ED9"/>
    <w:rsid w:val="0047515C"/>
    <w:rsid w:val="00475381"/>
    <w:rsid w:val="00475C55"/>
    <w:rsid w:val="004767E3"/>
    <w:rsid w:val="004773E8"/>
    <w:rsid w:val="0047755A"/>
    <w:rsid w:val="0048039A"/>
    <w:rsid w:val="004815D8"/>
    <w:rsid w:val="004823E3"/>
    <w:rsid w:val="004843BF"/>
    <w:rsid w:val="004845CE"/>
    <w:rsid w:val="00485B8E"/>
    <w:rsid w:val="00485DC1"/>
    <w:rsid w:val="00486C3F"/>
    <w:rsid w:val="00487409"/>
    <w:rsid w:val="004879A1"/>
    <w:rsid w:val="004904C7"/>
    <w:rsid w:val="00491311"/>
    <w:rsid w:val="004929F9"/>
    <w:rsid w:val="00492FDC"/>
    <w:rsid w:val="004949A4"/>
    <w:rsid w:val="0049532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5F6"/>
    <w:rsid w:val="004C3A58"/>
    <w:rsid w:val="004C3C2A"/>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ECD"/>
    <w:rsid w:val="004E22A3"/>
    <w:rsid w:val="004E2D12"/>
    <w:rsid w:val="004E2D72"/>
    <w:rsid w:val="004E2FF6"/>
    <w:rsid w:val="004E33B1"/>
    <w:rsid w:val="004E376F"/>
    <w:rsid w:val="004E3CE6"/>
    <w:rsid w:val="004E4A85"/>
    <w:rsid w:val="004E5372"/>
    <w:rsid w:val="004E55CE"/>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F7C"/>
    <w:rsid w:val="00510F6F"/>
    <w:rsid w:val="005113C2"/>
    <w:rsid w:val="00511F7A"/>
    <w:rsid w:val="005141F0"/>
    <w:rsid w:val="005144A0"/>
    <w:rsid w:val="005144F1"/>
    <w:rsid w:val="00514FE5"/>
    <w:rsid w:val="00516C1A"/>
    <w:rsid w:val="00517247"/>
    <w:rsid w:val="005173F2"/>
    <w:rsid w:val="005174E9"/>
    <w:rsid w:val="00517C2C"/>
    <w:rsid w:val="005208B7"/>
    <w:rsid w:val="00521225"/>
    <w:rsid w:val="00521681"/>
    <w:rsid w:val="0052209E"/>
    <w:rsid w:val="00522B20"/>
    <w:rsid w:val="00522DA4"/>
    <w:rsid w:val="0052321A"/>
    <w:rsid w:val="0052391C"/>
    <w:rsid w:val="005246FC"/>
    <w:rsid w:val="00524995"/>
    <w:rsid w:val="0052521A"/>
    <w:rsid w:val="00525564"/>
    <w:rsid w:val="00525E0C"/>
    <w:rsid w:val="00527DFF"/>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F61"/>
    <w:rsid w:val="00544908"/>
    <w:rsid w:val="00544AE9"/>
    <w:rsid w:val="00544DAA"/>
    <w:rsid w:val="005451DF"/>
    <w:rsid w:val="00545830"/>
    <w:rsid w:val="00545A5C"/>
    <w:rsid w:val="00546D9D"/>
    <w:rsid w:val="00547A30"/>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F32"/>
    <w:rsid w:val="00565429"/>
    <w:rsid w:val="00566E03"/>
    <w:rsid w:val="00566E82"/>
    <w:rsid w:val="0056745F"/>
    <w:rsid w:val="00567490"/>
    <w:rsid w:val="00570B42"/>
    <w:rsid w:val="00570EFE"/>
    <w:rsid w:val="005717D0"/>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D76"/>
    <w:rsid w:val="00594351"/>
    <w:rsid w:val="005945B5"/>
    <w:rsid w:val="005945C9"/>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FA1"/>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7C5"/>
    <w:rsid w:val="00674DAA"/>
    <w:rsid w:val="00675264"/>
    <w:rsid w:val="0067651C"/>
    <w:rsid w:val="00680272"/>
    <w:rsid w:val="00681E29"/>
    <w:rsid w:val="006820DA"/>
    <w:rsid w:val="006826A1"/>
    <w:rsid w:val="0068291A"/>
    <w:rsid w:val="00682C64"/>
    <w:rsid w:val="00682FB2"/>
    <w:rsid w:val="00683685"/>
    <w:rsid w:val="0068469A"/>
    <w:rsid w:val="00684E25"/>
    <w:rsid w:val="00686B84"/>
    <w:rsid w:val="00686D50"/>
    <w:rsid w:val="00686E80"/>
    <w:rsid w:val="00687371"/>
    <w:rsid w:val="006873C9"/>
    <w:rsid w:val="00687771"/>
    <w:rsid w:val="00687F5D"/>
    <w:rsid w:val="00690755"/>
    <w:rsid w:val="00690761"/>
    <w:rsid w:val="00690967"/>
    <w:rsid w:val="006909C4"/>
    <w:rsid w:val="00690DA5"/>
    <w:rsid w:val="006910AD"/>
    <w:rsid w:val="006910E1"/>
    <w:rsid w:val="006914F2"/>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D44"/>
    <w:rsid w:val="00730099"/>
    <w:rsid w:val="00730199"/>
    <w:rsid w:val="0073064C"/>
    <w:rsid w:val="00731220"/>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5A6"/>
    <w:rsid w:val="007A1894"/>
    <w:rsid w:val="007A1C5A"/>
    <w:rsid w:val="007A206A"/>
    <w:rsid w:val="007A3C9F"/>
    <w:rsid w:val="007A3FEB"/>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DE9"/>
    <w:rsid w:val="008172D3"/>
    <w:rsid w:val="00817669"/>
    <w:rsid w:val="00817800"/>
    <w:rsid w:val="0081781E"/>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EC7"/>
    <w:rsid w:val="00847A66"/>
    <w:rsid w:val="008506D8"/>
    <w:rsid w:val="0085180E"/>
    <w:rsid w:val="00851A6F"/>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81F"/>
    <w:rsid w:val="008A3493"/>
    <w:rsid w:val="008A3A00"/>
    <w:rsid w:val="008A4841"/>
    <w:rsid w:val="008A5B98"/>
    <w:rsid w:val="008A77F1"/>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23C1"/>
    <w:rsid w:val="008C2495"/>
    <w:rsid w:val="008C2C26"/>
    <w:rsid w:val="008C315B"/>
    <w:rsid w:val="008C41C1"/>
    <w:rsid w:val="008C4431"/>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8AC"/>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29CB"/>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B51"/>
    <w:rsid w:val="00986DDD"/>
    <w:rsid w:val="00990D90"/>
    <w:rsid w:val="009914BC"/>
    <w:rsid w:val="009915E2"/>
    <w:rsid w:val="009918D1"/>
    <w:rsid w:val="00992116"/>
    <w:rsid w:val="00992C5E"/>
    <w:rsid w:val="00992F21"/>
    <w:rsid w:val="00993E70"/>
    <w:rsid w:val="009947D9"/>
    <w:rsid w:val="00995091"/>
    <w:rsid w:val="009970F1"/>
    <w:rsid w:val="009977D5"/>
    <w:rsid w:val="009A0011"/>
    <w:rsid w:val="009A0852"/>
    <w:rsid w:val="009A0935"/>
    <w:rsid w:val="009A0F8F"/>
    <w:rsid w:val="009A3887"/>
    <w:rsid w:val="009A4149"/>
    <w:rsid w:val="009A50AF"/>
    <w:rsid w:val="009A600F"/>
    <w:rsid w:val="009A62D5"/>
    <w:rsid w:val="009A6352"/>
    <w:rsid w:val="009A65FE"/>
    <w:rsid w:val="009A78EF"/>
    <w:rsid w:val="009B04CC"/>
    <w:rsid w:val="009B0DD8"/>
    <w:rsid w:val="009B250B"/>
    <w:rsid w:val="009B272C"/>
    <w:rsid w:val="009B336A"/>
    <w:rsid w:val="009B3FB0"/>
    <w:rsid w:val="009B4136"/>
    <w:rsid w:val="009B51A9"/>
    <w:rsid w:val="009B52FC"/>
    <w:rsid w:val="009B676D"/>
    <w:rsid w:val="009B6B1C"/>
    <w:rsid w:val="009B72A6"/>
    <w:rsid w:val="009B7921"/>
    <w:rsid w:val="009C0008"/>
    <w:rsid w:val="009C1251"/>
    <w:rsid w:val="009C2C0C"/>
    <w:rsid w:val="009C30CB"/>
    <w:rsid w:val="009C434B"/>
    <w:rsid w:val="009C4962"/>
    <w:rsid w:val="009C4EA3"/>
    <w:rsid w:val="009C5415"/>
    <w:rsid w:val="009C6E3D"/>
    <w:rsid w:val="009C72C7"/>
    <w:rsid w:val="009C7BC6"/>
    <w:rsid w:val="009D04CA"/>
    <w:rsid w:val="009D1034"/>
    <w:rsid w:val="009D1274"/>
    <w:rsid w:val="009D1519"/>
    <w:rsid w:val="009D1A68"/>
    <w:rsid w:val="009D1B0E"/>
    <w:rsid w:val="009D29B1"/>
    <w:rsid w:val="009D3665"/>
    <w:rsid w:val="009D3874"/>
    <w:rsid w:val="009D3B15"/>
    <w:rsid w:val="009D3C67"/>
    <w:rsid w:val="009D4536"/>
    <w:rsid w:val="009D4717"/>
    <w:rsid w:val="009D552D"/>
    <w:rsid w:val="009D64D4"/>
    <w:rsid w:val="009D68FA"/>
    <w:rsid w:val="009D72D4"/>
    <w:rsid w:val="009D74CA"/>
    <w:rsid w:val="009D775F"/>
    <w:rsid w:val="009E0242"/>
    <w:rsid w:val="009E198E"/>
    <w:rsid w:val="009E210C"/>
    <w:rsid w:val="009E2327"/>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693"/>
    <w:rsid w:val="00B01F4A"/>
    <w:rsid w:val="00B029F6"/>
    <w:rsid w:val="00B03867"/>
    <w:rsid w:val="00B03B7B"/>
    <w:rsid w:val="00B03F4F"/>
    <w:rsid w:val="00B04196"/>
    <w:rsid w:val="00B046A4"/>
    <w:rsid w:val="00B047A1"/>
    <w:rsid w:val="00B05463"/>
    <w:rsid w:val="00B05591"/>
    <w:rsid w:val="00B065FF"/>
    <w:rsid w:val="00B0680D"/>
    <w:rsid w:val="00B0730B"/>
    <w:rsid w:val="00B07373"/>
    <w:rsid w:val="00B0763F"/>
    <w:rsid w:val="00B07A67"/>
    <w:rsid w:val="00B107E3"/>
    <w:rsid w:val="00B10B6C"/>
    <w:rsid w:val="00B10B8F"/>
    <w:rsid w:val="00B10BE1"/>
    <w:rsid w:val="00B11C80"/>
    <w:rsid w:val="00B13665"/>
    <w:rsid w:val="00B1379C"/>
    <w:rsid w:val="00B14C7E"/>
    <w:rsid w:val="00B15687"/>
    <w:rsid w:val="00B15710"/>
    <w:rsid w:val="00B16365"/>
    <w:rsid w:val="00B1671F"/>
    <w:rsid w:val="00B16AA4"/>
    <w:rsid w:val="00B16CF8"/>
    <w:rsid w:val="00B1752B"/>
    <w:rsid w:val="00B17B74"/>
    <w:rsid w:val="00B20259"/>
    <w:rsid w:val="00B20658"/>
    <w:rsid w:val="00B207CB"/>
    <w:rsid w:val="00B20824"/>
    <w:rsid w:val="00B2157C"/>
    <w:rsid w:val="00B21E8E"/>
    <w:rsid w:val="00B27819"/>
    <w:rsid w:val="00B27B51"/>
    <w:rsid w:val="00B3087F"/>
    <w:rsid w:val="00B30B3B"/>
    <w:rsid w:val="00B30D4C"/>
    <w:rsid w:val="00B3122D"/>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6A0"/>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2621"/>
    <w:rsid w:val="00B94617"/>
    <w:rsid w:val="00B9519A"/>
    <w:rsid w:val="00B951D9"/>
    <w:rsid w:val="00B9574C"/>
    <w:rsid w:val="00B95A26"/>
    <w:rsid w:val="00B96206"/>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464D"/>
    <w:rsid w:val="00C14E30"/>
    <w:rsid w:val="00C14E9C"/>
    <w:rsid w:val="00C1596D"/>
    <w:rsid w:val="00C159E4"/>
    <w:rsid w:val="00C168E3"/>
    <w:rsid w:val="00C17B07"/>
    <w:rsid w:val="00C20680"/>
    <w:rsid w:val="00C21C47"/>
    <w:rsid w:val="00C2462E"/>
    <w:rsid w:val="00C249ED"/>
    <w:rsid w:val="00C26678"/>
    <w:rsid w:val="00C267D4"/>
    <w:rsid w:val="00C26B82"/>
    <w:rsid w:val="00C271BB"/>
    <w:rsid w:val="00C27BD2"/>
    <w:rsid w:val="00C3178D"/>
    <w:rsid w:val="00C31A26"/>
    <w:rsid w:val="00C32407"/>
    <w:rsid w:val="00C32B19"/>
    <w:rsid w:val="00C32C2D"/>
    <w:rsid w:val="00C33DED"/>
    <w:rsid w:val="00C341DE"/>
    <w:rsid w:val="00C34B77"/>
    <w:rsid w:val="00C34BB2"/>
    <w:rsid w:val="00C34D12"/>
    <w:rsid w:val="00C36728"/>
    <w:rsid w:val="00C36CF1"/>
    <w:rsid w:val="00C379D2"/>
    <w:rsid w:val="00C37CDF"/>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12A5"/>
    <w:rsid w:val="00C514DC"/>
    <w:rsid w:val="00C515CE"/>
    <w:rsid w:val="00C527AA"/>
    <w:rsid w:val="00C5296B"/>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1079"/>
    <w:rsid w:val="00CB175E"/>
    <w:rsid w:val="00CB21AD"/>
    <w:rsid w:val="00CB2241"/>
    <w:rsid w:val="00CB2E88"/>
    <w:rsid w:val="00CB3157"/>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726"/>
    <w:rsid w:val="00CD775C"/>
    <w:rsid w:val="00CD77D5"/>
    <w:rsid w:val="00CD7933"/>
    <w:rsid w:val="00CD7BC8"/>
    <w:rsid w:val="00CE1556"/>
    <w:rsid w:val="00CE1587"/>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DEE"/>
    <w:rsid w:val="00D102C1"/>
    <w:rsid w:val="00D115C8"/>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57A"/>
    <w:rsid w:val="00D7161C"/>
    <w:rsid w:val="00D716B5"/>
    <w:rsid w:val="00D719A0"/>
    <w:rsid w:val="00D71C1D"/>
    <w:rsid w:val="00D72651"/>
    <w:rsid w:val="00D72E8C"/>
    <w:rsid w:val="00D732EC"/>
    <w:rsid w:val="00D73473"/>
    <w:rsid w:val="00D73A8F"/>
    <w:rsid w:val="00D74251"/>
    <w:rsid w:val="00D75FA3"/>
    <w:rsid w:val="00D76335"/>
    <w:rsid w:val="00D7689B"/>
    <w:rsid w:val="00D802C4"/>
    <w:rsid w:val="00D80DEE"/>
    <w:rsid w:val="00D812FC"/>
    <w:rsid w:val="00D81B49"/>
    <w:rsid w:val="00D8316F"/>
    <w:rsid w:val="00D8398D"/>
    <w:rsid w:val="00D83D27"/>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D02A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CF"/>
    <w:rsid w:val="00DE1B78"/>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489"/>
    <w:rsid w:val="00E103D5"/>
    <w:rsid w:val="00E10581"/>
    <w:rsid w:val="00E10F99"/>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421"/>
    <w:rsid w:val="00E228B2"/>
    <w:rsid w:val="00E22D07"/>
    <w:rsid w:val="00E22D3A"/>
    <w:rsid w:val="00E232D6"/>
    <w:rsid w:val="00E24242"/>
    <w:rsid w:val="00E2458F"/>
    <w:rsid w:val="00E2475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51BC"/>
    <w:rsid w:val="00E55B3F"/>
    <w:rsid w:val="00E55D1C"/>
    <w:rsid w:val="00E55F44"/>
    <w:rsid w:val="00E56174"/>
    <w:rsid w:val="00E562B8"/>
    <w:rsid w:val="00E56362"/>
    <w:rsid w:val="00E56DB1"/>
    <w:rsid w:val="00E57757"/>
    <w:rsid w:val="00E57840"/>
    <w:rsid w:val="00E57D9A"/>
    <w:rsid w:val="00E57DF6"/>
    <w:rsid w:val="00E60720"/>
    <w:rsid w:val="00E61653"/>
    <w:rsid w:val="00E62098"/>
    <w:rsid w:val="00E62B70"/>
    <w:rsid w:val="00E63B76"/>
    <w:rsid w:val="00E64B91"/>
    <w:rsid w:val="00E65368"/>
    <w:rsid w:val="00E655F1"/>
    <w:rsid w:val="00E66DCF"/>
    <w:rsid w:val="00E6740B"/>
    <w:rsid w:val="00E678A6"/>
    <w:rsid w:val="00E67B58"/>
    <w:rsid w:val="00E67DBF"/>
    <w:rsid w:val="00E67DDE"/>
    <w:rsid w:val="00E719D4"/>
    <w:rsid w:val="00E71C31"/>
    <w:rsid w:val="00E720C2"/>
    <w:rsid w:val="00E727B1"/>
    <w:rsid w:val="00E736AF"/>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4E14"/>
    <w:rsid w:val="00EC53DC"/>
    <w:rsid w:val="00EC58E2"/>
    <w:rsid w:val="00EC5E3F"/>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AF"/>
    <w:rsid w:val="00F44CFC"/>
    <w:rsid w:val="00F44D1E"/>
    <w:rsid w:val="00F46FEB"/>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F3"/>
    <w:rsid w:val="00F92EF7"/>
    <w:rsid w:val="00F930C7"/>
    <w:rsid w:val="00F939F7"/>
    <w:rsid w:val="00F93EF9"/>
    <w:rsid w:val="00F940CE"/>
    <w:rsid w:val="00F94656"/>
    <w:rsid w:val="00F94EA7"/>
    <w:rsid w:val="00F9598F"/>
    <w:rsid w:val="00F95C57"/>
    <w:rsid w:val="00F95FC2"/>
    <w:rsid w:val="00F96355"/>
    <w:rsid w:val="00F96706"/>
    <w:rsid w:val="00F97C03"/>
    <w:rsid w:val="00FA10FA"/>
    <w:rsid w:val="00FA1E83"/>
    <w:rsid w:val="00FA293F"/>
    <w:rsid w:val="00FA6307"/>
    <w:rsid w:val="00FA64FA"/>
    <w:rsid w:val="00FA70C1"/>
    <w:rsid w:val="00FA7FA3"/>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65932"/>
  <w15:docId w15:val="{6E667194-B92C-4BE6-A027-92406192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semiHidden/>
    <w:unhideWhenUsed/>
    <w:rsid w:val="000A19EE"/>
    <w:rPr>
      <w:sz w:val="20"/>
      <w:szCs w:val="20"/>
    </w:rPr>
  </w:style>
  <w:style w:type="character" w:customStyle="1" w:styleId="TextocomentarioCar">
    <w:name w:val="Texto comentario Car"/>
    <w:basedOn w:val="Fuentedeprrafopredeter"/>
    <w:link w:val="Textocomentario"/>
    <w:uiPriority w:val="99"/>
    <w:semiHidden/>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BEB6-425C-4065-9859-D862945B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3596</Words>
  <Characters>19784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hidalgo perez</cp:lastModifiedBy>
  <cp:revision>2</cp:revision>
  <cp:lastPrinted>2022-02-13T19:02:00Z</cp:lastPrinted>
  <dcterms:created xsi:type="dcterms:W3CDTF">2022-09-09T13:03:00Z</dcterms:created>
  <dcterms:modified xsi:type="dcterms:W3CDTF">2022-09-09T13:03:00Z</dcterms:modified>
</cp:coreProperties>
</file>