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3D60F" w14:textId="77777777" w:rsidR="00DF4D21" w:rsidRPr="00DF4D21" w:rsidRDefault="00DF4D21" w:rsidP="00DF4D21">
      <w:pPr>
        <w:rPr>
          <w:b/>
          <w:bCs/>
        </w:rPr>
      </w:pPr>
      <w:r w:rsidRPr="00DF4D21">
        <w:rPr>
          <w:b/>
          <w:bCs/>
        </w:rPr>
        <w:t>Previsiones económicas internacionales: contexto global para Andalucía</w:t>
      </w:r>
    </w:p>
    <w:p w14:paraId="6E47C23B" w14:textId="77777777" w:rsidR="00DF4D21" w:rsidRPr="00DF4D21" w:rsidRDefault="00DF4D21" w:rsidP="00DF4D21">
      <w:r w:rsidRPr="00DF4D21">
        <w:t xml:space="preserve">El panorama económico mundial en el segundo semestre de 2025 está marcado por una </w:t>
      </w:r>
      <w:r w:rsidRPr="00DF4D21">
        <w:rPr>
          <w:b/>
          <w:bCs/>
        </w:rPr>
        <w:t xml:space="preserve">tensión comercial sin precedentes entre </w:t>
      </w:r>
      <w:proofErr w:type="gramStart"/>
      <w:r w:rsidRPr="00DF4D21">
        <w:rPr>
          <w:b/>
          <w:bCs/>
        </w:rPr>
        <w:t>EEUU</w:t>
      </w:r>
      <w:proofErr w:type="gramEnd"/>
      <w:r w:rsidRPr="00DF4D21">
        <w:rPr>
          <w:b/>
          <w:bCs/>
        </w:rPr>
        <w:t xml:space="preserve"> y China</w:t>
      </w:r>
      <w:r w:rsidRPr="00DF4D21">
        <w:t xml:space="preserve">, que ha generado un crecimiento global más lento del esperado (2,3-3,0% según organismos internacionales) y una reestructuración fundamental de las cadenas de suministro globales. Para Andalucía, esto implica tanto </w:t>
      </w:r>
      <w:r w:rsidRPr="00DF4D21">
        <w:rPr>
          <w:b/>
          <w:bCs/>
        </w:rPr>
        <w:t>oportunidades de diversificación comercial</w:t>
      </w:r>
      <w:r w:rsidRPr="00DF4D21">
        <w:t xml:space="preserve"> como riesgos de ralentización en sus principales mercados de exportación.</w:t>
      </w:r>
    </w:p>
    <w:p w14:paraId="51F347E5" w14:textId="77777777" w:rsidR="00DF4D21" w:rsidRPr="00DF4D21" w:rsidRDefault="00DF4D21" w:rsidP="00DF4D21">
      <w:r w:rsidRPr="00DF4D21">
        <w:t>Las políticas económicas de Trump han transformado radicalmente el comercio mundial, mientras que Europa ha logrado evitar una guerra comercial total mediante el controvertido "Acuerdo de Julio" UE-</w:t>
      </w:r>
      <w:proofErr w:type="gramStart"/>
      <w:r w:rsidRPr="00DF4D21">
        <w:t>EEUU</w:t>
      </w:r>
      <w:proofErr w:type="gramEnd"/>
      <w:r w:rsidRPr="00DF4D21">
        <w:t>, que establece aranceles del 15% sobre productos europeos a cambio de compromisos de compra energética por 750.000 millones de dólares. China, por su parte, mantiene un crecimiento del 5,2% en el segundo trimestre gracias a medidas de estímulo agresivas, aunque enfrenta deflación en precios industriales (-3,6%).</w:t>
      </w:r>
    </w:p>
    <w:p w14:paraId="7D19FCC5" w14:textId="77777777" w:rsidR="00DF4D21" w:rsidRPr="00DF4D21" w:rsidRDefault="00DF4D21" w:rsidP="00DF4D21">
      <w:pPr>
        <w:rPr>
          <w:b/>
          <w:bCs/>
        </w:rPr>
      </w:pPr>
      <w:r w:rsidRPr="00DF4D21">
        <w:rPr>
          <w:b/>
          <w:bCs/>
        </w:rPr>
        <w:t>La economía global presenta divergencias significativas entre organismos internacionales</w:t>
      </w:r>
    </w:p>
    <w:p w14:paraId="690316F0" w14:textId="77777777" w:rsidR="00DF4D21" w:rsidRPr="00DF4D21" w:rsidRDefault="00DF4D21" w:rsidP="00DF4D21">
      <w:r w:rsidRPr="00DF4D21">
        <w:t xml:space="preserve">Las proyecciones para 2025 muestran una </w:t>
      </w:r>
      <w:r w:rsidRPr="00DF4D21">
        <w:rPr>
          <w:b/>
          <w:bCs/>
        </w:rPr>
        <w:t>disparidad extraordinaria</w:t>
      </w:r>
      <w:r w:rsidRPr="00DF4D21">
        <w:t xml:space="preserve"> entre las principales instituciones económicas mundiales. El </w:t>
      </w:r>
      <w:r w:rsidRPr="00DF4D21">
        <w:rPr>
          <w:b/>
          <w:bCs/>
        </w:rPr>
        <w:t>FMI revisó al alza su previsión a 3,0%</w:t>
      </w:r>
      <w:r w:rsidRPr="00DF4D21">
        <w:t xml:space="preserve"> en su actualización de julio, mientras que el </w:t>
      </w:r>
      <w:r w:rsidRPr="00DF4D21">
        <w:rPr>
          <w:b/>
          <w:bCs/>
        </w:rPr>
        <w:t>Banco Mundial mantiene una perspectiva mucho más pesimista del 2,3%</w:t>
      </w:r>
      <w:r w:rsidRPr="00DF4D21">
        <w:t>, la diferencia de 0,7 puntos porcentuales representa una de las mayores divergencias en años recientes.</w:t>
      </w:r>
    </w:p>
    <w:p w14:paraId="3693DB51" w14:textId="77777777" w:rsidR="00DF4D21" w:rsidRPr="00DF4D21" w:rsidRDefault="00DF4D21" w:rsidP="00DF4D21">
      <w:r w:rsidRPr="00DF4D21">
        <w:t xml:space="preserve">Esta disparidad refleja principalmente los efectos del </w:t>
      </w:r>
      <w:r w:rsidRPr="00DF4D21">
        <w:rPr>
          <w:b/>
          <w:bCs/>
        </w:rPr>
        <w:t>adelanto de importaciones estadounidenses</w:t>
      </w:r>
      <w:r w:rsidRPr="00DF4D21">
        <w:t xml:space="preserve"> en el primer semestre ante la amenaza de aranceles y una posterior desescalada parcial en mayo que redujo los aranceles efectivos estadounidenses del 24% al 17%. La </w:t>
      </w:r>
      <w:r w:rsidRPr="00DF4D21">
        <w:rPr>
          <w:b/>
          <w:bCs/>
        </w:rPr>
        <w:t>OMC confirmó este patrón</w:t>
      </w:r>
      <w:r w:rsidRPr="00DF4D21">
        <w:t>: el comercio mundial creció un 5,3% interanual en el primer trimestre debido al "</w:t>
      </w:r>
      <w:proofErr w:type="spellStart"/>
      <w:r w:rsidRPr="00DF4D21">
        <w:t>front-loading</w:t>
      </w:r>
      <w:proofErr w:type="spellEnd"/>
      <w:r w:rsidRPr="00DF4D21">
        <w:t>", seguido de una caída del 16% en el segundo trimestre.</w:t>
      </w:r>
    </w:p>
    <w:p w14:paraId="61517C01" w14:textId="77777777" w:rsidR="00DF4D21" w:rsidRPr="00DF4D21" w:rsidRDefault="00DF4D21" w:rsidP="00DF4D21">
      <w:r w:rsidRPr="00DF4D21">
        <w:t xml:space="preserve">El </w:t>
      </w:r>
      <w:r w:rsidRPr="00DF4D21">
        <w:rPr>
          <w:b/>
          <w:bCs/>
        </w:rPr>
        <w:t>Banco Mundial advierte</w:t>
      </w:r>
      <w:r w:rsidRPr="00DF4D21">
        <w:t xml:space="preserve"> que el crecimiento promedio de los años 2020 (2,5%) sería el más lento desde la década de 1960, con revisiones a la baja para casi el 70% de las economías mundiales. Los </w:t>
      </w:r>
      <w:r w:rsidRPr="00DF4D21">
        <w:rPr>
          <w:b/>
          <w:bCs/>
        </w:rPr>
        <w:t>precios de las materias primas</w:t>
      </w:r>
      <w:r w:rsidRPr="00DF4D21">
        <w:t xml:space="preserve"> experimentarán caídas significativas: -12% en 2025 y -5% en 2026, con el </w:t>
      </w:r>
      <w:r w:rsidRPr="00DF4D21">
        <w:rPr>
          <w:b/>
          <w:bCs/>
        </w:rPr>
        <w:t>petróleo Brent</w:t>
      </w:r>
      <w:r w:rsidRPr="00DF4D21">
        <w:t xml:space="preserve"> proyectado en 64 dólares/barril en 2025.</w:t>
      </w:r>
    </w:p>
    <w:p w14:paraId="0E0F1A71" w14:textId="77777777" w:rsidR="00DF4D21" w:rsidRPr="00DF4D21" w:rsidRDefault="00DF4D21" w:rsidP="00DF4D21">
      <w:pPr>
        <w:rPr>
          <w:b/>
          <w:bCs/>
        </w:rPr>
      </w:pPr>
      <w:r w:rsidRPr="00DF4D21">
        <w:rPr>
          <w:b/>
          <w:bCs/>
        </w:rPr>
        <w:t>Estados Unidos experimenta volatilidad bajo las políticas comerciales más agresivas en un siglo</w:t>
      </w:r>
    </w:p>
    <w:p w14:paraId="74761FFD" w14:textId="77777777" w:rsidR="00DF4D21" w:rsidRPr="00DF4D21" w:rsidRDefault="00DF4D21" w:rsidP="00DF4D21">
      <w:r w:rsidRPr="00DF4D21">
        <w:t xml:space="preserve">La </w:t>
      </w:r>
      <w:r w:rsidRPr="00DF4D21">
        <w:rPr>
          <w:b/>
          <w:bCs/>
        </w:rPr>
        <w:t>segunda administración Trump</w:t>
      </w:r>
      <w:r w:rsidRPr="00DF4D21">
        <w:t xml:space="preserve"> ha implementado la política arancelaria más radical desde los años 1930. Los </w:t>
      </w:r>
      <w:r w:rsidRPr="00DF4D21">
        <w:rPr>
          <w:b/>
          <w:bCs/>
        </w:rPr>
        <w:t>aranceles promedio estadounidenses</w:t>
      </w:r>
      <w:r w:rsidRPr="00DF4D21">
        <w:t xml:space="preserve"> aumentaron del 2,5% (enero 2025) al 27% (abril), estableciéndose actualmente en el 18,6%. El 2 de abril, declarado "Día de la Liberación", Trump utilizó la Ley de Poderes Económicos de Emergencia Internacional para imponer un arancel base del 10% sobre casi todas las importaciones.</w:t>
      </w:r>
    </w:p>
    <w:p w14:paraId="72B61CED" w14:textId="77777777" w:rsidR="00DF4D21" w:rsidRPr="00DF4D21" w:rsidRDefault="00DF4D21" w:rsidP="00DF4D21">
      <w:r w:rsidRPr="00DF4D21">
        <w:t xml:space="preserve">El </w:t>
      </w:r>
      <w:r w:rsidRPr="00DF4D21">
        <w:rPr>
          <w:b/>
          <w:bCs/>
        </w:rPr>
        <w:t>PIB estadounidense del segundo trimestre</w:t>
      </w:r>
      <w:r w:rsidRPr="00DF4D21">
        <w:t xml:space="preserve"> mostró una recuperación aparente del 3,0% anualizado, pero esta cifra enmascara una debilidad estructural. La caída del 30,3% en importaciones impulsó mecánicamente el PIB, mientras que las </w:t>
      </w:r>
      <w:r w:rsidRPr="00DF4D21">
        <w:rPr>
          <w:b/>
          <w:bCs/>
        </w:rPr>
        <w:t xml:space="preserve">ventas finales a </w:t>
      </w:r>
      <w:r w:rsidRPr="00DF4D21">
        <w:rPr>
          <w:b/>
          <w:bCs/>
        </w:rPr>
        <w:lastRenderedPageBreak/>
        <w:t>compradores domésticos privados</w:t>
      </w:r>
      <w:r w:rsidRPr="00DF4D21">
        <w:t xml:space="preserve"> solo crecieron 1,2%. El crecimiento del primer semestre fue de apenas 1,2%, muy por debajo del ritmo de 2024 (2,8%).</w:t>
      </w:r>
    </w:p>
    <w:p w14:paraId="4F809F37" w14:textId="77777777" w:rsidR="00DF4D21" w:rsidRPr="00DF4D21" w:rsidRDefault="00DF4D21" w:rsidP="00DF4D21">
      <w:r w:rsidRPr="00DF4D21">
        <w:t xml:space="preserve">La </w:t>
      </w:r>
      <w:r w:rsidRPr="00DF4D21">
        <w:rPr>
          <w:b/>
          <w:bCs/>
        </w:rPr>
        <w:t>inflación se moderó</w:t>
      </w:r>
      <w:r w:rsidRPr="00DF4D21">
        <w:t xml:space="preserve"> en el segundo trimestre (PCE del 2,1% vs 3,7% en Q1), pero la </w:t>
      </w:r>
      <w:r w:rsidRPr="00DF4D21">
        <w:rPr>
          <w:b/>
          <w:bCs/>
        </w:rPr>
        <w:t>Reserva Federal mantiene cautela</w:t>
      </w:r>
      <w:r w:rsidRPr="00DF4D21">
        <w:t xml:space="preserve">. En su reunión del 30 de julio, mantuvo las tasas en 4,25-4,5% por quinta vez consecutiva, con dos miembros votando por recortes. </w:t>
      </w:r>
      <w:r w:rsidRPr="00DF4D21">
        <w:rPr>
          <w:b/>
          <w:bCs/>
        </w:rPr>
        <w:t>Jerome Powell señaló</w:t>
      </w:r>
      <w:r w:rsidRPr="00DF4D21">
        <w:t xml:space="preserve"> que los efectos de los aranceles sobre la inflación "podrían ser temporales o más persistentes".</w:t>
      </w:r>
    </w:p>
    <w:p w14:paraId="1468E935" w14:textId="77777777" w:rsidR="00DF4D21" w:rsidRPr="00DF4D21" w:rsidRDefault="00DF4D21" w:rsidP="00DF4D21">
      <w:r w:rsidRPr="00DF4D21">
        <w:t xml:space="preserve">El </w:t>
      </w:r>
      <w:r w:rsidRPr="00DF4D21">
        <w:rPr>
          <w:b/>
          <w:bCs/>
        </w:rPr>
        <w:t>mercado laboral muestra signos de enfriamiento</w:t>
      </w:r>
      <w:r w:rsidRPr="00DF4D21">
        <w:t xml:space="preserve">: solo 73.000 empleos creados en julio, muy por debajo de las expectativas de 100.000+, con una </w:t>
      </w:r>
      <w:r w:rsidRPr="00DF4D21">
        <w:rPr>
          <w:b/>
          <w:bCs/>
        </w:rPr>
        <w:t>tasa de desempleo estable en 4,2%</w:t>
      </w:r>
      <w:r w:rsidRPr="00DF4D21">
        <w:t xml:space="preserve"> pero con aumentos preocupantes en desempleados de largo plazo (+179.000) y nuevos participantes (+275.000).</w:t>
      </w:r>
    </w:p>
    <w:p w14:paraId="17C76322" w14:textId="77777777" w:rsidR="00DF4D21" w:rsidRPr="00DF4D21" w:rsidRDefault="00DF4D21" w:rsidP="00DF4D21">
      <w:pPr>
        <w:rPr>
          <w:b/>
          <w:bCs/>
        </w:rPr>
      </w:pPr>
      <w:r w:rsidRPr="00DF4D21">
        <w:rPr>
          <w:b/>
          <w:bCs/>
        </w:rPr>
        <w:t>China mantiene resiliencia económica mediante estímulo masivo y diversificación comercial</w:t>
      </w:r>
    </w:p>
    <w:p w14:paraId="5732D0C3" w14:textId="77777777" w:rsidR="00DF4D21" w:rsidRPr="00DF4D21" w:rsidRDefault="00DF4D21" w:rsidP="00DF4D21">
      <w:r w:rsidRPr="00DF4D21">
        <w:t xml:space="preserve">La </w:t>
      </w:r>
      <w:r w:rsidRPr="00DF4D21">
        <w:rPr>
          <w:b/>
          <w:bCs/>
        </w:rPr>
        <w:t>economía china creció 5,2% interanual</w:t>
      </w:r>
      <w:r w:rsidRPr="00DF4D21">
        <w:t xml:space="preserve"> en el segundo trimestre de 2025, superando las previsiones del 5,1% y manteniendo el objetivo gubernamental de "alrededor del 5%". Este desempeño ocurre pese a enfrentar aranceles estadounidenses que llegaron al </w:t>
      </w:r>
      <w:r w:rsidRPr="00DF4D21">
        <w:rPr>
          <w:b/>
          <w:bCs/>
        </w:rPr>
        <w:t>145% en abril antes de reducirse al 30%</w:t>
      </w:r>
      <w:r w:rsidRPr="00DF4D21">
        <w:t xml:space="preserve"> actual tras las negociaciones de Ginebra.</w:t>
      </w:r>
    </w:p>
    <w:p w14:paraId="537FB8A2" w14:textId="77777777" w:rsidR="00DF4D21" w:rsidRPr="00DF4D21" w:rsidRDefault="00DF4D21" w:rsidP="00DF4D21">
      <w:r w:rsidRPr="00DF4D21">
        <w:t xml:space="preserve">Beijing ha desplegado un </w:t>
      </w:r>
      <w:r w:rsidRPr="00DF4D21">
        <w:rPr>
          <w:b/>
          <w:bCs/>
        </w:rPr>
        <w:t>paquete de estímulo integral</w:t>
      </w:r>
      <w:r w:rsidRPr="00DF4D21">
        <w:t xml:space="preserve">. En marzo duplicó los subsidios para reemplazo de productos de consumo a 300.000 millones de yuanes (41.470 millones de dólares). El </w:t>
      </w:r>
      <w:r w:rsidRPr="00DF4D21">
        <w:rPr>
          <w:b/>
          <w:bCs/>
        </w:rPr>
        <w:t>Banco Popular de China</w:t>
      </w:r>
      <w:r w:rsidRPr="00DF4D21">
        <w:t xml:space="preserve"> recortó las tasas de política en 10 puntos básicos al 1,4% en mayo, redujo los coeficientes de reserva obligatoria en 50 puntos básicos, e implementó recortes hipotecarios.</w:t>
      </w:r>
    </w:p>
    <w:p w14:paraId="65DAF8FD" w14:textId="77777777" w:rsidR="00DF4D21" w:rsidRPr="00DF4D21" w:rsidRDefault="00DF4D21" w:rsidP="00DF4D21">
      <w:r w:rsidRPr="00DF4D21">
        <w:t xml:space="preserve">La </w:t>
      </w:r>
      <w:r w:rsidRPr="00DF4D21">
        <w:rPr>
          <w:b/>
          <w:bCs/>
        </w:rPr>
        <w:t>diversificación comercial china</w:t>
      </w:r>
      <w:r w:rsidRPr="00DF4D21">
        <w:t xml:space="preserve"> ha sido exitosa: aunque las exportaciones a </w:t>
      </w:r>
      <w:proofErr w:type="gramStart"/>
      <w:r w:rsidRPr="00DF4D21">
        <w:t>EEUU</w:t>
      </w:r>
      <w:proofErr w:type="gramEnd"/>
      <w:r w:rsidRPr="00DF4D21">
        <w:t xml:space="preserve"> cayeron 10,7% en el primer semestre (-25.700 millones de dólares), las exportaciones a la </w:t>
      </w:r>
      <w:r w:rsidRPr="00DF4D21">
        <w:rPr>
          <w:b/>
          <w:bCs/>
        </w:rPr>
        <w:t>ASEAN crecieron 13%</w:t>
      </w:r>
      <w:r w:rsidRPr="00DF4D21">
        <w:t xml:space="preserve"> (+37.100 millones), </w:t>
      </w:r>
      <w:r w:rsidRPr="00DF4D21">
        <w:rPr>
          <w:b/>
          <w:bCs/>
        </w:rPr>
        <w:t>África 21,4%</w:t>
      </w:r>
      <w:r w:rsidRPr="00DF4D21">
        <w:t xml:space="preserve"> (+18.200 millones) y la </w:t>
      </w:r>
      <w:r w:rsidRPr="00DF4D21">
        <w:rPr>
          <w:b/>
          <w:bCs/>
        </w:rPr>
        <w:t>UE 6,9%</w:t>
      </w:r>
      <w:r w:rsidRPr="00DF4D21">
        <w:t xml:space="preserve"> (+16.300 millones). Esta reorientación sugiere que China está construyendo cadenas de suministro alternativas resilientes.</w:t>
      </w:r>
    </w:p>
    <w:p w14:paraId="1C8EEF75" w14:textId="77777777" w:rsidR="00DF4D21" w:rsidRPr="00DF4D21" w:rsidRDefault="00DF4D21" w:rsidP="00DF4D21">
      <w:r w:rsidRPr="00DF4D21">
        <w:t xml:space="preserve">El </w:t>
      </w:r>
      <w:r w:rsidRPr="00DF4D21">
        <w:rPr>
          <w:b/>
          <w:bCs/>
        </w:rPr>
        <w:t>sector inmobiliario</w:t>
      </w:r>
      <w:r w:rsidRPr="00DF4D21">
        <w:t xml:space="preserve"> permanece como el mayor desafío estructural. La inversión inmobiliaria cayó 11,2% en el primer semestre, con precios continuando su declive en ciudades de tercer nivel (que representan el 60% del PIB). El gobierno ha respondido con mecanismos de "lista blanca" para apoyo financiero a promotores calificados y programas de compra gubernamental de viviendas no vendidas.</w:t>
      </w:r>
    </w:p>
    <w:p w14:paraId="32852469" w14:textId="77777777" w:rsidR="00DF4D21" w:rsidRPr="00DF4D21" w:rsidRDefault="00DF4D21" w:rsidP="00DF4D21">
      <w:pPr>
        <w:rPr>
          <w:b/>
          <w:bCs/>
        </w:rPr>
      </w:pPr>
      <w:r w:rsidRPr="00DF4D21">
        <w:rPr>
          <w:b/>
          <w:bCs/>
        </w:rPr>
        <w:t>La eurozona logra estabilidad mediante política monetaria acomodaticia y diplomacia comercial</w:t>
      </w:r>
    </w:p>
    <w:p w14:paraId="38D29FDE" w14:textId="77777777" w:rsidR="00DF4D21" w:rsidRPr="00DF4D21" w:rsidRDefault="00DF4D21" w:rsidP="00DF4D21">
      <w:r w:rsidRPr="00DF4D21">
        <w:t xml:space="preserve">La </w:t>
      </w:r>
      <w:r w:rsidRPr="00DF4D21">
        <w:rPr>
          <w:b/>
          <w:bCs/>
        </w:rPr>
        <w:t>economía de la eurozona</w:t>
      </w:r>
      <w:r w:rsidRPr="00DF4D21">
        <w:t xml:space="preserve"> mostró resistencia en el segundo trimestre con un crecimiento del 0,1% trimestral, aunque más lento que el 0,6% del primer trimestre. El crecimiento anual se situó en 1,4%, con la </w:t>
      </w:r>
      <w:r w:rsidRPr="00DF4D21">
        <w:rPr>
          <w:b/>
          <w:bCs/>
        </w:rPr>
        <w:t>Comisión Europea proyectando</w:t>
      </w:r>
      <w:r w:rsidRPr="00DF4D21">
        <w:t xml:space="preserve"> 0,9% para 2025 y 1,4% para 2026.</w:t>
      </w:r>
    </w:p>
    <w:p w14:paraId="034BEBAF" w14:textId="77777777" w:rsidR="00DF4D21" w:rsidRPr="00DF4D21" w:rsidRDefault="00DF4D21" w:rsidP="00DF4D21">
      <w:r w:rsidRPr="00DF4D21">
        <w:t xml:space="preserve">El </w:t>
      </w:r>
      <w:r w:rsidRPr="00DF4D21">
        <w:rPr>
          <w:b/>
          <w:bCs/>
        </w:rPr>
        <w:t>Banco Central Europeo</w:t>
      </w:r>
      <w:r w:rsidRPr="00DF4D21">
        <w:t xml:space="preserve"> ha mantenido una política claramente acomodaticia, con ocho recortes consecutivos desde junio 2024. La </w:t>
      </w:r>
      <w:r w:rsidRPr="00DF4D21">
        <w:rPr>
          <w:b/>
          <w:bCs/>
        </w:rPr>
        <w:t>tasa de depósito actual del 2,0%</w:t>
      </w:r>
      <w:r w:rsidRPr="00DF4D21">
        <w:t xml:space="preserve"> (reducida desde el pico del 4,0% en 2023) refleja el éxito en la lucha contra la inflación, que se situó en </w:t>
      </w:r>
      <w:r w:rsidRPr="00DF4D21">
        <w:rPr>
          <w:b/>
          <w:bCs/>
        </w:rPr>
        <w:t>2,0% en julio</w:t>
      </w:r>
      <w:r w:rsidRPr="00DF4D21">
        <w:t>, cumpliendo el objetivo del BCE. Las proyecciones del BCE anticipan inflación del 2,1% en 2025, 1,7% en 2026 y 2,0% en 2027.</w:t>
      </w:r>
    </w:p>
    <w:p w14:paraId="129D387F" w14:textId="77777777" w:rsidR="00DF4D21" w:rsidRPr="00DF4D21" w:rsidRDefault="00DF4D21" w:rsidP="00DF4D21">
      <w:r w:rsidRPr="00DF4D21">
        <w:t xml:space="preserve">El desempeño por países muestra </w:t>
      </w:r>
      <w:r w:rsidRPr="00DF4D21">
        <w:rPr>
          <w:b/>
          <w:bCs/>
        </w:rPr>
        <w:t>divergencias notables</w:t>
      </w:r>
      <w:r w:rsidRPr="00DF4D21">
        <w:t xml:space="preserve">. </w:t>
      </w:r>
      <w:r w:rsidRPr="00DF4D21">
        <w:rPr>
          <w:b/>
          <w:bCs/>
        </w:rPr>
        <w:t>España lidera el crecimiento</w:t>
      </w:r>
      <w:r w:rsidRPr="00DF4D21">
        <w:t xml:space="preserve"> con 0,7% trimestral en Q2, impulsada por un turismo récord (94 millones de visitantes internacionales en 2024, +10%) y la inversión de fondos de recuperación europeos. </w:t>
      </w:r>
      <w:r w:rsidRPr="00DF4D21">
        <w:rPr>
          <w:b/>
          <w:bCs/>
        </w:rPr>
        <w:t>Alemania</w:t>
      </w:r>
      <w:r w:rsidRPr="00DF4D21">
        <w:t xml:space="preserve">, en contraste, mostró una </w:t>
      </w:r>
      <w:r w:rsidRPr="00DF4D21">
        <w:rPr>
          <w:b/>
          <w:bCs/>
        </w:rPr>
        <w:t>contracción del -0,1%</w:t>
      </w:r>
      <w:r w:rsidRPr="00DF4D21">
        <w:t xml:space="preserve"> en Q2 tras el 0,3% de Q1, reflejando el impacto en sus industrias exportadoras. El Bundesbank proyecta crecimiento cero para 2025.</w:t>
      </w:r>
    </w:p>
    <w:p w14:paraId="348D2227" w14:textId="77777777" w:rsidR="00DF4D21" w:rsidRPr="00DF4D21" w:rsidRDefault="00DF4D21" w:rsidP="00DF4D21">
      <w:r w:rsidRPr="00DF4D21">
        <w:rPr>
          <w:b/>
          <w:bCs/>
        </w:rPr>
        <w:t>Francia</w:t>
      </w:r>
      <w:r w:rsidRPr="00DF4D21">
        <w:t xml:space="preserve"> mejoró al 0,3% trimestral en Q2 (vs 0,1% en Q1), con el Banco de Francia proyectando 0,9% para el año completo. Su </w:t>
      </w:r>
      <w:r w:rsidRPr="00DF4D21">
        <w:rPr>
          <w:b/>
          <w:bCs/>
        </w:rPr>
        <w:t>menor exposición al mercado estadounidense</w:t>
      </w:r>
      <w:r w:rsidRPr="00DF4D21">
        <w:t xml:space="preserve"> (1,7% vs 2,8% del PIB de Alemania) le proporciona cierta protección. </w:t>
      </w:r>
      <w:r w:rsidRPr="00DF4D21">
        <w:rPr>
          <w:b/>
          <w:bCs/>
        </w:rPr>
        <w:t>Italia</w:t>
      </w:r>
      <w:r w:rsidRPr="00DF4D21">
        <w:t xml:space="preserve"> experimentó contracción (-0,1% en Q2) pero mantiene perspectivas del 0,7% para 2025 según la Comisión Europea.</w:t>
      </w:r>
    </w:p>
    <w:p w14:paraId="2563FD9F" w14:textId="77777777" w:rsidR="00DF4D21" w:rsidRPr="00DF4D21" w:rsidRDefault="00DF4D21" w:rsidP="00DF4D21">
      <w:pPr>
        <w:rPr>
          <w:b/>
          <w:bCs/>
        </w:rPr>
      </w:pPr>
      <w:r w:rsidRPr="00DF4D21">
        <w:rPr>
          <w:b/>
          <w:bCs/>
        </w:rPr>
        <w:t>El Acuerdo de Julio UE-</w:t>
      </w:r>
      <w:proofErr w:type="gramStart"/>
      <w:r w:rsidRPr="00DF4D21">
        <w:rPr>
          <w:b/>
          <w:bCs/>
        </w:rPr>
        <w:t>EEUU</w:t>
      </w:r>
      <w:proofErr w:type="gramEnd"/>
      <w:r w:rsidRPr="00DF4D21">
        <w:rPr>
          <w:b/>
          <w:bCs/>
        </w:rPr>
        <w:t xml:space="preserve"> evita una guerra </w:t>
      </w:r>
      <w:proofErr w:type="gramStart"/>
      <w:r w:rsidRPr="00DF4D21">
        <w:rPr>
          <w:b/>
          <w:bCs/>
        </w:rPr>
        <w:t>comercial</w:t>
      </w:r>
      <w:proofErr w:type="gramEnd"/>
      <w:r w:rsidRPr="00DF4D21">
        <w:rPr>
          <w:b/>
          <w:bCs/>
        </w:rPr>
        <w:t xml:space="preserve"> pero a costo elevado</w:t>
      </w:r>
    </w:p>
    <w:p w14:paraId="0805933C" w14:textId="77777777" w:rsidR="00DF4D21" w:rsidRPr="00DF4D21" w:rsidRDefault="00DF4D21" w:rsidP="00DF4D21">
      <w:r w:rsidRPr="00DF4D21">
        <w:t xml:space="preserve">El </w:t>
      </w:r>
      <w:r w:rsidRPr="00DF4D21">
        <w:rPr>
          <w:b/>
          <w:bCs/>
        </w:rPr>
        <w:t>27 de julio de 2025</w:t>
      </w:r>
      <w:r w:rsidRPr="00DF4D21">
        <w:t xml:space="preserve"> se anunció el "Acuerdo de Cooperación UE-</w:t>
      </w:r>
      <w:proofErr w:type="gramStart"/>
      <w:r w:rsidRPr="00DF4D21">
        <w:t>EEUU</w:t>
      </w:r>
      <w:proofErr w:type="gramEnd"/>
      <w:r w:rsidRPr="00DF4D21">
        <w:t xml:space="preserve"> sobre Comercio Recíproco, Justo y Equilibrado" en el resort de Trump en </w:t>
      </w:r>
      <w:proofErr w:type="spellStart"/>
      <w:r w:rsidRPr="00DF4D21">
        <w:t>Turnberry</w:t>
      </w:r>
      <w:proofErr w:type="spellEnd"/>
      <w:r w:rsidRPr="00DF4D21">
        <w:t xml:space="preserve">, Escocia. Este acuerdo, negociado por la presidenta de la Comisión Europea </w:t>
      </w:r>
      <w:proofErr w:type="spellStart"/>
      <w:r w:rsidRPr="00DF4D21">
        <w:t>Ursula</w:t>
      </w:r>
      <w:proofErr w:type="spellEnd"/>
      <w:r w:rsidRPr="00DF4D21">
        <w:t xml:space="preserve"> </w:t>
      </w:r>
      <w:proofErr w:type="spellStart"/>
      <w:r w:rsidRPr="00DF4D21">
        <w:t>von</w:t>
      </w:r>
      <w:proofErr w:type="spellEnd"/>
      <w:r w:rsidRPr="00DF4D21">
        <w:t xml:space="preserve"> </w:t>
      </w:r>
      <w:proofErr w:type="spellStart"/>
      <w:r w:rsidRPr="00DF4D21">
        <w:t>der</w:t>
      </w:r>
      <w:proofErr w:type="spellEnd"/>
      <w:r w:rsidRPr="00DF4D21">
        <w:t xml:space="preserve"> </w:t>
      </w:r>
      <w:proofErr w:type="spellStart"/>
      <w:r w:rsidRPr="00DF4D21">
        <w:t>Leyen</w:t>
      </w:r>
      <w:proofErr w:type="spellEnd"/>
      <w:r w:rsidRPr="00DF4D21">
        <w:t xml:space="preserve">, </w:t>
      </w:r>
      <w:r w:rsidRPr="00DF4D21">
        <w:rPr>
          <w:b/>
          <w:bCs/>
        </w:rPr>
        <w:t>evitó la imposición de aranceles del 30%</w:t>
      </w:r>
      <w:r w:rsidRPr="00DF4D21">
        <w:t xml:space="preserve"> amenazados para el 1 de agosto.</w:t>
      </w:r>
    </w:p>
    <w:p w14:paraId="58EE0970" w14:textId="77777777" w:rsidR="00DF4D21" w:rsidRPr="00DF4D21" w:rsidRDefault="00DF4D21" w:rsidP="00DF4D21">
      <w:r w:rsidRPr="00DF4D21">
        <w:t xml:space="preserve">Los </w:t>
      </w:r>
      <w:r w:rsidRPr="00DF4D21">
        <w:rPr>
          <w:b/>
          <w:bCs/>
        </w:rPr>
        <w:t>términos económicos</w:t>
      </w:r>
      <w:r w:rsidRPr="00DF4D21">
        <w:t xml:space="preserve"> establecen un </w:t>
      </w:r>
      <w:r w:rsidRPr="00DF4D21">
        <w:rPr>
          <w:b/>
          <w:bCs/>
        </w:rPr>
        <w:t>arancel base del 15%</w:t>
      </w:r>
      <w:r w:rsidRPr="00DF4D21">
        <w:t xml:space="preserve"> sobre la mayoría de </w:t>
      </w:r>
      <w:proofErr w:type="gramStart"/>
      <w:r w:rsidRPr="00DF4D21">
        <w:t>productos</w:t>
      </w:r>
      <w:proofErr w:type="gramEnd"/>
      <w:r w:rsidRPr="00DF4D21">
        <w:t xml:space="preserve"> europeos (reducido del 30% amenazado), manteniendo </w:t>
      </w:r>
      <w:r w:rsidRPr="00DF4D21">
        <w:rPr>
          <w:b/>
          <w:bCs/>
        </w:rPr>
        <w:t>aranceles del 50%</w:t>
      </w:r>
      <w:r w:rsidRPr="00DF4D21">
        <w:t xml:space="preserve"> sobre acero, aluminio y cobre. Sectores como aeronáutica, ciertos productos farmacéuticos y químicos obtuvieron </w:t>
      </w:r>
      <w:r w:rsidRPr="00DF4D21">
        <w:rPr>
          <w:b/>
          <w:bCs/>
        </w:rPr>
        <w:t>acceso libre de aranceles</w:t>
      </w:r>
      <w:r w:rsidRPr="00DF4D21">
        <w:t>. El sector automotriz enfrenta aranceles del 15%, reducidos desde tasas previas del 25-27,5%.</w:t>
      </w:r>
    </w:p>
    <w:p w14:paraId="3EECE0B5" w14:textId="77777777" w:rsidR="00DF4D21" w:rsidRPr="00DF4D21" w:rsidRDefault="00DF4D21" w:rsidP="00DF4D21">
      <w:r w:rsidRPr="00DF4D21">
        <w:t xml:space="preserve">A cambio, la </w:t>
      </w:r>
      <w:r w:rsidRPr="00DF4D21">
        <w:rPr>
          <w:b/>
          <w:bCs/>
        </w:rPr>
        <w:t>UE se compromete a 750.000 millones de dólares</w:t>
      </w:r>
      <w:r w:rsidRPr="00DF4D21">
        <w:t xml:space="preserve"> en compras energéticas estadounidenses hasta 2028 (250.000 millones anuales), </w:t>
      </w:r>
      <w:r w:rsidRPr="00DF4D21">
        <w:rPr>
          <w:b/>
          <w:bCs/>
        </w:rPr>
        <w:t>600.000 millones en inversiones estadounidenses</w:t>
      </w:r>
      <w:r w:rsidRPr="00DF4D21">
        <w:t>, eliminación de todos los aranceles europeos sobre bienes industriales estadounidenses, y compras "significativas" de equipamiento militar estadounidense.</w:t>
      </w:r>
    </w:p>
    <w:p w14:paraId="2075637C" w14:textId="77777777" w:rsidR="00DF4D21" w:rsidRPr="00DF4D21" w:rsidRDefault="00DF4D21" w:rsidP="00DF4D21">
      <w:r w:rsidRPr="00DF4D21">
        <w:t xml:space="preserve">La </w:t>
      </w:r>
      <w:r w:rsidRPr="00DF4D21">
        <w:rPr>
          <w:b/>
          <w:bCs/>
        </w:rPr>
        <w:t>reacción de los mercados</w:t>
      </w:r>
      <w:r w:rsidRPr="00DF4D21">
        <w:t xml:space="preserve"> fue mixta: las acciones europeas subieron inicialmente (EUROSTOXX 50 +0,9%, DAX +0,9%), lideradas por el sector automotriz (Valeo +5%, </w:t>
      </w:r>
      <w:proofErr w:type="spellStart"/>
      <w:r w:rsidRPr="00DF4D21">
        <w:t>Stellantis</w:t>
      </w:r>
      <w:proofErr w:type="spellEnd"/>
      <w:r w:rsidRPr="00DF4D21">
        <w:t xml:space="preserve"> +2%), pero el </w:t>
      </w:r>
      <w:r w:rsidRPr="00DF4D21">
        <w:rPr>
          <w:b/>
          <w:bCs/>
        </w:rPr>
        <w:t>euro se debilitó 0,53%</w:t>
      </w:r>
      <w:r w:rsidRPr="00DF4D21">
        <w:t xml:space="preserve"> ante preocupaciones por la asimetría del acuerdo. Los líderes europeos expresaron alivio por evitar una guerra comercial, pero criticaron el acuerdo como "desequilibrado" y "un día oscuro para la UE".</w:t>
      </w:r>
    </w:p>
    <w:p w14:paraId="52765CD2" w14:textId="77777777" w:rsidR="00DF4D21" w:rsidRPr="00DF4D21" w:rsidRDefault="00DF4D21" w:rsidP="00DF4D21">
      <w:pPr>
        <w:rPr>
          <w:b/>
          <w:bCs/>
        </w:rPr>
      </w:pPr>
      <w:r w:rsidRPr="00DF4D21">
        <w:rPr>
          <w:b/>
          <w:bCs/>
        </w:rPr>
        <w:t>Las tensiones comerciales globales alcanzan niveles históricos con efectos permanentes</w:t>
      </w:r>
    </w:p>
    <w:p w14:paraId="21D3B6CA" w14:textId="77777777" w:rsidR="00DF4D21" w:rsidRPr="00DF4D21" w:rsidRDefault="00DF4D21" w:rsidP="00DF4D21">
      <w:r w:rsidRPr="00DF4D21">
        <w:t xml:space="preserve">El año 2025 marca la </w:t>
      </w:r>
      <w:r w:rsidRPr="00DF4D21">
        <w:rPr>
          <w:b/>
          <w:bCs/>
        </w:rPr>
        <w:t>mayor disrupción del comercio mundial</w:t>
      </w:r>
      <w:r w:rsidRPr="00DF4D21">
        <w:t xml:space="preserve"> desde la Segunda Guerra Mundial. Los aranceles estadounidenses promedio pasaron del 2,5% histórico al 18,6% actual, con </w:t>
      </w:r>
      <w:r w:rsidRPr="00DF4D21">
        <w:rPr>
          <w:b/>
          <w:bCs/>
        </w:rPr>
        <w:t>China enfrentando las tasas más altas</w:t>
      </w:r>
      <w:r w:rsidRPr="00DF4D21">
        <w:t>: 145% en el pico de abril, actualmente en 30% tras la tregua de Geneva que se extiende hasta noviembre de 2025.</w:t>
      </w:r>
    </w:p>
    <w:p w14:paraId="52181655" w14:textId="77777777" w:rsidR="00DF4D21" w:rsidRPr="00DF4D21" w:rsidRDefault="00DF4D21" w:rsidP="00DF4D21">
      <w:r w:rsidRPr="00DF4D21">
        <w:t xml:space="preserve">La </w:t>
      </w:r>
      <w:r w:rsidRPr="00DF4D21">
        <w:rPr>
          <w:b/>
          <w:bCs/>
        </w:rPr>
        <w:t>guerra arancelaria</w:t>
      </w:r>
      <w:r w:rsidRPr="00DF4D21">
        <w:t xml:space="preserve"> se ha extendido globalmente. </w:t>
      </w:r>
      <w:r w:rsidRPr="00DF4D21">
        <w:rPr>
          <w:b/>
          <w:bCs/>
        </w:rPr>
        <w:t>India</w:t>
      </w:r>
      <w:r w:rsidRPr="00DF4D21">
        <w:t xml:space="preserve"> enfrenta aranceles del 50% desde agosto, </w:t>
      </w:r>
      <w:r w:rsidRPr="00DF4D21">
        <w:rPr>
          <w:b/>
          <w:bCs/>
        </w:rPr>
        <w:t>Japón</w:t>
      </w:r>
      <w:r w:rsidRPr="00DF4D21">
        <w:t xml:space="preserve"> negoció una tasa del 15%, y </w:t>
      </w:r>
      <w:r w:rsidRPr="00DF4D21">
        <w:rPr>
          <w:b/>
          <w:bCs/>
        </w:rPr>
        <w:t>Filipinas</w:t>
      </w:r>
      <w:r w:rsidRPr="00DF4D21">
        <w:t xml:space="preserve"> acepta 19% a cambio de eliminar todos sus aranceles sobre productos estadounidenses. El patrón muestra una estrategia estadounidense de </w:t>
      </w:r>
      <w:r w:rsidRPr="00DF4D21">
        <w:rPr>
          <w:b/>
          <w:bCs/>
        </w:rPr>
        <w:t>acuerdos bilaterales asimétricos</w:t>
      </w:r>
      <w:r w:rsidRPr="00DF4D21">
        <w:t xml:space="preserve"> que fragmenta el sistema multilateral.</w:t>
      </w:r>
    </w:p>
    <w:p w14:paraId="011DA881" w14:textId="77777777" w:rsidR="00DF4D21" w:rsidRPr="00DF4D21" w:rsidRDefault="00DF4D21" w:rsidP="00DF4D21">
      <w:r w:rsidRPr="00DF4D21">
        <w:t xml:space="preserve">Los </w:t>
      </w:r>
      <w:r w:rsidRPr="00DF4D21">
        <w:rPr>
          <w:b/>
          <w:bCs/>
        </w:rPr>
        <w:t>minerales críticos y tierras raras</w:t>
      </w:r>
      <w:r w:rsidRPr="00DF4D21">
        <w:t xml:space="preserve"> se han convertido en armas comerciales. </w:t>
      </w:r>
      <w:r w:rsidRPr="00DF4D21">
        <w:rPr>
          <w:b/>
          <w:bCs/>
        </w:rPr>
        <w:t>China implementó controles de exportación</w:t>
      </w:r>
      <w:r w:rsidRPr="00DF4D21">
        <w:t xml:space="preserve"> en abril 2025 sobre siete elementos de tierras raras críticos (samario, gadolinio, terbio, disprosio, lutecio, escandio, itrio), paralizando suministros a industrias estadounidenses de defensa, vehículos eléctricos y energía renovable. </w:t>
      </w:r>
      <w:proofErr w:type="gramStart"/>
      <w:r w:rsidRPr="00DF4D21">
        <w:t>EEUU</w:t>
      </w:r>
      <w:proofErr w:type="gramEnd"/>
      <w:r w:rsidRPr="00DF4D21">
        <w:t xml:space="preserve"> depende completamente de China para estos materiales, con un </w:t>
      </w:r>
      <w:r w:rsidRPr="00DF4D21">
        <w:rPr>
          <w:b/>
          <w:bCs/>
        </w:rPr>
        <w:t>plazo de 10-15 años</w:t>
      </w:r>
      <w:r w:rsidRPr="00DF4D21">
        <w:t xml:space="preserve"> necesario para desarrollar cadenas de suministro alternativas.</w:t>
      </w:r>
    </w:p>
    <w:p w14:paraId="69D6065F" w14:textId="77777777" w:rsidR="00DF4D21" w:rsidRPr="00DF4D21" w:rsidRDefault="00DF4D21" w:rsidP="00DF4D21">
      <w:r w:rsidRPr="00DF4D21">
        <w:t xml:space="preserve">La </w:t>
      </w:r>
      <w:r w:rsidRPr="00DF4D21">
        <w:rPr>
          <w:b/>
          <w:bCs/>
        </w:rPr>
        <w:t>reestructuración de cadenas de suministro</w:t>
      </w:r>
      <w:r w:rsidRPr="00DF4D21">
        <w:t xml:space="preserve"> se acelera permanentemente. </w:t>
      </w:r>
      <w:r w:rsidRPr="00DF4D21">
        <w:rPr>
          <w:b/>
          <w:bCs/>
        </w:rPr>
        <w:t>México</w:t>
      </w:r>
      <w:r w:rsidRPr="00DF4D21">
        <w:t xml:space="preserve"> lidera como destino de "</w:t>
      </w:r>
      <w:proofErr w:type="spellStart"/>
      <w:r w:rsidRPr="00DF4D21">
        <w:t>nearshoring</w:t>
      </w:r>
      <w:proofErr w:type="spellEnd"/>
      <w:r w:rsidRPr="00DF4D21">
        <w:t xml:space="preserve">", con el Puerto de Manzanillo expandiéndose por 2.700 millones de dólares. </w:t>
      </w:r>
      <w:r w:rsidRPr="00DF4D21">
        <w:rPr>
          <w:b/>
          <w:bCs/>
        </w:rPr>
        <w:t>Vietnam</w:t>
      </w:r>
      <w:r w:rsidRPr="00DF4D21">
        <w:t xml:space="preserve">, </w:t>
      </w:r>
      <w:r w:rsidRPr="00DF4D21">
        <w:rPr>
          <w:b/>
          <w:bCs/>
        </w:rPr>
        <w:t>India</w:t>
      </w:r>
      <w:r w:rsidRPr="00DF4D21">
        <w:t xml:space="preserve"> y </w:t>
      </w:r>
      <w:proofErr w:type="spellStart"/>
      <w:r w:rsidRPr="00DF4D21">
        <w:rPr>
          <w:b/>
          <w:bCs/>
        </w:rPr>
        <w:t>Norteafrica</w:t>
      </w:r>
      <w:proofErr w:type="spellEnd"/>
      <w:r w:rsidRPr="00DF4D21">
        <w:t xml:space="preserve"> emergen como alternativas manufactureras. El 75% de empresas norteamericanas están </w:t>
      </w:r>
      <w:r w:rsidRPr="00DF4D21">
        <w:rPr>
          <w:b/>
          <w:bCs/>
        </w:rPr>
        <w:t>expandiendo sus relaciones de suministro</w:t>
      </w:r>
      <w:r w:rsidRPr="00DF4D21">
        <w:t>, mientras que el 65% de organizaciones europeas reducen su dependencia de productos chinos.</w:t>
      </w:r>
    </w:p>
    <w:p w14:paraId="52BF5C7A" w14:textId="77777777" w:rsidR="00DF4D21" w:rsidRPr="00DF4D21" w:rsidRDefault="00DF4D21" w:rsidP="00DF4D21">
      <w:r w:rsidRPr="00DF4D21">
        <w:t xml:space="preserve">La </w:t>
      </w:r>
      <w:r w:rsidRPr="00DF4D21">
        <w:rPr>
          <w:b/>
          <w:bCs/>
        </w:rPr>
        <w:t>agricultura estadounidense</w:t>
      </w:r>
      <w:r w:rsidRPr="00DF4D21">
        <w:t xml:space="preserve"> sufre impactos severos. Bajo escenarios de aranceles del 60%, los precios de la soja caerían casi 1 dólar por bushel y el maíz 0,13 dólares. China, que representa el 17% de las exportaciones agrícolas estadounidenses, impuso aranceles de retorsión del 10%. El almacenamiento de emergencia en bolsas plásticas y pilas en el suelo indica la </w:t>
      </w:r>
      <w:r w:rsidRPr="00DF4D21">
        <w:rPr>
          <w:b/>
          <w:bCs/>
        </w:rPr>
        <w:t>crisis ya en desarrollo</w:t>
      </w:r>
      <w:r w:rsidRPr="00DF4D21">
        <w:t>.</w:t>
      </w:r>
    </w:p>
    <w:p w14:paraId="124BA431" w14:textId="77777777" w:rsidR="00DF4D21" w:rsidRPr="00DF4D21" w:rsidRDefault="00DF4D21" w:rsidP="00DF4D21">
      <w:pPr>
        <w:rPr>
          <w:b/>
          <w:bCs/>
        </w:rPr>
      </w:pPr>
      <w:r w:rsidRPr="00DF4D21">
        <w:rPr>
          <w:b/>
          <w:bCs/>
        </w:rPr>
        <w:t>Implicaciones para Andalucía y perspectivas de medio plazo</w:t>
      </w:r>
    </w:p>
    <w:p w14:paraId="7AE6A68B" w14:textId="77777777" w:rsidR="00DF4D21" w:rsidRPr="00DF4D21" w:rsidRDefault="00DF4D21" w:rsidP="00DF4D21">
      <w:r w:rsidRPr="00DF4D21">
        <w:t xml:space="preserve">Para </w:t>
      </w:r>
      <w:r w:rsidRPr="00DF4D21">
        <w:rPr>
          <w:b/>
          <w:bCs/>
        </w:rPr>
        <w:t>Andalucía</w:t>
      </w:r>
      <w:r w:rsidRPr="00DF4D21">
        <w:t xml:space="preserve">, este entorno global presenta </w:t>
      </w:r>
      <w:r w:rsidRPr="00DF4D21">
        <w:rPr>
          <w:b/>
          <w:bCs/>
        </w:rPr>
        <w:t>oportunidades mixtas</w:t>
      </w:r>
      <w:r w:rsidRPr="00DF4D21">
        <w:t xml:space="preserve">. La diversificación comercial china crea potencial para aumentar exportaciones agroalimentarias y de aceite de oliva a mercados asiáticos alternativos. El </w:t>
      </w:r>
      <w:r w:rsidRPr="00DF4D21">
        <w:rPr>
          <w:b/>
          <w:bCs/>
        </w:rPr>
        <w:t>"</w:t>
      </w:r>
      <w:proofErr w:type="spellStart"/>
      <w:r w:rsidRPr="00DF4D21">
        <w:rPr>
          <w:b/>
          <w:bCs/>
        </w:rPr>
        <w:t>nearshoring</w:t>
      </w:r>
      <w:proofErr w:type="spellEnd"/>
      <w:r w:rsidRPr="00DF4D21">
        <w:rPr>
          <w:b/>
          <w:bCs/>
        </w:rPr>
        <w:t>"</w:t>
      </w:r>
      <w:r w:rsidRPr="00DF4D21">
        <w:t xml:space="preserve"> hacia Europa puede beneficiar sectores industriales andaluces, particularmente aeroespacial en Sevilla y Cádiz.</w:t>
      </w:r>
    </w:p>
    <w:p w14:paraId="7D900BEB" w14:textId="77777777" w:rsidR="00DF4D21" w:rsidRPr="00DF4D21" w:rsidRDefault="00DF4D21" w:rsidP="00DF4D21">
      <w:r w:rsidRPr="00DF4D21">
        <w:t xml:space="preserve">Sin embargo, los </w:t>
      </w:r>
      <w:r w:rsidRPr="00DF4D21">
        <w:rPr>
          <w:b/>
          <w:bCs/>
        </w:rPr>
        <w:t>aranceles del 15%</w:t>
      </w:r>
      <w:r w:rsidRPr="00DF4D21">
        <w:t xml:space="preserve"> del Acuerdo de Julio impactan la competitividad de exportaciones andaluzas a </w:t>
      </w:r>
      <w:proofErr w:type="gramStart"/>
      <w:r w:rsidRPr="00DF4D21">
        <w:t>EEUU</w:t>
      </w:r>
      <w:proofErr w:type="gramEnd"/>
      <w:r w:rsidRPr="00DF4D21">
        <w:t xml:space="preserve">, especialmente productos agroalimentarios y aceite de oliva. La </w:t>
      </w:r>
      <w:r w:rsidRPr="00DF4D21">
        <w:rPr>
          <w:b/>
          <w:bCs/>
        </w:rPr>
        <w:t>moderación del crecimiento alemán</w:t>
      </w:r>
      <w:r w:rsidRPr="00DF4D21">
        <w:t xml:space="preserve"> (principal mercado europeo) y la ralentización de la eurozona pueden reducir la demanda para productos andaluces.</w:t>
      </w:r>
    </w:p>
    <w:p w14:paraId="1A262618" w14:textId="77777777" w:rsidR="00DF4D21" w:rsidRPr="00DF4D21" w:rsidRDefault="00DF4D21" w:rsidP="00DF4D21">
      <w:r w:rsidRPr="00DF4D21">
        <w:t xml:space="preserve">Las </w:t>
      </w:r>
      <w:r w:rsidRPr="00DF4D21">
        <w:rPr>
          <w:b/>
          <w:bCs/>
        </w:rPr>
        <w:t>caídas proyectadas en precios de materias primas</w:t>
      </w:r>
      <w:r w:rsidRPr="00DF4D21">
        <w:t xml:space="preserve"> (-12% en 2025) benefician los costos de </w:t>
      </w:r>
      <w:proofErr w:type="gramStart"/>
      <w:r w:rsidRPr="00DF4D21">
        <w:t>importación</w:t>
      </w:r>
      <w:proofErr w:type="gramEnd"/>
      <w:r w:rsidRPr="00DF4D21">
        <w:t xml:space="preserve"> pero reducen los términos de intercambio para exportadores de productos primarios. El entorno de </w:t>
      </w:r>
      <w:r w:rsidRPr="00DF4D21">
        <w:rPr>
          <w:b/>
          <w:bCs/>
        </w:rPr>
        <w:t>tipos de interés más bajos del BCE</w:t>
      </w:r>
      <w:r w:rsidRPr="00DF4D21">
        <w:t xml:space="preserve"> (2,0% actual vs 4,0% pico) facilita el financiamiento de inversiones empresariales y proyectos de infraestructura.</w:t>
      </w:r>
    </w:p>
    <w:p w14:paraId="4490139A" w14:textId="77777777" w:rsidR="00DF4D21" w:rsidRPr="00DF4D21" w:rsidRDefault="00DF4D21" w:rsidP="00DF4D21">
      <w:r w:rsidRPr="00DF4D21">
        <w:rPr>
          <w:b/>
          <w:bCs/>
        </w:rPr>
        <w:t>Las perspectivas de crecimiento global permanecen moderadas</w:t>
      </w:r>
      <w:r w:rsidRPr="00DF4D21">
        <w:t xml:space="preserve">: el consenso entre FMI (3,0%) y Banco Mundial (2,3%) sugiere un entorno de expansión limitada. La </w:t>
      </w:r>
      <w:r w:rsidRPr="00DF4D21">
        <w:rPr>
          <w:b/>
          <w:bCs/>
        </w:rPr>
        <w:t>incertidumbre de políticas comerciales</w:t>
      </w:r>
      <w:r w:rsidRPr="00DF4D21">
        <w:t xml:space="preserve"> continuará hasta las elecciones estadounidenses de 2028, manteniendo volatilidad en mercados globales y flujos de inversión.</w:t>
      </w:r>
    </w:p>
    <w:p w14:paraId="664CCD37" w14:textId="77777777" w:rsidR="00DF4D21" w:rsidRPr="00DF4D21" w:rsidRDefault="00DF4D21" w:rsidP="00DF4D21">
      <w:r w:rsidRPr="00DF4D21">
        <w:t xml:space="preserve">La </w:t>
      </w:r>
      <w:r w:rsidRPr="00DF4D21">
        <w:rPr>
          <w:b/>
          <w:bCs/>
        </w:rPr>
        <w:t>reorganización permanente del comercio mundial</w:t>
      </w:r>
      <w:r w:rsidRPr="00DF4D21">
        <w:t xml:space="preserve"> hacia bloques regionales (RCEP en Asia-Pacífico, USMCA en América del Norte, UE en Europa) requiere que Andalucía diversifique sus mercados de exportación y fortalezca su integración en cadenas de valor europeas y mediterráneas como estrategia de adaptación a largo plazo.</w:t>
      </w:r>
    </w:p>
    <w:p w14:paraId="330E3C7A" w14:textId="77777777" w:rsidR="00EC2496" w:rsidRDefault="00EC2496"/>
    <w:sectPr w:rsidR="00EC24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21"/>
    <w:rsid w:val="00393304"/>
    <w:rsid w:val="003E7540"/>
    <w:rsid w:val="00A713E8"/>
    <w:rsid w:val="00AD43F2"/>
    <w:rsid w:val="00B07B40"/>
    <w:rsid w:val="00DF4D21"/>
    <w:rsid w:val="00E844C7"/>
    <w:rsid w:val="00EC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E85FA"/>
  <w15:chartTrackingRefBased/>
  <w15:docId w15:val="{15243E21-0E04-4EE5-AD1A-B7F3186F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4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4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4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4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4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4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4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4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4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4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4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4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4D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4D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4D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4D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4D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4D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4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4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4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4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4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4D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4D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4D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4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4D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4D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1910</Words>
  <Characters>10510</Characters>
  <Application>Microsoft Office Word</Application>
  <DocSecurity>0</DocSecurity>
  <Lines>87</Lines>
  <Paragraphs>24</Paragraphs>
  <ScaleCrop>false</ScaleCrop>
  <Company/>
  <LinksUpToDate>false</LinksUpToDate>
  <CharactersWithSpaces>12396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Hidalgo Perez</dc:creator>
  <cp:keywords/>
  <dc:description/>
  <cp:lastModifiedBy>Manuel Alejandro Hidalgo Perez</cp:lastModifiedBy>
  <cp:revision>1</cp:revision>
  <dcterms:created xsi:type="dcterms:W3CDTF">2025-08-18T08:02:00Z</dcterms:created>
  <dcterms:modified xsi:type="dcterms:W3CDTF">2025-08-18T08:03:00Z</dcterms:modified>
</cp:coreProperties>
</file>