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54A69" w14:textId="77777777" w:rsidR="006437BA" w:rsidRPr="006437BA" w:rsidRDefault="006437BA" w:rsidP="006437BA">
      <w:pPr>
        <w:rPr>
          <w:b/>
          <w:bCs/>
        </w:rPr>
      </w:pPr>
      <w:r w:rsidRPr="006437BA">
        <w:rPr>
          <w:b/>
          <w:bCs/>
        </w:rPr>
        <w:t>1. Estimación del crecimiento</w:t>
      </w:r>
    </w:p>
    <w:p w14:paraId="52E46061" w14:textId="77777777" w:rsidR="006437BA" w:rsidRPr="006437BA" w:rsidRDefault="006437BA" w:rsidP="006437BA">
      <w:pPr>
        <w:jc w:val="both"/>
      </w:pPr>
      <w:r w:rsidRPr="006437BA">
        <w:t xml:space="preserve">La economía andaluza consolidó su tendencia expansiva durante el segundo trimestre de 2025, registrando un crecimiento interanual del 3,0%, que se compara favorablemente con el 3,2% alcanzado en el trimestre precedente. En términos </w:t>
      </w:r>
      <w:proofErr w:type="spellStart"/>
      <w:r w:rsidRPr="006437BA">
        <w:t>intertrimestrales</w:t>
      </w:r>
      <w:proofErr w:type="spellEnd"/>
      <w:r w:rsidRPr="006437BA">
        <w:t>, la región experimentó un impulso del 0,7%, superior al 0,6% del primer trimestre, evidenciando una aceleración en el ritmo de actividad económica.</w:t>
      </w:r>
    </w:p>
    <w:p w14:paraId="1E5258F5" w14:textId="77777777" w:rsidR="006437BA" w:rsidRPr="006437BA" w:rsidRDefault="006437BA" w:rsidP="006437BA">
      <w:pPr>
        <w:jc w:val="both"/>
      </w:pPr>
      <w:r w:rsidRPr="006437BA">
        <w:t xml:space="preserve">Esta mejora en la dinámica trimestral sugiere que la economía andaluza ha logrado sortear exitosamente las dificultades coyunturales que marcaron el inicio del ejercicio. El repunte en el crecimiento </w:t>
      </w:r>
      <w:proofErr w:type="spellStart"/>
      <w:r w:rsidRPr="006437BA">
        <w:t>intertrimestral</w:t>
      </w:r>
      <w:proofErr w:type="spellEnd"/>
      <w:r w:rsidRPr="006437BA">
        <w:t xml:space="preserve"> indica una recuperación del impulso económico, tras los efectos negativos derivados de factores estacionales y climatológicos que caracterizaron los primeros meses del año.</w:t>
      </w:r>
    </w:p>
    <w:p w14:paraId="582B822C" w14:textId="77777777" w:rsidR="006437BA" w:rsidRPr="006437BA" w:rsidRDefault="006437BA" w:rsidP="006437BA">
      <w:pPr>
        <w:jc w:val="both"/>
      </w:pPr>
      <w:r w:rsidRPr="006437BA">
        <w:t>El segundo trimestre se ha caracterizado por una mayor sincronización entre los diferentes motores de crecimiento regional. A diferencia del período anterior, donde el empuje económico dependía fundamentalmente del mercado laboral para compensar la debilidad turística, en este trimestre se observa una contribución más equilibrada de los distintos sectores productivos.</w:t>
      </w:r>
    </w:p>
    <w:p w14:paraId="182DC3A7" w14:textId="77777777" w:rsidR="006437BA" w:rsidRPr="006437BA" w:rsidRDefault="006437BA" w:rsidP="006437BA">
      <w:pPr>
        <w:jc w:val="both"/>
      </w:pPr>
      <w:r w:rsidRPr="006437BA">
        <w:t>Esta evolución refleja la maduración de las tendencias positivas que se venían gestando en la economía andaluza, especialmente en aquellos sectores menos dependientes de la coyuntura internacional. El fortalecimiento de la base productiva regional, junto con la mejora gradual de las condiciones de demanda, ha permitido que la región mantenga un diferencial de crecimiento sólido en un contexto nacional e internacional marcado por la incertidumbre.</w:t>
      </w:r>
    </w:p>
    <w:p w14:paraId="2EB7A633" w14:textId="77777777" w:rsidR="006437BA" w:rsidRPr="006437BA" w:rsidRDefault="006437BA" w:rsidP="006437BA">
      <w:pPr>
        <w:jc w:val="both"/>
      </w:pPr>
      <w:r w:rsidRPr="006437BA">
        <w:t xml:space="preserve">La trayectoria ascendente del crecimiento </w:t>
      </w:r>
      <w:proofErr w:type="spellStart"/>
      <w:r w:rsidRPr="006437BA">
        <w:t>intertrimestral</w:t>
      </w:r>
      <w:proofErr w:type="spellEnd"/>
      <w:r w:rsidRPr="006437BA">
        <w:t xml:space="preserve"> apunta hacia una consolidación de la fase expansiva de la economía andaluza, sustentada en fundamentos económicos cada vez más robustos y diversificados.</w:t>
      </w:r>
    </w:p>
    <w:p w14:paraId="53089F22" w14:textId="77777777" w:rsidR="006437BA" w:rsidRPr="006437BA" w:rsidRDefault="006437BA" w:rsidP="006437BA">
      <w:pPr>
        <w:jc w:val="both"/>
        <w:rPr>
          <w:b/>
          <w:bCs/>
        </w:rPr>
      </w:pPr>
      <w:r w:rsidRPr="006437BA">
        <w:rPr>
          <w:b/>
          <w:bCs/>
        </w:rPr>
        <w:t>2. Inflación y salarios</w:t>
      </w:r>
    </w:p>
    <w:p w14:paraId="0CCDC215" w14:textId="77777777" w:rsidR="006437BA" w:rsidRPr="006437BA" w:rsidRDefault="006437BA" w:rsidP="006437BA">
      <w:pPr>
        <w:jc w:val="both"/>
      </w:pPr>
      <w:r w:rsidRPr="006437BA">
        <w:t>Durante el segundo trimestre de 2025, la evolución de los precios en Andalucía experimentó un ligero repunte que mantiene las presiones inflacionistas dentro de parámetros controlados. El Índice de Precios al Consumo (IPC) general se situó en el 2,7% en julio, tres décimas por encima del registro de marzo, igualando el dato nacional y confirmando la convergencia de la inflación regional con la media española.</w:t>
      </w:r>
    </w:p>
    <w:p w14:paraId="4C9B543A" w14:textId="77777777" w:rsidR="006437BA" w:rsidRPr="006437BA" w:rsidRDefault="006437BA" w:rsidP="006437BA">
      <w:pPr>
        <w:jc w:val="both"/>
      </w:pPr>
      <w:r w:rsidRPr="006437BA">
        <w:t>El índice subyacente mostró un comportamiento similar, registrando un 2,2% en julio, manteniendo una décima de diferencia respecto al dato nacional (2,3%). Esta evolución refleja que las presiones de precios subyacentes se mantienen estables y dentro del rango objetivo del Banco Central Europeo, sugiriendo un entorno inflacionista bajo control.</w:t>
      </w:r>
    </w:p>
    <w:p w14:paraId="7DFB2289" w14:textId="77777777" w:rsidR="006437BA" w:rsidRPr="006437BA" w:rsidRDefault="006437BA" w:rsidP="006437BA">
      <w:pPr>
        <w:jc w:val="both"/>
      </w:pPr>
      <w:r w:rsidRPr="006437BA">
        <w:t>En el ámbito sectorial, destaca la normalización gradual de los precios de alimentación y bebidas no alcohólicas, que se situaron en el 2,3% en julio, acercándose progresivamente al comportamiento nacional (2,7%). Esta convergencia indica una estabilización de los precios alimentarios tras los episodios de volatilidad de trimestres anteriores.</w:t>
      </w:r>
    </w:p>
    <w:p w14:paraId="2668F06F" w14:textId="77777777" w:rsidR="006437BA" w:rsidRPr="006437BA" w:rsidRDefault="006437BA" w:rsidP="006437BA">
      <w:pPr>
        <w:jc w:val="both"/>
      </w:pPr>
      <w:r w:rsidRPr="006437BA">
        <w:t xml:space="preserve">El sector turístico experimentó una notable recuperación en su estructura de precios durante el segundo trimestre. Los indicadores hoteleros mostraron signos de fortalecimiento, con el índice de precios hoteleros registrando un crecimiento del 3,4% </w:t>
      </w:r>
      <w:r w:rsidRPr="006437BA">
        <w:lastRenderedPageBreak/>
        <w:t>interanual en junio, mientras que la tarifa media diaria avanzó un 7,6% y los ingresos por habitación disponible se incrementaron un 11,2%. Esta evolución contrasta significativamente con la debilidad observada en el primer trimestre, sugiriendo una recuperación de la demanda turística y un ajuste positivo de las estrategias de precios del sector.</w:t>
      </w:r>
    </w:p>
    <w:p w14:paraId="22DCA62C" w14:textId="77777777" w:rsidR="006437BA" w:rsidRPr="006437BA" w:rsidRDefault="006437BA" w:rsidP="006437BA">
      <w:pPr>
        <w:jc w:val="both"/>
      </w:pPr>
      <w:r w:rsidRPr="006437BA">
        <w:t>En materia salarial, los aumentos pactados en convenio se situaron en el 2,79% para julio, manteniéndose por debajo del incremento nacional del 3,46%. No obstante, el crecimiento observado en las remuneraciones de los asalariados sugiere una mejora progresiva en las condiciones laborales, respaldada por el dinamismo del mercado de trabajo regional.</w:t>
      </w:r>
    </w:p>
    <w:p w14:paraId="69042CF6" w14:textId="77777777" w:rsidR="006437BA" w:rsidRPr="006437BA" w:rsidRDefault="006437BA" w:rsidP="006437BA">
      <w:pPr>
        <w:jc w:val="both"/>
        <w:rPr>
          <w:b/>
          <w:bCs/>
        </w:rPr>
      </w:pPr>
      <w:r w:rsidRPr="006437BA">
        <w:rPr>
          <w:b/>
          <w:bCs/>
        </w:rPr>
        <w:t>3. El mercado de trabajo</w:t>
      </w:r>
    </w:p>
    <w:p w14:paraId="603DB71A" w14:textId="77777777" w:rsidR="006437BA" w:rsidRPr="006437BA" w:rsidRDefault="006437BA" w:rsidP="006437BA">
      <w:pPr>
        <w:jc w:val="both"/>
      </w:pPr>
      <w:r w:rsidRPr="006437BA">
        <w:t xml:space="preserve">El mercado laboral andaluz experimentó una evolución extraordinariamente positiva durante el segundo trimestre de 2025, revirtiendo completamente las dificultades observadas en los primeros meses del año. Según la Encuesta de Población Activa (EPA), el número de ocupados alcanzó las 3.546.700 personas, registrando un crecimiento del 2,0% tanto en términos interanuales como </w:t>
      </w:r>
      <w:proofErr w:type="spellStart"/>
      <w:r w:rsidRPr="006437BA">
        <w:t>intertrimestrales</w:t>
      </w:r>
      <w:proofErr w:type="spellEnd"/>
      <w:r w:rsidRPr="006437BA">
        <w:t>. Este comportamiento supone una notable recuperación respecto al primer trimestre, cuando el empleo había experimentado una ligera contracción del 0,4%.</w:t>
      </w:r>
    </w:p>
    <w:p w14:paraId="3AA64334" w14:textId="77777777" w:rsidR="006437BA" w:rsidRPr="006437BA" w:rsidRDefault="006437BA" w:rsidP="006437BA">
      <w:pPr>
        <w:jc w:val="both"/>
      </w:pPr>
      <w:r w:rsidRPr="006437BA">
        <w:t>La creación neta de empleo fue especialmente intensa, con 70.600 nuevos ocupados respecto al trimestre anterior y 67.900 más en comparación interanual. Esta evolución se tradujo en una tasa de empleo del 48,3%, consolidando la mejora estructural del mercado laboral regional.</w:t>
      </w:r>
    </w:p>
    <w:p w14:paraId="176CE4CE" w14:textId="77777777" w:rsidR="006437BA" w:rsidRPr="006437BA" w:rsidRDefault="006437BA" w:rsidP="006437BA">
      <w:pPr>
        <w:jc w:val="both"/>
      </w:pPr>
      <w:r w:rsidRPr="006437BA">
        <w:t>El desempleo experimentó una reducción significativa, descendiendo a 618.600 personas paradas, lo que representa una disminución del 7,6% respecto al trimestre anterior y del 8,5% en términos interanuales. La tasa de paro se situó en el 14,9%, registrando una caída de 1,3 puntos respecto al trimestre precedente y de 1,4 puntos en comparación interanual. Esta evolución refleja una aceleración en el proceso de convergencia hacia niveles de desempleo más moderados.</w:t>
      </w:r>
    </w:p>
    <w:p w14:paraId="47926E2E" w14:textId="77777777" w:rsidR="006437BA" w:rsidRPr="006437BA" w:rsidRDefault="006437BA" w:rsidP="006437BA">
      <w:pPr>
        <w:jc w:val="both"/>
      </w:pPr>
      <w:r w:rsidRPr="006437BA">
        <w:t xml:space="preserve">La dinámica sectorial del empleo mostró un comportamiento claramente expansivo en la mayoría de </w:t>
      </w:r>
      <w:proofErr w:type="gramStart"/>
      <w:r w:rsidRPr="006437BA">
        <w:t>actividades</w:t>
      </w:r>
      <w:proofErr w:type="gramEnd"/>
      <w:r w:rsidRPr="006437BA">
        <w:t xml:space="preserve"> económicas. El sector servicios lideró la creación de empleo con 78.300 nuevos puestos de trabajo, seguido de la construcción (11.800 empleos) y la industria (8.700 empleos). Por el contrario, la agricultura registró una destrucción de 28.300 empleos, reflejando la finalización de las campañas agrícolas estacionales.</w:t>
      </w:r>
    </w:p>
    <w:p w14:paraId="5799AF27" w14:textId="77777777" w:rsidR="006437BA" w:rsidRPr="006437BA" w:rsidRDefault="006437BA" w:rsidP="006437BA">
      <w:pPr>
        <w:jc w:val="both"/>
      </w:pPr>
      <w:r w:rsidRPr="006437BA">
        <w:t>En cuanto a las modalidades contractuales, se observó un crecimiento equilibrado del empleo asalariado, que aumentó en 70.700 personas. Los contratos indefinidos crecieron en 40.300 personas (1,7%) y los temporales en 30.400 (5,5%), evidenciando un incremento proporcional de la estabilidad laboral.</w:t>
      </w:r>
    </w:p>
    <w:p w14:paraId="3DE16035" w14:textId="77777777" w:rsidR="006437BA" w:rsidRPr="006437BA" w:rsidRDefault="006437BA" w:rsidP="006437BA">
      <w:pPr>
        <w:jc w:val="both"/>
      </w:pPr>
      <w:r w:rsidRPr="006437BA">
        <w:t>El análisis por género revela una mejora particularmente intensa en el empleo femenino, con una reducción de la tasa de paro de 2,4 puntos hasta el 17,2%, mientras que la tasa masculina experimentó un descenso más moderado de 0,3 puntos, situándose en el 12,9%.</w:t>
      </w:r>
    </w:p>
    <w:p w14:paraId="0A34A075" w14:textId="77777777" w:rsidR="006437BA" w:rsidRPr="006437BA" w:rsidRDefault="006437BA" w:rsidP="006437BA">
      <w:pPr>
        <w:jc w:val="both"/>
      </w:pPr>
      <w:r w:rsidRPr="006437BA">
        <w:t>La población activa se incrementó hasta las 4.165.300 personas, con una tasa de actividad del 56,8%, lo que supone un aumento de 0,3 puntos respecto al trimestre anterior. Especialmente positiva resulta la reducción del número de hogares con todos sus miembros activos en situación de desempleo, que disminuyó un 6,0% trimestral hasta las 202.500 familias.</w:t>
      </w:r>
    </w:p>
    <w:p w14:paraId="7FA9AF14" w14:textId="77777777" w:rsidR="006437BA" w:rsidRPr="006437BA" w:rsidRDefault="006437BA" w:rsidP="006437BA">
      <w:pPr>
        <w:jc w:val="both"/>
        <w:rPr>
          <w:b/>
          <w:bCs/>
        </w:rPr>
      </w:pPr>
      <w:r w:rsidRPr="006437BA">
        <w:rPr>
          <w:b/>
          <w:bCs/>
        </w:rPr>
        <w:t>4. Por el lado de la demanda</w:t>
      </w:r>
    </w:p>
    <w:p w14:paraId="2BAE8FC6" w14:textId="77777777" w:rsidR="006437BA" w:rsidRPr="006437BA" w:rsidRDefault="006437BA" w:rsidP="006437BA">
      <w:pPr>
        <w:jc w:val="both"/>
      </w:pPr>
      <w:r w:rsidRPr="006437BA">
        <w:t>La evolución de los componentes de la demanda durante el segundo trimestre de 2025 mostró un comportamiento diferenciado que refleja tanto la fortaleza de la demanda interna como los desafíos persistentes en el ámbito exterior. La demanda regional experimentó un crecimiento robusto que aportó considerablemente al impulso económico de la región.</w:t>
      </w:r>
    </w:p>
    <w:p w14:paraId="62CE5BFF" w14:textId="77777777" w:rsidR="006437BA" w:rsidRPr="006437BA" w:rsidRDefault="006437BA" w:rsidP="006437BA">
      <w:pPr>
        <w:jc w:val="both"/>
      </w:pPr>
      <w:r w:rsidRPr="006437BA">
        <w:t xml:space="preserve">El </w:t>
      </w:r>
      <w:r w:rsidRPr="006437BA">
        <w:rPr>
          <w:b/>
          <w:bCs/>
        </w:rPr>
        <w:t>consumo privado</w:t>
      </w:r>
      <w:r w:rsidRPr="006437BA">
        <w:t xml:space="preserve"> consolidó su papel como principal motor de crecimiento, manteniendo una evolución favorable que se tradujo en una contribución significativa al crecimiento del PIB regional. Este dinamismo del consumo de los hogares refleja la mejora en las condiciones del mercado laboral y la gradual recuperación del poder adquisitivo de las familias andaluzas, tras los episodios inflacionistas de períodos anteriores.</w:t>
      </w:r>
    </w:p>
    <w:p w14:paraId="21AC20E7" w14:textId="77777777" w:rsidR="006437BA" w:rsidRPr="006437BA" w:rsidRDefault="006437BA" w:rsidP="006437BA">
      <w:pPr>
        <w:jc w:val="both"/>
      </w:pPr>
      <w:r w:rsidRPr="006437BA">
        <w:t xml:space="preserve">El </w:t>
      </w:r>
      <w:r w:rsidRPr="006437BA">
        <w:rPr>
          <w:b/>
          <w:bCs/>
        </w:rPr>
        <w:t>gasto en consumo final del sector público</w:t>
      </w:r>
      <w:r w:rsidRPr="006437BA">
        <w:t xml:space="preserve"> mostró igualmente una evolución positiva, contribuyendo al sostén de la demanda agregada regional. Esta evolución sugiere el mantenimiento de las políticas de apoyo al crecimiento desde el ámbito de las administraciones públicas.</w:t>
      </w:r>
    </w:p>
    <w:p w14:paraId="6376FA88" w14:textId="77777777" w:rsidR="006437BA" w:rsidRPr="006437BA" w:rsidRDefault="006437BA" w:rsidP="006437BA">
      <w:pPr>
        <w:jc w:val="both"/>
      </w:pPr>
      <w:r w:rsidRPr="006437BA">
        <w:t xml:space="preserve">La </w:t>
      </w:r>
      <w:r w:rsidRPr="006437BA">
        <w:rPr>
          <w:b/>
          <w:bCs/>
        </w:rPr>
        <w:t>inversión</w:t>
      </w:r>
      <w:r w:rsidRPr="006437BA">
        <w:t xml:space="preserve"> experimentó un comportamiento especialmente dinámico durante el trimestre, evidenciando la recuperación de la confianza empresarial y el restablecimiento de los planes de expansión productiva. Este componente mostró un crecimiento sólido que se tradujo en una aportación sustancial al crecimiento económico regional, confirmando el proceso de normalización de las decisiones de inversión empresarial.</w:t>
      </w:r>
    </w:p>
    <w:p w14:paraId="66763195" w14:textId="77777777" w:rsidR="006437BA" w:rsidRPr="006437BA" w:rsidRDefault="006437BA" w:rsidP="006437BA">
      <w:pPr>
        <w:jc w:val="both"/>
      </w:pPr>
      <w:r w:rsidRPr="006437BA">
        <w:t>Los indicadores disponibles para el trimestre apuntan a una evolución favorable de la inversión en bienes de equipo, mientras que la inversión en construcción continuó mostrando signos de recuperación. El dinamismo hipotecario registrado durante el período, con incrementos notables tanto en el número de operaciones como en el volumen de financiación, confirma la solidez de la demanda de inversión residencial.</w:t>
      </w:r>
    </w:p>
    <w:p w14:paraId="5F591CD5" w14:textId="77777777" w:rsidR="006437BA" w:rsidRPr="006437BA" w:rsidRDefault="006437BA" w:rsidP="006437BA">
      <w:pPr>
        <w:jc w:val="both"/>
      </w:pPr>
      <w:r w:rsidRPr="006437BA">
        <w:t xml:space="preserve">El </w:t>
      </w:r>
      <w:r w:rsidRPr="006437BA">
        <w:rPr>
          <w:b/>
          <w:bCs/>
        </w:rPr>
        <w:t>sector exterior</w:t>
      </w:r>
      <w:r w:rsidRPr="006437BA">
        <w:t xml:space="preserve"> mantuvo un perfil más moderado, con un crecimiento equilibrado tanto en exportaciones como en importaciones de bienes y servicios. Esta evolución, aunque positiva en términos interanuales, supone una contribución ligeramente negativa al crecimiento del PIB regional, reflejando la persistencia de los desafíos derivados del complejo entorno internacional.</w:t>
      </w:r>
    </w:p>
    <w:p w14:paraId="78B4134F" w14:textId="77777777" w:rsidR="006437BA" w:rsidRPr="006437BA" w:rsidRDefault="006437BA" w:rsidP="006437BA">
      <w:pPr>
        <w:jc w:val="both"/>
      </w:pPr>
      <w:r w:rsidRPr="006437BA">
        <w:t>El comportamiento del comercio exterior andaluz durante este período evidencia la capacidad de adaptación de las empresas regionales a un contexto global marcado por la incertidumbre, manteniendo niveles de actividad exportadora estables pese a las tensiones comerciales internacionales.</w:t>
      </w:r>
    </w:p>
    <w:p w14:paraId="03648B25" w14:textId="77777777" w:rsidR="006437BA" w:rsidRPr="006437BA" w:rsidRDefault="006437BA" w:rsidP="006437BA">
      <w:pPr>
        <w:jc w:val="both"/>
        <w:rPr>
          <w:b/>
          <w:bCs/>
        </w:rPr>
      </w:pPr>
      <w:r w:rsidRPr="006437BA">
        <w:rPr>
          <w:b/>
          <w:bCs/>
        </w:rPr>
        <w:t>5. Por el lado de la oferta</w:t>
      </w:r>
    </w:p>
    <w:p w14:paraId="433AC616" w14:textId="77777777" w:rsidR="006437BA" w:rsidRPr="006437BA" w:rsidRDefault="006437BA" w:rsidP="006437BA">
      <w:pPr>
        <w:jc w:val="both"/>
      </w:pPr>
      <w:r w:rsidRPr="006437BA">
        <w:t xml:space="preserve">El análisis sectorial de la economía andaluza durante el segundo trimestre de 2025 reveló un panorama de crecimiento generalizado, con un comportamiento especialmente dinámico en la mayoría de </w:t>
      </w:r>
      <w:proofErr w:type="gramStart"/>
      <w:r w:rsidRPr="006437BA">
        <w:t>ramas</w:t>
      </w:r>
      <w:proofErr w:type="gramEnd"/>
      <w:r w:rsidRPr="006437BA">
        <w:t xml:space="preserve"> productivas que contrastó notablemente con las dificultades observadas en el primer trimestre del año.</w:t>
      </w:r>
    </w:p>
    <w:p w14:paraId="40CE03F2" w14:textId="77777777" w:rsidR="006437BA" w:rsidRPr="006437BA" w:rsidRDefault="006437BA" w:rsidP="006437BA">
      <w:pPr>
        <w:jc w:val="both"/>
      </w:pPr>
      <w:r w:rsidRPr="006437BA">
        <w:t xml:space="preserve">El </w:t>
      </w:r>
      <w:r w:rsidRPr="006437BA">
        <w:rPr>
          <w:b/>
          <w:bCs/>
        </w:rPr>
        <w:t>sector industrial</w:t>
      </w:r>
      <w:r w:rsidRPr="006437BA">
        <w:t xml:space="preserve"> lideró el impulso productivo del trimestre, consolidando su posición como uno de los principales motores de crecimiento económico regional. La actividad industrial experimentó un crecimiento robusto que se tradujo en una contribución muy significativa al avance del PIB andaluz. Las ramas industriales mostraron un dinamismo particularmente intenso, destacando el comportamiento positivo de la industria manufacturera. Este desempeño confirma la fortaleza competitiva del tejido industrial andaluz y su capacidad de adaptación a las condiciones cambiantes del mercado.</w:t>
      </w:r>
    </w:p>
    <w:p w14:paraId="3A7A3F78" w14:textId="77777777" w:rsidR="006437BA" w:rsidRPr="006437BA" w:rsidRDefault="006437BA" w:rsidP="006437BA">
      <w:pPr>
        <w:jc w:val="both"/>
      </w:pPr>
      <w:r w:rsidRPr="006437BA">
        <w:t xml:space="preserve">El </w:t>
      </w:r>
      <w:r w:rsidRPr="006437BA">
        <w:rPr>
          <w:b/>
          <w:bCs/>
        </w:rPr>
        <w:t>sector de la construcción</w:t>
      </w:r>
      <w:r w:rsidRPr="006437BA">
        <w:t xml:space="preserve"> continuó su proceso de recuperación, registrando un crecimiento sólido que aporta al dinamismo general de la economía regional. La evolución positiva de este sector refleja tanto la reactivación de la demanda residencial como el impulso derivado de la inversión en infraestructuras públicas. El comportamiento del sector durante el trimestre evidencia la consolidación de la fase expansiva iniciada en períodos anteriores.</w:t>
      </w:r>
    </w:p>
    <w:p w14:paraId="7EE1AF4A" w14:textId="77777777" w:rsidR="006437BA" w:rsidRPr="006437BA" w:rsidRDefault="006437BA" w:rsidP="006437BA">
      <w:pPr>
        <w:jc w:val="both"/>
      </w:pPr>
      <w:r w:rsidRPr="006437BA">
        <w:t xml:space="preserve">El </w:t>
      </w:r>
      <w:r w:rsidRPr="006437BA">
        <w:rPr>
          <w:b/>
          <w:bCs/>
        </w:rPr>
        <w:t>sector servicios</w:t>
      </w:r>
      <w:r w:rsidRPr="006437BA">
        <w:t xml:space="preserve"> presentó una evolución muy favorable, con un crecimiento generalizado que se extendió a todas sus ramas de actividad. El sector mostró un dinamismo particular en varios subsectores, destacando especialmente las actividades artísticas, recreativas y otros servicios, así como las actividades profesionales. Este comportamiento refleja tanto la recuperación del consumo interno como la progresiva normalización de las actividades vinculadas al ocio y al turismo tras las dificultades del trimestre anterior.</w:t>
      </w:r>
    </w:p>
    <w:p w14:paraId="330E9BC6" w14:textId="77777777" w:rsidR="006437BA" w:rsidRPr="006437BA" w:rsidRDefault="006437BA" w:rsidP="006437BA">
      <w:pPr>
        <w:jc w:val="both"/>
      </w:pPr>
      <w:r w:rsidRPr="006437BA">
        <w:t>La mejora en el subsector de información y comunicaciones evidencia el proceso de digitalización de la economía andaluza, mientras que el dinamismo de las actividades profesionales confirma la evolución hacia servicios de mayor valor añadido. El sector turístico, tras las dificultades del primer trimestre, mostró signos de recuperación que se reflejaron en una evolución más positiva de los indicadores sectoriales.</w:t>
      </w:r>
    </w:p>
    <w:p w14:paraId="527AD85D" w14:textId="77777777" w:rsidR="006437BA" w:rsidRPr="006437BA" w:rsidRDefault="006437BA" w:rsidP="006437BA">
      <w:pPr>
        <w:jc w:val="both"/>
      </w:pPr>
      <w:r w:rsidRPr="006437BA">
        <w:t xml:space="preserve">El </w:t>
      </w:r>
      <w:r w:rsidRPr="006437BA">
        <w:rPr>
          <w:b/>
          <w:bCs/>
        </w:rPr>
        <w:t>sector primario</w:t>
      </w:r>
      <w:r w:rsidRPr="006437BA">
        <w:t xml:space="preserve"> experimentó una contracción durante el trimestre, reflejando fundamentalmente los efectos estacionales característicos de las actividades agrícolas y ganaderas. Esta evolución, aunque negativa, responde a patrones habituales del sector y no compromete las perspectivas de recuperación a medio plazo. La evolución del sector agrario se vio influenciada por factores climatológicos y por la finalización de determinadas campañas productivas.</w:t>
      </w:r>
    </w:p>
    <w:p w14:paraId="4DCB5508" w14:textId="77777777" w:rsidR="006437BA" w:rsidRPr="006437BA" w:rsidRDefault="006437BA" w:rsidP="006437BA">
      <w:pPr>
        <w:jc w:val="both"/>
      </w:pPr>
      <w:r w:rsidRPr="006437BA">
        <w:t xml:space="preserve">En conjunto, la estructura productiva andaluza mostró durante el segundo trimestre una notable diversificación en sus fuentes de crecimiento, con contribuciones positivas de la mayoría de </w:t>
      </w:r>
      <w:proofErr w:type="gramStart"/>
      <w:r w:rsidRPr="006437BA">
        <w:t>sectores</w:t>
      </w:r>
      <w:proofErr w:type="gramEnd"/>
      <w:r w:rsidRPr="006437BA">
        <w:t xml:space="preserve"> económicos que evidencian la solidez y equilibrio del tejido productivo regional.</w:t>
      </w:r>
    </w:p>
    <w:p w14:paraId="343A8719" w14:textId="750B4AC4" w:rsidR="00EC2496" w:rsidRPr="006437BA" w:rsidRDefault="00EC2496" w:rsidP="006437BA">
      <w:pPr>
        <w:jc w:val="both"/>
      </w:pPr>
    </w:p>
    <w:sectPr w:rsidR="00EC2496" w:rsidRPr="006437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BA"/>
    <w:rsid w:val="003E7540"/>
    <w:rsid w:val="006437BA"/>
    <w:rsid w:val="009264B7"/>
    <w:rsid w:val="00A713E8"/>
    <w:rsid w:val="00AD43F2"/>
    <w:rsid w:val="00B07B40"/>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6921"/>
  <w15:chartTrackingRefBased/>
  <w15:docId w15:val="{3CFA02E7-4BFA-4982-8B8D-EC728B6C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3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3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3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3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3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7BA"/>
    <w:rPr>
      <w:rFonts w:eastAsiaTheme="majorEastAsia" w:cstheme="majorBidi"/>
      <w:color w:val="272727" w:themeColor="text1" w:themeTint="D8"/>
    </w:rPr>
  </w:style>
  <w:style w:type="paragraph" w:styleId="Ttulo">
    <w:name w:val="Title"/>
    <w:basedOn w:val="Normal"/>
    <w:next w:val="Normal"/>
    <w:link w:val="TtuloCar"/>
    <w:uiPriority w:val="10"/>
    <w:qFormat/>
    <w:rsid w:val="0064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7BA"/>
    <w:pPr>
      <w:spacing w:before="160"/>
      <w:jc w:val="center"/>
    </w:pPr>
    <w:rPr>
      <w:i/>
      <w:iCs/>
      <w:color w:val="404040" w:themeColor="text1" w:themeTint="BF"/>
    </w:rPr>
  </w:style>
  <w:style w:type="character" w:customStyle="1" w:styleId="CitaCar">
    <w:name w:val="Cita Car"/>
    <w:basedOn w:val="Fuentedeprrafopredeter"/>
    <w:link w:val="Cita"/>
    <w:uiPriority w:val="29"/>
    <w:rsid w:val="006437BA"/>
    <w:rPr>
      <w:i/>
      <w:iCs/>
      <w:color w:val="404040" w:themeColor="text1" w:themeTint="BF"/>
    </w:rPr>
  </w:style>
  <w:style w:type="paragraph" w:styleId="Prrafodelista">
    <w:name w:val="List Paragraph"/>
    <w:basedOn w:val="Normal"/>
    <w:uiPriority w:val="34"/>
    <w:qFormat/>
    <w:rsid w:val="006437BA"/>
    <w:pPr>
      <w:ind w:left="720"/>
      <w:contextualSpacing/>
    </w:pPr>
  </w:style>
  <w:style w:type="character" w:styleId="nfasisintenso">
    <w:name w:val="Intense Emphasis"/>
    <w:basedOn w:val="Fuentedeprrafopredeter"/>
    <w:uiPriority w:val="21"/>
    <w:qFormat/>
    <w:rsid w:val="006437BA"/>
    <w:rPr>
      <w:i/>
      <w:iCs/>
      <w:color w:val="0F4761" w:themeColor="accent1" w:themeShade="BF"/>
    </w:rPr>
  </w:style>
  <w:style w:type="paragraph" w:styleId="Citadestacada">
    <w:name w:val="Intense Quote"/>
    <w:basedOn w:val="Normal"/>
    <w:next w:val="Normal"/>
    <w:link w:val="CitadestacadaCar"/>
    <w:uiPriority w:val="30"/>
    <w:qFormat/>
    <w:rsid w:val="0064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7BA"/>
    <w:rPr>
      <w:i/>
      <w:iCs/>
      <w:color w:val="0F4761" w:themeColor="accent1" w:themeShade="BF"/>
    </w:rPr>
  </w:style>
  <w:style w:type="character" w:styleId="Referenciaintensa">
    <w:name w:val="Intense Reference"/>
    <w:basedOn w:val="Fuentedeprrafopredeter"/>
    <w:uiPriority w:val="32"/>
    <w:qFormat/>
    <w:rsid w:val="00643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1878</Words>
  <Characters>10335</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cp:revision>
  <dcterms:created xsi:type="dcterms:W3CDTF">2025-08-21T08:08:00Z</dcterms:created>
  <dcterms:modified xsi:type="dcterms:W3CDTF">2025-08-21T08:12:00Z</dcterms:modified>
</cp:coreProperties>
</file>