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54A69" w14:textId="77777777" w:rsidR="006437BA" w:rsidRPr="006437BA" w:rsidRDefault="006437BA" w:rsidP="006437BA">
      <w:pPr>
        <w:rPr>
          <w:b/>
          <w:bCs/>
        </w:rPr>
      </w:pPr>
      <w:r w:rsidRPr="006437BA">
        <w:rPr>
          <w:b/>
          <w:bCs/>
        </w:rPr>
        <w:t>1. Estimación del crecimiento</w:t>
      </w:r>
    </w:p>
    <w:p w14:paraId="52E46061" w14:textId="3CE79EA0" w:rsidR="006437BA" w:rsidRDefault="005A4651" w:rsidP="006437BA">
      <w:pPr>
        <w:jc w:val="both"/>
      </w:pPr>
      <w:r>
        <w:t>El</w:t>
      </w:r>
      <w:r w:rsidRPr="005A4651">
        <w:t xml:space="preserve"> Indicador Sintético de Actividad de Andalucía del Observatorio Económico de Andalucía (IOEA)</w:t>
      </w:r>
      <w:r>
        <w:t xml:space="preserve"> en el segundo trimestre de 2025 registró un crecimiento del 0.7% </w:t>
      </w:r>
      <w:proofErr w:type="spellStart"/>
      <w:r>
        <w:t>intertrimestral</w:t>
      </w:r>
      <w:proofErr w:type="spellEnd"/>
      <w:r>
        <w:t xml:space="preserve"> respecto al trimestre inmediatamente anterior. </w:t>
      </w:r>
      <w:r w:rsidR="0062169D">
        <w:t xml:space="preserve">Con este dato, </w:t>
      </w:r>
      <w:r>
        <w:t>l</w:t>
      </w:r>
      <w:r w:rsidR="006437BA" w:rsidRPr="006437BA">
        <w:t>a economía andaluza consolid</w:t>
      </w:r>
      <w:r w:rsidR="0062169D">
        <w:t>a</w:t>
      </w:r>
      <w:r w:rsidR="006437BA" w:rsidRPr="006437BA">
        <w:t xml:space="preserve"> su tendencia expansiva durante </w:t>
      </w:r>
      <w:r>
        <w:t>este período</w:t>
      </w:r>
      <w:r w:rsidR="006437BA" w:rsidRPr="006437BA">
        <w:t xml:space="preserve">, </w:t>
      </w:r>
      <w:r w:rsidR="0062169D">
        <w:t>obteniendo</w:t>
      </w:r>
      <w:r w:rsidR="006437BA" w:rsidRPr="006437BA">
        <w:t xml:space="preserve"> un crecimiento interanual del 3,0%, </w:t>
      </w:r>
      <w:r>
        <w:t xml:space="preserve">algo inferior al estimado para el primer trimestre, </w:t>
      </w:r>
      <w:r w:rsidR="006437BA" w:rsidRPr="006437BA">
        <w:t>3,2%</w:t>
      </w:r>
      <w:r>
        <w:t>, pero superior en cuatro décimas al registrado a nivel nacional</w:t>
      </w:r>
      <w:r w:rsidR="006437BA" w:rsidRPr="006437BA">
        <w:t xml:space="preserve">. </w:t>
      </w:r>
    </w:p>
    <w:p w14:paraId="6424E134" w14:textId="1AA460D9" w:rsidR="000F7782" w:rsidRPr="006437BA" w:rsidRDefault="000F7782" w:rsidP="006437BA">
      <w:pPr>
        <w:jc w:val="both"/>
      </w:pPr>
      <w:r w:rsidRPr="000F7782">
        <w:drawing>
          <wp:inline distT="0" distB="0" distL="0" distR="0" wp14:anchorId="2F2427D2" wp14:editId="34EBF7EF">
            <wp:extent cx="5400040" cy="4617720"/>
            <wp:effectExtent l="0" t="0" r="0" b="0"/>
            <wp:docPr id="41373864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38640" name="Imagen 1" descr="Gráfico, Gráfico de líneas&#10;&#10;El contenido generado por IA puede ser incorrecto."/>
                    <pic:cNvPicPr/>
                  </pic:nvPicPr>
                  <pic:blipFill>
                    <a:blip r:embed="rId4"/>
                    <a:stretch>
                      <a:fillRect/>
                    </a:stretch>
                  </pic:blipFill>
                  <pic:spPr>
                    <a:xfrm>
                      <a:off x="0" y="0"/>
                      <a:ext cx="5400040" cy="4617720"/>
                    </a:xfrm>
                    <a:prstGeom prst="rect">
                      <a:avLst/>
                    </a:prstGeom>
                  </pic:spPr>
                </pic:pic>
              </a:graphicData>
            </a:graphic>
          </wp:inline>
        </w:drawing>
      </w:r>
    </w:p>
    <w:p w14:paraId="1E5258F5" w14:textId="264A4A31" w:rsidR="006437BA" w:rsidRPr="006437BA" w:rsidRDefault="006437BA" w:rsidP="006437BA">
      <w:pPr>
        <w:jc w:val="both"/>
      </w:pPr>
      <w:r w:rsidRPr="006437BA">
        <w:t xml:space="preserve">Esta mejora en la dinámica trimestral sugiere que la economía andaluza </w:t>
      </w:r>
      <w:r w:rsidR="005A4651">
        <w:t>está</w:t>
      </w:r>
      <w:r w:rsidRPr="006437BA">
        <w:t xml:space="preserve"> logra</w:t>
      </w:r>
      <w:r w:rsidR="005A4651">
        <w:t>n</w:t>
      </w:r>
      <w:r w:rsidRPr="006437BA">
        <w:t xml:space="preserve">do sortear las dificultades coyunturales que </w:t>
      </w:r>
      <w:r w:rsidR="005A4651">
        <w:t>marcaron la primera mitad</w:t>
      </w:r>
      <w:r w:rsidRPr="006437BA">
        <w:t xml:space="preserve"> del ejercicio</w:t>
      </w:r>
      <w:r w:rsidR="005A4651">
        <w:t xml:space="preserve"> actual</w:t>
      </w:r>
      <w:r w:rsidRPr="006437BA">
        <w:t xml:space="preserve">. El repunte en el crecimiento </w:t>
      </w:r>
      <w:proofErr w:type="spellStart"/>
      <w:r w:rsidRPr="006437BA">
        <w:t>intertrimestral</w:t>
      </w:r>
      <w:proofErr w:type="spellEnd"/>
      <w:r w:rsidRPr="006437BA">
        <w:t xml:space="preserve"> indica una recuperación del impulso económico, tras los efectos negativos derivados de factores estacionales y climatológicos que caracterizaron los primeros meses del </w:t>
      </w:r>
      <w:r w:rsidR="0062169D" w:rsidRPr="006437BA">
        <w:t>año,</w:t>
      </w:r>
      <w:r w:rsidR="005A4651">
        <w:t xml:space="preserve"> así como el aumento de la incertidumbre geopolítica y económica internacional</w:t>
      </w:r>
      <w:r w:rsidRPr="006437BA">
        <w:t>.</w:t>
      </w:r>
    </w:p>
    <w:p w14:paraId="582B822C" w14:textId="0652C908" w:rsidR="006437BA" w:rsidRPr="006437BA" w:rsidRDefault="005A4651" w:rsidP="006437BA">
      <w:pPr>
        <w:jc w:val="both"/>
      </w:pPr>
      <w:r>
        <w:t>Los indicadores regionales muestran que durante e</w:t>
      </w:r>
      <w:r w:rsidR="006437BA" w:rsidRPr="006437BA">
        <w:t xml:space="preserve">l segundo trimestre </w:t>
      </w:r>
      <w:r>
        <w:t>aumentó la</w:t>
      </w:r>
      <w:r w:rsidR="006437BA" w:rsidRPr="006437BA">
        <w:t xml:space="preserve"> sincronización entre los diferentes motores de crecimiento regional. A diferencia del período anterior, donde el empuje económico </w:t>
      </w:r>
      <w:r>
        <w:t>dependió en mayor medida</w:t>
      </w:r>
      <w:r w:rsidR="006437BA" w:rsidRPr="006437BA">
        <w:t xml:space="preserve"> del mercado laboral </w:t>
      </w:r>
      <w:r>
        <w:t>que</w:t>
      </w:r>
      <w:r w:rsidR="006437BA" w:rsidRPr="006437BA">
        <w:t xml:space="preserve"> compensa</w:t>
      </w:r>
      <w:r>
        <w:t>ba un menor impulso del turismo</w:t>
      </w:r>
      <w:r w:rsidR="006437BA" w:rsidRPr="006437BA">
        <w:t>, en este trimestre se observa una contribución más equilibrada de los distintos sectores productivos.</w:t>
      </w:r>
    </w:p>
    <w:p w14:paraId="2EB7A633" w14:textId="0B15A743" w:rsidR="006437BA" w:rsidRDefault="006437BA" w:rsidP="005A4651">
      <w:pPr>
        <w:jc w:val="both"/>
      </w:pPr>
      <w:r w:rsidRPr="006437BA">
        <w:t xml:space="preserve">Esta evolución refleja la maduración de las tendencias positivas que se venían gestando en la economía andaluza, especialmente en aquellos sectores menos dependientes de la </w:t>
      </w:r>
      <w:r w:rsidRPr="006437BA">
        <w:lastRenderedPageBreak/>
        <w:t>coyuntura internacional. El fortalecimiento de la base productiva regional, junto con la mejora gradual de las condiciones de demanda, ha permitido que la región mantenga un diferencial de crecimiento sólido en un contexto nacional e internacional marcado por la incertidumbre.</w:t>
      </w:r>
    </w:p>
    <w:p w14:paraId="1A917991" w14:textId="77777777" w:rsidR="005A4651" w:rsidRPr="006437BA" w:rsidRDefault="005A4651" w:rsidP="005A4651">
      <w:pPr>
        <w:jc w:val="both"/>
      </w:pPr>
    </w:p>
    <w:p w14:paraId="53089F22" w14:textId="77777777" w:rsidR="006437BA" w:rsidRPr="006437BA" w:rsidRDefault="006437BA" w:rsidP="006437BA">
      <w:pPr>
        <w:jc w:val="both"/>
        <w:rPr>
          <w:b/>
          <w:bCs/>
        </w:rPr>
      </w:pPr>
      <w:r w:rsidRPr="006437BA">
        <w:rPr>
          <w:b/>
          <w:bCs/>
        </w:rPr>
        <w:t>2. Inflación y salarios</w:t>
      </w:r>
    </w:p>
    <w:p w14:paraId="1E9FAF51" w14:textId="6BD755D1" w:rsidR="00782FF7" w:rsidRDefault="00782FF7" w:rsidP="00782FF7">
      <w:pPr>
        <w:jc w:val="both"/>
      </w:pPr>
      <w:r>
        <w:t>Durante el segundo trimestre de 2025, la evolución de los precios en Andalucía experimentó un ligero repunte que, sin embargo, mantiene las presiones inflacionistas dentro de parámetros controlados. El Índice de Precios al Consumo (IPC) general se situó en el 2,7% en julio, tres décimas por encima del registro de marzo, igualando el dato nacional y confirmando la convergencia de la inflación regional con la media española.</w:t>
      </w:r>
    </w:p>
    <w:p w14:paraId="2885FB4D" w14:textId="53771CBE" w:rsidR="00782FF7" w:rsidRDefault="00782FF7" w:rsidP="00782FF7">
      <w:pPr>
        <w:jc w:val="both"/>
      </w:pPr>
      <w:r>
        <w:t>La inflación subyacente mostró un comportamiento similar, registrando un 2,2% en julio, manteniendo una décima de diferencia respecto al dato nacional (2,3%). Esta evolución refleja que las presiones de precios subyacentes se mantienen estables y dentro del rango objetivo del Banco Central Europeo, sugiriendo un entorno inflacionista bajo control.</w:t>
      </w:r>
    </w:p>
    <w:p w14:paraId="37067BE2" w14:textId="00539A7F" w:rsidR="00782FF7" w:rsidRDefault="00782FF7" w:rsidP="00782FF7">
      <w:pPr>
        <w:jc w:val="both"/>
      </w:pPr>
      <w:r>
        <w:t>La trayectoria ascendente de los precios desde enero revela una progresiva normalización tras el episodio más moderado del primer trimestre. El análisis sectorial muestra patrones diferenciados que caracterizan esta fase de recuperación inflacionaria. Los precios energéticos han experimentado una notable volatilidad, con la electricidad y combustibles registrando incrementos que oscilaron entre el 5% de mayo y el 20,7% de febrero, evidenciando la persistente sensibilidad del índice regional a las fluctuaciones energéticas. Esta volatilidad se ha traducido en una gradual moderación hacia niveles más estables en los últimos meses del segundo trimestre.</w:t>
      </w:r>
    </w:p>
    <w:p w14:paraId="0ECB6ED0" w14:textId="77777777" w:rsidR="00782FF7" w:rsidRDefault="00782FF7" w:rsidP="00782FF7">
      <w:pPr>
        <w:jc w:val="both"/>
      </w:pPr>
    </w:p>
    <w:p w14:paraId="516819D8" w14:textId="1BCD4F78" w:rsidR="00782FF7" w:rsidRDefault="00782FF7" w:rsidP="00782FF7">
      <w:pPr>
        <w:jc w:val="both"/>
      </w:pPr>
      <w:r>
        <w:t>En el ámbito sectorial, destaca la normalización gradual de los precios de alimentación y bebidas no alcohólicas, que se situaron en el 2,3% en julio, inferior al crecimiento nacional (2,7%). Esta convergencia indica una estabilización de los precios alimentarios tras los episodios de volatilidad de trimestres anteriores.</w:t>
      </w:r>
    </w:p>
    <w:p w14:paraId="640BB5FF" w14:textId="2E6E7CD2" w:rsidR="00782FF7" w:rsidRDefault="00782FF7" w:rsidP="00782FF7">
      <w:pPr>
        <w:jc w:val="both"/>
      </w:pPr>
      <w:r>
        <w:t xml:space="preserve">En cuanto a los servicios, los precios muestran un patrón de crecimiento sostenido, con componentes como los servicios de restauración manteniendo incrementos estables del 4% durante todo el período. El sector turístico, por su parte, experimentó una notable recuperación en su estructura de precios durante el segundo trimestre tras los ajustes estacionales del inicio del año. Los indicadores hoteleros mostraron signos de fortalecimiento, con el índice de precios hoteleros registrando un crecimiento del 3,4% interanual en junio, mientras que la tarifa media diaria avanzó un 7,6% y los ingresos por habitación disponible se incrementaron un 11,2%. Esta evolución contrasta significativamente con la debilidad observada en el primer trimestre, sugiriendo una recuperación de la demanda turística y un ajuste positivo de las estrategias de precios del sector. </w:t>
      </w:r>
    </w:p>
    <w:p w14:paraId="2BD08E45" w14:textId="73001B17" w:rsidR="00782FF7" w:rsidRDefault="00782FF7" w:rsidP="00782FF7">
      <w:pPr>
        <w:jc w:val="both"/>
      </w:pPr>
      <w:r>
        <w:t>En materia salarial, los aumentos pactados en convenio se situaron en el 2,79% para julio, manteniéndose por debajo del incremento nacional del 3,46%. No obstante, el crecimiento observado en las remuneraciones de los asalariados sugiere una mejora progresiva en las condiciones laborales, respaldada por el dinamismo del mercado de trabajo regional. Esta diferencia salarial, junto con el ligero repunte inflacionario, mantiene un escenario de estancamiento temporal del poder adquisitivo de los trabajadores andaluces, aunque con expectativas de mejora por la evolución de los precios, sobre todo energéticos, de agosto.</w:t>
      </w:r>
    </w:p>
    <w:p w14:paraId="3588217F" w14:textId="77777777" w:rsidR="00782FF7" w:rsidRDefault="00782FF7" w:rsidP="00782FF7">
      <w:pPr>
        <w:jc w:val="both"/>
      </w:pPr>
    </w:p>
    <w:p w14:paraId="69042CF6" w14:textId="7AEEC853" w:rsidR="006437BA" w:rsidRPr="006437BA" w:rsidRDefault="006437BA" w:rsidP="00782FF7">
      <w:pPr>
        <w:jc w:val="both"/>
        <w:rPr>
          <w:b/>
          <w:bCs/>
        </w:rPr>
      </w:pPr>
      <w:r w:rsidRPr="006437BA">
        <w:rPr>
          <w:b/>
          <w:bCs/>
        </w:rPr>
        <w:t>3. El mercado de trabajo</w:t>
      </w:r>
    </w:p>
    <w:p w14:paraId="603DB71A" w14:textId="140C4ABF" w:rsidR="006437BA" w:rsidRPr="006437BA" w:rsidRDefault="006437BA" w:rsidP="006437BA">
      <w:pPr>
        <w:jc w:val="both"/>
      </w:pPr>
      <w:r w:rsidRPr="006437BA">
        <w:t xml:space="preserve">El mercado laboral andaluz experimentó una evolución </w:t>
      </w:r>
      <w:r w:rsidR="00782FF7">
        <w:t xml:space="preserve">claramente </w:t>
      </w:r>
      <w:r w:rsidRPr="006437BA">
        <w:t xml:space="preserve">positiva durante el segundo trimestre de 2025, revirtiendo las dificultades observadas en los primeros meses del año. Según la Encuesta de Población Activa (EPA), el número de ocupados alcanzó las 3.546.700 personas, registrando un crecimiento del 2,0% tanto en términos interanuales como </w:t>
      </w:r>
      <w:proofErr w:type="spellStart"/>
      <w:r w:rsidRPr="006437BA">
        <w:t>intertrimestrales</w:t>
      </w:r>
      <w:proofErr w:type="spellEnd"/>
      <w:r w:rsidRPr="006437BA">
        <w:t>. Este comportamiento supone una notable recuperación respecto al primer trimestre, cuando el empleo había experimentado una ligera contracción del 0,4%.</w:t>
      </w:r>
    </w:p>
    <w:p w14:paraId="3AA64334" w14:textId="77777777" w:rsidR="006437BA" w:rsidRPr="006437BA" w:rsidRDefault="006437BA" w:rsidP="006437BA">
      <w:pPr>
        <w:jc w:val="both"/>
      </w:pPr>
      <w:r w:rsidRPr="006437BA">
        <w:t>La creación neta de empleo fue especialmente intensa, con 70.600 nuevos ocupados respecto al trimestre anterior y 67.900 más en comparación interanual. Esta evolución se tradujo en una tasa de empleo del 48,3%, consolidando la mejora estructural del mercado laboral regional.</w:t>
      </w:r>
    </w:p>
    <w:p w14:paraId="176CE4CE" w14:textId="369C3F34" w:rsidR="006437BA" w:rsidRPr="006437BA" w:rsidRDefault="006437BA" w:rsidP="006437BA">
      <w:pPr>
        <w:jc w:val="both"/>
      </w:pPr>
      <w:r w:rsidRPr="006437BA">
        <w:t>El desempleo experimentó una reducción significativa, descendiendo a 618.600 personas paradas, lo que representa una disminución del 8,5% en términos interanuales. La tasa de paro se situó en el 14,9%, registrando una caída de 1,3 puntos respecto al trimestre precedente y de 1,4 puntos en comparación interanual. Esta evolución refleja una aceleración en el proceso de convergencia hacia niveles de desempleo más moderados.</w:t>
      </w:r>
    </w:p>
    <w:p w14:paraId="47926E2E" w14:textId="25D127E6" w:rsidR="006437BA" w:rsidRPr="006437BA" w:rsidRDefault="006437BA" w:rsidP="006437BA">
      <w:pPr>
        <w:jc w:val="both"/>
      </w:pPr>
      <w:r w:rsidRPr="006437BA">
        <w:t xml:space="preserve">La dinámica sectorial del empleo mostró un comportamiento claramente expansivo en la mayoría de </w:t>
      </w:r>
      <w:r w:rsidR="00782FF7" w:rsidRPr="006437BA">
        <w:t>las actividades</w:t>
      </w:r>
      <w:r w:rsidRPr="006437BA">
        <w:t xml:space="preserve"> económicas. El sector servicios lideró la creación de empleo con 78.300 nuevos puestos de trabajo, seguido de la construcción (11.800 empleos) y la industria (8.700 empleos). Por el contrario, la agricultura registró una destrucción de 28.300 empleos, reflejando la finalización de las campañas agrícolas estacionales.</w:t>
      </w:r>
    </w:p>
    <w:p w14:paraId="3DE16035" w14:textId="139DF23E" w:rsidR="006437BA" w:rsidRPr="006437BA" w:rsidRDefault="006437BA" w:rsidP="00782FF7">
      <w:pPr>
        <w:jc w:val="both"/>
      </w:pPr>
      <w:r w:rsidRPr="006437BA">
        <w:t>En cuanto a las modalidades contractuales, se observó un crecimiento equilibrado del empleo asalariado, que aumentó en 70.700 personas. Los contratos indefinidos crecieron en 40.300 personas (1,7%) y los temporales en 30.400 (5,5%), evidenciando un incremento proporcional de la estabilidad laboral</w:t>
      </w:r>
      <w:r w:rsidR="00782FF7">
        <w:t xml:space="preserve"> a pesar de corresponderse estos datos al inicio de la campaña de verano</w:t>
      </w:r>
      <w:r w:rsidRPr="006437BA">
        <w:t>.</w:t>
      </w:r>
    </w:p>
    <w:p w14:paraId="0A34A075" w14:textId="77777777" w:rsidR="006437BA" w:rsidRDefault="006437BA" w:rsidP="006437BA">
      <w:pPr>
        <w:jc w:val="both"/>
      </w:pPr>
      <w:r w:rsidRPr="006437BA">
        <w:t>La población activa se incrementó hasta las 4.165.300 personas, con una tasa de actividad del 56,8%, lo que supone un aumento de 0,3 puntos respecto al trimestre anterior. Especialmente positiva resulta la reducción del número de hogares con todos sus miembros activos en situación de desempleo, que disminuyó un 6,0% trimestral hasta las 202.500 familias.</w:t>
      </w:r>
    </w:p>
    <w:p w14:paraId="0548D389" w14:textId="398F6FA6" w:rsidR="00302844" w:rsidRDefault="00302844" w:rsidP="006437BA">
      <w:pPr>
        <w:jc w:val="both"/>
      </w:pPr>
      <w:r w:rsidRPr="00302844">
        <w:t>Los datos de afiliación a la Seguridad Social corroboran esta tendencia expansiva del empleo, con 3.450.016 afiliaciones registradas en junio de 2025, un incremento del 1,0% interanual. La distribución sectorial de las afiliaciones refleja el predominio del sector servicios (73,0%), seguido de la agricultura (11,8%), industria (8,1%) y construcción (7,1%). Destaca el dinamismo del empleo por cuenta propia, con los autónomos representando el 17,1% del total de afiliaciones, especialmente relevante en provincias como Almería (19,8%) y con un crecimiento notable en Málaga del 3,2%. Esta evolución confirma la solidez de la recuperación del mercado laboral andaluz y su capacidad de adaptación a las nuevas dinámicas económicas.</w:t>
      </w:r>
    </w:p>
    <w:p w14:paraId="0AB03ABD" w14:textId="77777777" w:rsidR="00302844" w:rsidRPr="006437BA" w:rsidRDefault="00302844" w:rsidP="006437BA">
      <w:pPr>
        <w:jc w:val="both"/>
      </w:pPr>
    </w:p>
    <w:p w14:paraId="7FA9AF14" w14:textId="77777777" w:rsidR="006437BA" w:rsidRPr="006437BA" w:rsidRDefault="006437BA" w:rsidP="006437BA">
      <w:pPr>
        <w:jc w:val="both"/>
        <w:rPr>
          <w:b/>
          <w:bCs/>
        </w:rPr>
      </w:pPr>
      <w:r w:rsidRPr="006437BA">
        <w:rPr>
          <w:b/>
          <w:bCs/>
        </w:rPr>
        <w:t>4. Por el lado de la demanda</w:t>
      </w:r>
    </w:p>
    <w:p w14:paraId="1FD9F7F3" w14:textId="5FA6C3A1" w:rsidR="00302844" w:rsidRDefault="00302844" w:rsidP="00302844">
      <w:pPr>
        <w:jc w:val="both"/>
      </w:pPr>
      <w:r>
        <w:t>La evolución de los componentes de la demanda durante el segundo trimestre de 2025 mostró un comportamiento diferenciado que refleja tanto la fortaleza de la demanda interna como los desafíos persistentes en el ámbito exterior. La demanda regional experimentó un crecimiento robusto que aportó considerablemente al impulso económico de la región.</w:t>
      </w:r>
    </w:p>
    <w:p w14:paraId="01FD3A0A" w14:textId="0B492433" w:rsidR="00302844" w:rsidRDefault="00302844" w:rsidP="00302844">
      <w:pPr>
        <w:jc w:val="both"/>
      </w:pPr>
      <w:r>
        <w:t>El consumo privado consolidó su papel como principal motor de crecimiento, manteniendo una evolución favorable que se tradujo en una contribución significativa al crecimiento del PIB regional. Los indicadores de demanda confirman este dinamismo, con el índice de comercio al por menor registrando un crecimiento del 5,8% interanual en junio, equiparándose al dato nacional. Especialmente notable resulta la matriculación de turismos, que experimentó un incremento del 25,6% a inicios del verano, superando ampliamente la media española del 19,9%, lo que evidencia la recuperación del consumo duradero. Este dinamismo del consumo de los hogares refleja la mejora en las condiciones del mercado laboral y la gradual recuperación del poder adquisitivo de las familias andaluzas, tras los episodios inflacionistas de períodos anteriores.</w:t>
      </w:r>
    </w:p>
    <w:p w14:paraId="09D492C2" w14:textId="1A5300AC" w:rsidR="00302844" w:rsidRDefault="00302844" w:rsidP="00302844">
      <w:pPr>
        <w:jc w:val="both"/>
      </w:pPr>
      <w:r>
        <w:t>La inversión experimentó un comportamiento especialmente dinámico durante el trimestre, evidenciando la recuperación de la confianza empresarial y el restablecimiento de los planes de expansión productiva. El índice de producción industrial de bienes de equipo registró un crecimiento del 15,0% interanual, muy superior al 5,3% nacional, lo que confirma la fortaleza de la inversión productiva. La licitación oficial experimentó un crecimiento del 283,4% en mayo, alcanzando los 789,1 millones de euros, reflejando el impulso de la inversión pública en infraestructuras. Este componente mostró un crecimiento sólido que se tradujo en una aportación sustancial al crecimiento económico regional, confirmando el proceso de normalización de las decisiones de inversión empresarial.</w:t>
      </w:r>
    </w:p>
    <w:p w14:paraId="40F0C4F6" w14:textId="0AFA5788" w:rsidR="00302844" w:rsidRDefault="00302844" w:rsidP="00302844">
      <w:pPr>
        <w:jc w:val="both"/>
      </w:pPr>
      <w:r>
        <w:t xml:space="preserve">Los indicadores disponibles para el trimestre apuntan a una evolución favorable de la inversión en bienes de equipo, mientras que la inversión en construcción continuó mostrando signos de recuperación. El dinamismo hipotecario registrado durante el período confirma esta tendencia, con el número de hipotecas urbanas constituidas alcanzando las 9.338 operaciones en mayo, un incremento del 36,6% interanual, mientras que el importe total hipotecado ascendió a 1.519,4 millones de euros, creciendo un 40,8%. </w:t>
      </w:r>
      <w:r w:rsidR="004C066A">
        <w:t>La superficie para construir</w:t>
      </w:r>
      <w:r>
        <w:t xml:space="preserve"> para uso no residencial registró 54.557 m² en mayo, con un notable crecimiento del 96,5%, confirmando la solidez de la demanda de inversión tanto residencial como empresarial.</w:t>
      </w:r>
    </w:p>
    <w:p w14:paraId="65163ACA" w14:textId="70FD8294" w:rsidR="00753352" w:rsidRDefault="00753352" w:rsidP="00753352">
      <w:pPr>
        <w:jc w:val="both"/>
      </w:pPr>
      <w:r>
        <w:t>El sector exterior mantuvo un perfil más moderado, con las exportaciones alcanzando los 3.137,2 millones de euros en junio, registrando una contracción del 5,0% interanual que contrasta con el crecimiento del 2,4% a nivel nacional. Las importaciones se situaron en 3.008,3 millones de euros, experimentando una menor caída del 3,5%, frente al incremento del 10,9% registrado en España. Esta evolución supone una contribución ligeramente negativa al crecimiento del PIB regional, evidenciando los desafíos del complejo entorno internacional.</w:t>
      </w:r>
    </w:p>
    <w:p w14:paraId="6C608694" w14:textId="375C3499" w:rsidR="00302844" w:rsidRDefault="00753352" w:rsidP="00753352">
      <w:pPr>
        <w:jc w:val="both"/>
      </w:pPr>
      <w:r>
        <w:t>El análisis por destinos durante enero-abril confirma el impacto de las tensiones comerciales. Estados Unidos, quinto cliente andaluz con 929,5 millones de euros, cayó un 12,8% interanual por las medidas arancelarias, mientras que China creció un 14,6%. En Europa, principales socios como Francia (-23,5%) y Alemania (-13,1%) muestran debilitamiento de la demanda, contrastando con el dinamismo de mercados emergentes como Argelia, que se consolida como principal proveedor con un incremento del 26,3% en importaciones.</w:t>
      </w:r>
    </w:p>
    <w:p w14:paraId="1B864A62" w14:textId="77777777" w:rsidR="00753352" w:rsidRDefault="00753352" w:rsidP="00753352">
      <w:pPr>
        <w:jc w:val="both"/>
      </w:pPr>
    </w:p>
    <w:p w14:paraId="03648B25" w14:textId="5B371D01" w:rsidR="006437BA" w:rsidRPr="006437BA" w:rsidRDefault="006437BA" w:rsidP="00302844">
      <w:pPr>
        <w:jc w:val="both"/>
        <w:rPr>
          <w:b/>
          <w:bCs/>
        </w:rPr>
      </w:pPr>
      <w:r w:rsidRPr="006437BA">
        <w:rPr>
          <w:b/>
          <w:bCs/>
        </w:rPr>
        <w:t>5. Por el lado de la oferta</w:t>
      </w:r>
    </w:p>
    <w:p w14:paraId="433AC616" w14:textId="26EE90FC" w:rsidR="006437BA" w:rsidRPr="006437BA" w:rsidRDefault="006437BA" w:rsidP="006437BA">
      <w:pPr>
        <w:jc w:val="both"/>
      </w:pPr>
      <w:r w:rsidRPr="006437BA">
        <w:t xml:space="preserve">El análisis sectorial de la economía andaluza durante el segundo trimestre de 2025 reveló un panorama de crecimiento generalizado, con un comportamiento especialmente dinámico en la mayoría de </w:t>
      </w:r>
      <w:r w:rsidR="00753352" w:rsidRPr="006437BA">
        <w:t>las ramas</w:t>
      </w:r>
      <w:r w:rsidRPr="006437BA">
        <w:t xml:space="preserve"> productivas que contrastó notablemente con las dificultades observadas en el primer trimestre del año.</w:t>
      </w:r>
    </w:p>
    <w:p w14:paraId="05DFAAF7" w14:textId="20867536" w:rsidR="00753352" w:rsidRDefault="00753352" w:rsidP="00753352">
      <w:pPr>
        <w:jc w:val="both"/>
      </w:pPr>
      <w:r>
        <w:t xml:space="preserve">El sector industrial lideró el impulso productivo del trimestre, consolidando su posición como uno de los principales motores de crecimiento económico regional. El índice de producción industrial </w:t>
      </w:r>
      <w:r w:rsidR="00E41802">
        <w:t>registró</w:t>
      </w:r>
      <w:r>
        <w:t xml:space="preserve"> un extraordinario crecimiento del 19,0% interanual (15,9% corregido), muy superior al 2,3% nacional</w:t>
      </w:r>
      <w:r w:rsidR="00E41802">
        <w:t xml:space="preserve"> y del 7,4% en lo que va de año</w:t>
      </w:r>
      <w:r>
        <w:t xml:space="preserve">. La actividad industrial experimentó un crecimiento robusto que se tradujo en una contribución muy significativa al avance del PIB andaluz. </w:t>
      </w:r>
    </w:p>
    <w:p w14:paraId="70AE6A98" w14:textId="77777777" w:rsidR="00753352" w:rsidRDefault="00753352" w:rsidP="00753352">
      <w:pPr>
        <w:jc w:val="both"/>
      </w:pPr>
    </w:p>
    <w:p w14:paraId="16362FE3" w14:textId="6377CE1E" w:rsidR="00753352" w:rsidRDefault="00E41802" w:rsidP="00753352">
      <w:pPr>
        <w:jc w:val="both"/>
      </w:pPr>
      <w:r>
        <w:t>En cuanto a l</w:t>
      </w:r>
      <w:r w:rsidR="00753352">
        <w:t>as ramas industriales</w:t>
      </w:r>
      <w:r>
        <w:t>, estas</w:t>
      </w:r>
      <w:r w:rsidR="00753352">
        <w:t xml:space="preserve"> mostraron un dinamismo particularmente intenso</w:t>
      </w:r>
      <w:r>
        <w:t xml:space="preserve"> en términos generales</w:t>
      </w:r>
      <w:r w:rsidR="00753352">
        <w:t>, destacando el comportamiento positivo de la industria manufacturera con un crecimiento del 10,3% interanual. Especialmente notable fue el desempeño del suministro energético, que registró un incremento del 59,1% interanual, reflejando la intensa actividad del sector refinador regional. Los índices de cifras de negocios</w:t>
      </w:r>
      <w:r>
        <w:t>, no obstante,</w:t>
      </w:r>
      <w:r w:rsidR="00753352">
        <w:t xml:space="preserve"> experimentaron una contracción del 5,5% interanual que contrasta con el crecimiento del 1,8% a nivel nacional. </w:t>
      </w:r>
    </w:p>
    <w:p w14:paraId="7298DA68" w14:textId="6EC3D91E" w:rsidR="00753352" w:rsidRDefault="00753352" w:rsidP="00753352">
      <w:pPr>
        <w:jc w:val="both"/>
      </w:pPr>
      <w:r>
        <w:t>Por destino económico, destaca el dinamismo de los bienes de equipo con un crecimiento del 15,0% interanual y la energía con un incremento del 41,1%, mientras que los bienes de consumo registraron un avance más moderado del 6,9%. El tejido empresarial industrial mostró signos de consolidación, con 16.126 empresas inscritas en la Seguridad Social, pese a una ligera reducción del 0,9% respecto al año anterior. Este desempeño confirma la fortaleza competitiva del tejido industrial andaluz y su capacidad de adaptación a las condiciones cambiantes del mercado.</w:t>
      </w:r>
    </w:p>
    <w:p w14:paraId="78D587D2" w14:textId="2A12498E" w:rsidR="00E41802" w:rsidRDefault="00E41802" w:rsidP="00E41802">
      <w:pPr>
        <w:jc w:val="both"/>
      </w:pPr>
      <w:r>
        <w:t>El sector de la construcción continuó su proceso de recuperación, registrando un crecimiento sólido que aporta al dinamismo general de la economía regional. El tejido empresarial del sector mostró signos de consolidación, con 24.198 empresas inscritas en la Seguridad Social registrando un crecimiento del 2,0% interanual, superando el 1,2% nacional y evidenciando la fortaleza estructural del sector.</w:t>
      </w:r>
    </w:p>
    <w:p w14:paraId="5046F7A8" w14:textId="1022AD6A" w:rsidR="00E41802" w:rsidRDefault="00E41802" w:rsidP="00E41802">
      <w:pPr>
        <w:jc w:val="both"/>
      </w:pPr>
      <w:r>
        <w:t>El mercado residencial experimentó una evolución diferenciada, con 1.685 viviendas iniciadas libres en marzo (+1,8% interanual), aunque las viviendas terminadas registraron una contracción del 18,4%, sugiriendo un proceso de ajuste en los tiempos de ejecución de proyectos. En el ámbito de la vivienda protegida, las calificaciones provisionales alcanzaron las 379 unidades (+32,1% interanual), mientras que las definitivas se situaron en 390 (-66,0%), reflejando la variabilidad en los flujos administrativos del segmento protegido.</w:t>
      </w:r>
    </w:p>
    <w:p w14:paraId="2AD302B4" w14:textId="1374F8D0" w:rsidR="00E41802" w:rsidRDefault="00E41802" w:rsidP="00E41802">
      <w:pPr>
        <w:jc w:val="both"/>
      </w:pPr>
      <w:r>
        <w:t>Los precios inmobiliarios mantuvieron su tendencia alcista, con el precio medio del metro cuadrado en vivienda libre situándose en 1.695,8 euros en el primer trimestre, registrando un incremento del 9,0% interanual, igualando el ritmo de crecimiento nacional. El comportamiento del sector durante el trimestre evidencia la consolidación de la fase expansiva iniciada en períodos anteriores, sustentada en el fortalecimiento de la demanda tanto pública como privada.</w:t>
      </w:r>
    </w:p>
    <w:p w14:paraId="6FA5D781" w14:textId="12264395" w:rsidR="00E41802" w:rsidRDefault="00E41802" w:rsidP="00E41802">
      <w:pPr>
        <w:jc w:val="both"/>
      </w:pPr>
      <w:r>
        <w:t xml:space="preserve">El sector servicios presentó una evolución muy favorable, con un crecimiento generalizado que se extendió a todas sus ramas de actividad. El índice de cifra de negocios creció un 4,76% interanual en términos corregidos, muy superior al comportamiento nacional. El sector mostró un dinamismo particular en varios subsectores, destacando especialmente las actividades artísticas, recreativas y otros servicios, así como las actividades profesionales. </w:t>
      </w:r>
    </w:p>
    <w:p w14:paraId="4365D90B" w14:textId="6281920F" w:rsidR="00E41802" w:rsidRDefault="00E41802" w:rsidP="00E41802">
      <w:pPr>
        <w:jc w:val="both"/>
      </w:pPr>
      <w:r>
        <w:t xml:space="preserve">Los indicadores de actividad sectorial confirman esta fortaleza, con el índice general de servicios </w:t>
      </w:r>
      <w:r w:rsidR="003A634A">
        <w:t xml:space="preserve">creciendo un </w:t>
      </w:r>
      <w:r>
        <w:t xml:space="preserve">3,17% interanual corregido, mientras que las actividades profesionales, científicas y técnicas </w:t>
      </w:r>
      <w:r w:rsidR="003A634A">
        <w:t xml:space="preserve">lo hacían a un ritmo del </w:t>
      </w:r>
      <w:r>
        <w:t xml:space="preserve">5,30% interanual. El comercio al por menor experimentó una evolución mixta, </w:t>
      </w:r>
      <w:r w:rsidR="003A634A">
        <w:t xml:space="preserve">con un crecimiento del </w:t>
      </w:r>
      <w:r>
        <w:t xml:space="preserve">5,83% interanual </w:t>
      </w:r>
      <w:r w:rsidR="003A634A">
        <w:t xml:space="preserve">mientras las </w:t>
      </w:r>
      <w:r>
        <w:t>ventas en grandes superficies registraron una ligera contracción del 0,5% en términos constantes.</w:t>
      </w:r>
    </w:p>
    <w:p w14:paraId="1C439A0C" w14:textId="2EB8AA72" w:rsidR="00E41802" w:rsidRDefault="00E41802" w:rsidP="00E41802">
      <w:pPr>
        <w:jc w:val="both"/>
      </w:pPr>
      <w:r>
        <w:t xml:space="preserve">La hostelería mostró signos de recuperación (+3,91% interanual corregido), mientras que el transporte y almacenamiento </w:t>
      </w:r>
      <w:r w:rsidR="003A634A">
        <w:t>crecía en mayor medida</w:t>
      </w:r>
      <w:r>
        <w:t xml:space="preserve"> (+5,69% interanual). Este comportamiento refleja tanto la recuperación del consumo interno como la progresiva normalización de las actividades vinculadas al ocio y al turismo tras las dificultades del trimestre anterior. La mejora en el subsector de información y comunicaciones evidencia el proceso de digitalización de la economía andaluza, mientras que el dinamismo de las actividades profesionales confirma la evolución hacia servicios de mayor valor añadido.</w:t>
      </w:r>
    </w:p>
    <w:p w14:paraId="4DCB5508" w14:textId="7D6F9CCB" w:rsidR="006437BA" w:rsidRPr="006437BA" w:rsidRDefault="006437BA" w:rsidP="003A634A">
      <w:pPr>
        <w:jc w:val="both"/>
      </w:pPr>
      <w:r w:rsidRPr="006437BA">
        <w:t xml:space="preserve">El </w:t>
      </w:r>
      <w:r w:rsidRPr="006437BA">
        <w:rPr>
          <w:b/>
          <w:bCs/>
        </w:rPr>
        <w:t>sector primario</w:t>
      </w:r>
      <w:r w:rsidRPr="006437BA">
        <w:t xml:space="preserve"> experimentó una contracción durante el trimestre, reflejando fundamentalmente los efectos estacionales característicos de las actividades agrícolas y ganaderas. Esta evolución, aunque negativa, responde a patrones habituales del sector y no compromete las perspectivas de recuperación a medio plazo. La evolución del sector agrario se vio influenciada por factores climatológicos y por la finalización de determinadas campañas productivas.</w:t>
      </w:r>
    </w:p>
    <w:p w14:paraId="343A8719" w14:textId="750B4AC4" w:rsidR="00EC2496" w:rsidRDefault="00EC2496" w:rsidP="006437BA">
      <w:pPr>
        <w:jc w:val="both"/>
      </w:pPr>
    </w:p>
    <w:p w14:paraId="09DE915E" w14:textId="36A11155" w:rsidR="00442638" w:rsidRPr="00442638" w:rsidRDefault="00442638" w:rsidP="006437BA">
      <w:pPr>
        <w:jc w:val="both"/>
        <w:rPr>
          <w:b/>
          <w:bCs/>
        </w:rPr>
      </w:pPr>
      <w:r w:rsidRPr="00442638">
        <w:rPr>
          <w:b/>
          <w:bCs/>
        </w:rPr>
        <w:t>Previsiones</w:t>
      </w:r>
    </w:p>
    <w:p w14:paraId="6000C0BE" w14:textId="586CB038" w:rsidR="00442638" w:rsidRDefault="00442638" w:rsidP="00442638">
      <w:pPr>
        <w:jc w:val="both"/>
      </w:pPr>
      <w:r>
        <w:t xml:space="preserve">Las proyecciones para el segundo semestre de 2025 incorporan una elevada carga de incertidumbre, dado que reflejan la dificultad de evaluar los potenciales efectos de los aranceles tanto en la economía norteamericana como en la del resto de países afectados directa o </w:t>
      </w:r>
      <w:r w:rsidR="000F7782">
        <w:t>indirectamente,</w:t>
      </w:r>
      <w:r>
        <w:t xml:space="preserve"> así como la potencial relevancia de la incertidumbre geopolítica actual</w:t>
      </w:r>
      <w:r>
        <w:t xml:space="preserve">. La aparente mejora en las previsiones que el FMI publicó </w:t>
      </w:r>
      <w:r w:rsidR="000F7782">
        <w:t>en el mes de julio (del 2,8 al 3,0 mundial)</w:t>
      </w:r>
      <w:r>
        <w:t xml:space="preserve"> no </w:t>
      </w:r>
      <w:r w:rsidR="000F7782">
        <w:t>es consecuencia de una reevaluación d</w:t>
      </w:r>
      <w:r>
        <w:t xml:space="preserve">el impacto de los aranceles </w:t>
      </w:r>
      <w:r w:rsidR="000F7782">
        <w:t>en la economía mundial</w:t>
      </w:r>
      <w:r>
        <w:t>, sino que resulta de una confluencia de factores técnicos que enmascaran el deterioro de fondo.</w:t>
      </w:r>
    </w:p>
    <w:p w14:paraId="17EF1F61" w14:textId="77777777" w:rsidR="00442638" w:rsidRDefault="00442638" w:rsidP="00442638">
      <w:pPr>
        <w:jc w:val="both"/>
      </w:pPr>
      <w:r>
        <w:t>De hecho, la OMC confirmó este patrón al mostrar que, mientras el comercio mundial creció un 5,3% interanual en el primer trimestre debido al fenómeno de “</w:t>
      </w:r>
      <w:proofErr w:type="spellStart"/>
      <w:r>
        <w:t>front-loading</w:t>
      </w:r>
      <w:proofErr w:type="spellEnd"/>
      <w:r>
        <w:t>” (adelanto de operaciones comerciales), en el segundo trimestre experimentó una caída del 16%. Para lo que resta de 2025, el Banco Mundial advirtió que el crecimiento promedio sería el más lento desde la década de 1960, con revisiones a la baja para casi el 70% de las economías mundiales.</w:t>
      </w:r>
    </w:p>
    <w:p w14:paraId="4B93845C" w14:textId="77777777" w:rsidR="00442638" w:rsidRDefault="00442638" w:rsidP="00442638">
      <w:pPr>
        <w:jc w:val="both"/>
      </w:pPr>
      <w:r>
        <w:t>El año 2025 marca así la mayor disrupción del comercio mundial desde la Segunda Guerra Mundial. Los aranceles estadounidenses promedio han pasado del 2,5% histórico al 18,6% actual, con China enfrentando las tasas más altas. Esta escalada se ha extendido globalmente, con India enfrentando aranceles del 50%, Japón negociando una tasa del 15%, y la UE acordando un arancel base del 15% tras el “Acuerdo de Julio” que evitó aranceles del 30% amenazados para agosto.</w:t>
      </w:r>
    </w:p>
    <w:p w14:paraId="75499922" w14:textId="77777777" w:rsidR="00442638" w:rsidRDefault="00442638" w:rsidP="00442638">
      <w:pPr>
        <w:jc w:val="both"/>
      </w:pPr>
      <w:r>
        <w:t>Esta fragmentación comercial global ha desencadenado efectos negativos para sectores específicos. La agricultura estadounidense sufre impactos severos, con previsiones de caídas significativas en la soja, mientras que China impuso aranceles de retorsión del 10% sobre el 17% de las exportaciones agrícolas estadounidenses, evidenciando una crisis que se extiende hacia una reorganización estructural de la economía global.</w:t>
      </w:r>
    </w:p>
    <w:p w14:paraId="3FD58642" w14:textId="50665ECF" w:rsidR="000F7782" w:rsidRDefault="000F7782" w:rsidP="000F7782">
      <w:pPr>
        <w:ind w:left="-1134"/>
        <w:jc w:val="both"/>
      </w:pPr>
      <w:r w:rsidRPr="000F7782">
        <w:drawing>
          <wp:inline distT="0" distB="0" distL="0" distR="0" wp14:anchorId="0250050B" wp14:editId="0C432C18">
            <wp:extent cx="6806692" cy="2651760"/>
            <wp:effectExtent l="0" t="0" r="0" b="0"/>
            <wp:docPr id="154838343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3439" name="Imagen 1" descr="Gráfico, Histograma&#10;&#10;El contenido generado por IA puede ser incorrecto."/>
                    <pic:cNvPicPr/>
                  </pic:nvPicPr>
                  <pic:blipFill>
                    <a:blip r:embed="rId5"/>
                    <a:stretch>
                      <a:fillRect/>
                    </a:stretch>
                  </pic:blipFill>
                  <pic:spPr>
                    <a:xfrm>
                      <a:off x="0" y="0"/>
                      <a:ext cx="6815098" cy="2655035"/>
                    </a:xfrm>
                    <a:prstGeom prst="rect">
                      <a:avLst/>
                    </a:prstGeom>
                  </pic:spPr>
                </pic:pic>
              </a:graphicData>
            </a:graphic>
          </wp:inline>
        </w:drawing>
      </w:r>
    </w:p>
    <w:p w14:paraId="238493C8" w14:textId="77777777" w:rsidR="00442638" w:rsidRDefault="00442638" w:rsidP="00442638">
      <w:pPr>
        <w:jc w:val="both"/>
        <w:rPr>
          <w:rFonts w:ascii="Arial" w:hAnsi="Arial" w:cs="Arial"/>
        </w:rPr>
      </w:pPr>
      <w:r>
        <w:t>La incertidumbre comercial condiciona no solo la evolución de la actividad económica, sino también la inflación. Las proyecciones del FMI sitúan la inflación mundial en el 4,2% para 2025, descendiendo hasta el 3,6% en 2026, aunque esta media global enmascara divergencias significativas entre economías avanzadas y emergentes. Los precios de las materias primas han experimentado volatilidad extraordinaria, con el Banco Mundial anticipando caídas del 12% en 2025, aportando aproximadamente 0,35 puntos porcentuales a la desinflación global.</w:t>
      </w:r>
      <w:r>
        <w:rPr>
          <w:rFonts w:ascii="Arial" w:hAnsi="Arial" w:cs="Arial"/>
        </w:rPr>
        <w:t>​​​​​​​​​​​​​​​</w:t>
      </w:r>
    </w:p>
    <w:p w14:paraId="63203383" w14:textId="29F1CDB0" w:rsidR="00442638" w:rsidRPr="00DC69BC" w:rsidRDefault="00442638" w:rsidP="00442638">
      <w:pPr>
        <w:jc w:val="both"/>
      </w:pPr>
      <w:r>
        <w:t>Dado lo anterior, el</w:t>
      </w:r>
      <w:r w:rsidRPr="00DC69BC">
        <w:t xml:space="preserve"> balance de riesgos para la economía mundial está inequívocamente inclinado a la baja</w:t>
      </w:r>
      <w:r>
        <w:t>da de actividad</w:t>
      </w:r>
      <w:r w:rsidRPr="00DC69BC">
        <w:t xml:space="preserve">, con múltiples factores de incertidumbre que amenazan la estabilidad del crecimiento global. El principal riesgo a corto plazo es un colapso de las frágiles treguas comerciales y una nueva escalada proteccionista, que podría sumir a múltiples economías en recesión. </w:t>
      </w:r>
    </w:p>
    <w:p w14:paraId="65650AE5" w14:textId="77777777" w:rsidR="00442638" w:rsidRPr="00DC69BC" w:rsidRDefault="00442638" w:rsidP="00442638">
      <w:pPr>
        <w:jc w:val="both"/>
      </w:pPr>
      <w:r>
        <w:t>A esto, los</w:t>
      </w:r>
      <w:r w:rsidRPr="00DC69BC">
        <w:t xml:space="preserve"> riesgos geopolíticos añaden capas adicionales de complejidad al panorama global. Las tensiones comerciales se superponen con conflictos bélicos en curso y la necesidad de asegurar cadenas de suministro estratégicas, acelerando una reconfiguración del comercio internacional con implicaciones particulares para regiones altamente integradas en los flujos comerciales globales. </w:t>
      </w:r>
    </w:p>
    <w:p w14:paraId="705FD904" w14:textId="77777777" w:rsidR="00442638" w:rsidRDefault="00442638" w:rsidP="00442638">
      <w:pPr>
        <w:jc w:val="both"/>
      </w:pPr>
      <w:r w:rsidRPr="00DC69BC">
        <w:t>Adicionalmente, persisten vulnerabilidades fiscales en un entorno de menor crecimiento y mayores costes de financiación, junto con el riesgo de un endurecimiento abrupto de las condiciones financieras globales si la confianza de los mercados se deteriora</w:t>
      </w:r>
      <w:r>
        <w:t>se</w:t>
      </w:r>
      <w:r w:rsidRPr="00DC69BC">
        <w:t>. La materialización de cualquiera de estos riesgos podría desencadenar una contracción económica global más severa de lo actualmente proyectado por los organismos internacionales.</w:t>
      </w:r>
    </w:p>
    <w:p w14:paraId="281568E3" w14:textId="5DF4B90A" w:rsidR="00442638" w:rsidRPr="00DC69BC" w:rsidRDefault="008762F4" w:rsidP="008762F4">
      <w:pPr>
        <w:ind w:left="-1418"/>
        <w:jc w:val="both"/>
      </w:pPr>
      <w:r w:rsidRPr="008762F4">
        <w:drawing>
          <wp:inline distT="0" distB="0" distL="0" distR="0" wp14:anchorId="106BA10F" wp14:editId="753C5636">
            <wp:extent cx="7099772" cy="2697480"/>
            <wp:effectExtent l="0" t="0" r="6350" b="7620"/>
            <wp:docPr id="8961929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92989" name="Imagen 1" descr="Tabla&#10;&#10;El contenido generado por IA puede ser incorrecto."/>
                    <pic:cNvPicPr/>
                  </pic:nvPicPr>
                  <pic:blipFill>
                    <a:blip r:embed="rId6"/>
                    <a:stretch>
                      <a:fillRect/>
                    </a:stretch>
                  </pic:blipFill>
                  <pic:spPr>
                    <a:xfrm>
                      <a:off x="0" y="0"/>
                      <a:ext cx="7109065" cy="2701011"/>
                    </a:xfrm>
                    <a:prstGeom prst="rect">
                      <a:avLst/>
                    </a:prstGeom>
                  </pic:spPr>
                </pic:pic>
              </a:graphicData>
            </a:graphic>
          </wp:inline>
        </w:drawing>
      </w:r>
    </w:p>
    <w:p w14:paraId="58659ECF" w14:textId="77777777" w:rsidR="00442638" w:rsidRPr="00DC69BC" w:rsidRDefault="00442638" w:rsidP="00442638">
      <w:pPr>
        <w:rPr>
          <w:b/>
          <w:bCs/>
        </w:rPr>
      </w:pPr>
      <w:r w:rsidRPr="00DC69BC">
        <w:rPr>
          <w:b/>
          <w:bCs/>
        </w:rPr>
        <w:t>Estados Unidos: Epicentro de la Incertidumbre</w:t>
      </w:r>
    </w:p>
    <w:p w14:paraId="4D8A5CF1" w14:textId="77777777" w:rsidR="00442638" w:rsidRPr="00DC69BC" w:rsidRDefault="00442638" w:rsidP="00442638">
      <w:pPr>
        <w:jc w:val="both"/>
      </w:pPr>
      <w:r w:rsidRPr="00DC69BC">
        <w:t>La economía estadounidense se ha convertido en el epicentro de la incertidumbre global tras implementar la política arancelaria más radical desde los años 1930. Los aranceles promedio han aumentado del 2,5% histórico al 18,6% actual, con picos del 27% en abril, utilizando la Ley de Poderes Económicos de Emergencia Internacional para imponer gravámenes masivos. Esta agresividad comercial sin precedentes ha reconfigurado drásticamente el panorama económico mundial.</w:t>
      </w:r>
    </w:p>
    <w:p w14:paraId="501C590D" w14:textId="77777777" w:rsidR="00442638" w:rsidRPr="00DC69BC" w:rsidRDefault="00442638" w:rsidP="00442638">
      <w:pPr>
        <w:jc w:val="both"/>
      </w:pPr>
      <w:r w:rsidRPr="00DC69BC">
        <w:t>El PIB estadounidense del segundo trimestre mostró una recuperación aparente del 3,0% anualizado, pero esta cifra enmascara una debilidad estructural profunda. La caída del 30,3% en importaciones impulsó mecánicamente el PIB debido al efecto "</w:t>
      </w:r>
      <w:proofErr w:type="spellStart"/>
      <w:r w:rsidRPr="00DC69BC">
        <w:t>front-loading</w:t>
      </w:r>
      <w:proofErr w:type="spellEnd"/>
      <w:r w:rsidRPr="00DC69BC">
        <w:t>" del primer trimestre, mientras que las ventas finales a compradores domésticos privados solo crecieron un anémico 1,2%. El crecimiento del primer semestre fue de apenas 1,2%, muy por debajo del ritmo de 2024 (2,8%), evidenciando el impacto negativo de las propias políticas proteccionistas.</w:t>
      </w:r>
    </w:p>
    <w:p w14:paraId="6A9116D8" w14:textId="77777777" w:rsidR="00442638" w:rsidRPr="00DC69BC" w:rsidRDefault="00442638" w:rsidP="00442638">
      <w:pPr>
        <w:jc w:val="both"/>
      </w:pPr>
      <w:r>
        <w:t>En este contexto, la</w:t>
      </w:r>
      <w:r w:rsidRPr="00DC69BC">
        <w:t xml:space="preserve"> Reserva Federal enfrenta un dilema sin precedentes, manteniendo las tasas en 4,25-4,5% por quinta vez consecutiva mientras evalúa si los efectos inflacionarios de los aranceles serán temporales o persistentes. La creciente presión política sobre la institución, incluyendo amenazas a su independencia y el controvertido despido del director del Bureau </w:t>
      </w:r>
      <w:proofErr w:type="spellStart"/>
      <w:r w:rsidRPr="00DC69BC">
        <w:t>of</w:t>
      </w:r>
      <w:proofErr w:type="spellEnd"/>
      <w:r w:rsidRPr="00DC69BC">
        <w:t xml:space="preserve"> Labor </w:t>
      </w:r>
      <w:proofErr w:type="spellStart"/>
      <w:r w:rsidRPr="00DC69BC">
        <w:t>Statistics</w:t>
      </w:r>
      <w:proofErr w:type="spellEnd"/>
      <w:r w:rsidRPr="00DC69BC">
        <w:t xml:space="preserve"> por diferencias en la interpretación de datos de empleo, añade incertidumbre institucional. El mercado laboral muestra claros signos de enfriamiento, con solo 73.000 empleos creados en julio, muy por debajo de expectativas, y aumentos preocupantes en desempleados de largo plazo (+179.000).</w:t>
      </w:r>
    </w:p>
    <w:p w14:paraId="5B26557A" w14:textId="77777777" w:rsidR="00442638" w:rsidRDefault="00442638" w:rsidP="00442638">
      <w:pPr>
        <w:jc w:val="both"/>
      </w:pPr>
      <w:r w:rsidRPr="00DC69BC">
        <w:t>Paradójicamente, el dólar se ha debilitado cerca del 8% desde principios de año, una señal inequívoca de que los inversores globales no interpretan los aranceles como una estrategia coherente, sino como una fuente de profunda inestabilidad que socava el tradicional estatus de activo refugio estadounidense y la credibilidad de su política económica.</w:t>
      </w:r>
    </w:p>
    <w:p w14:paraId="68AA1092" w14:textId="77777777" w:rsidR="00442638" w:rsidRPr="00DC69BC" w:rsidRDefault="00442638" w:rsidP="00442638">
      <w:pPr>
        <w:jc w:val="both"/>
      </w:pPr>
    </w:p>
    <w:p w14:paraId="5F4A966A" w14:textId="77777777" w:rsidR="00442638" w:rsidRPr="00DC69BC" w:rsidRDefault="00442638" w:rsidP="00442638">
      <w:pPr>
        <w:rPr>
          <w:b/>
          <w:bCs/>
        </w:rPr>
      </w:pPr>
      <w:r w:rsidRPr="00DC69BC">
        <w:rPr>
          <w:b/>
          <w:bCs/>
        </w:rPr>
        <w:t>China: Resiliencia mediante Estímulo y Diversificación</w:t>
      </w:r>
    </w:p>
    <w:p w14:paraId="4B79577E" w14:textId="77777777" w:rsidR="00442638" w:rsidRPr="00DC69BC" w:rsidRDefault="00442638" w:rsidP="00442638">
      <w:pPr>
        <w:jc w:val="both"/>
      </w:pPr>
      <w:r w:rsidRPr="00DC69BC">
        <w:t>La economía china ha demostrado notable resiliencia, creciendo 5,2% interanual en el segundo trimestre de 2025, superando las previsiones del 5,1% y manteniendo el objetivo gubernamental de "alrededor del 5%". Este desempeño ocurre pese a enfrentar aranceles estadounidenses que llegaron al 145% en abril antes de reducirse al 30% actual tras las negociaciones de Ginebra, evidenciando la capacidad de adaptación del modelo económico chino.</w:t>
      </w:r>
    </w:p>
    <w:p w14:paraId="091E67B3" w14:textId="77777777" w:rsidR="00442638" w:rsidRPr="00DC69BC" w:rsidRDefault="00442638" w:rsidP="00442638">
      <w:pPr>
        <w:jc w:val="both"/>
      </w:pPr>
      <w:r>
        <w:t xml:space="preserve">Ante esta realidad internacional, </w:t>
      </w:r>
      <w:r w:rsidRPr="00DC69BC">
        <w:t xml:space="preserve">Beijing </w:t>
      </w:r>
      <w:r>
        <w:t xml:space="preserve">desplegó </w:t>
      </w:r>
      <w:r w:rsidRPr="00DC69BC">
        <w:t>un paquete de estímulo integral sin precedentes. En marzo duplicó los subsidios para reemplazo de productos de consumo a 300.000 millones de yuanes (41.470 millones de dólares), mientras que el Banco Popular de China recortó las tasas de política en 10 puntos básicos al 1,4% en mayo, redujo los coeficientes de reserva obligatoria en 50 puntos básicos, e implementó recortes hipotecarios masivos para reactivar el consumo interno.</w:t>
      </w:r>
    </w:p>
    <w:p w14:paraId="6E7CF938" w14:textId="77777777" w:rsidR="00442638" w:rsidRPr="00DC69BC" w:rsidRDefault="00442638" w:rsidP="00442638">
      <w:pPr>
        <w:jc w:val="both"/>
      </w:pPr>
      <w:r w:rsidRPr="00DC69BC">
        <w:t xml:space="preserve">La diversificación comercial china ha sido extraordinariamente exitosa. Aunque las exportaciones a </w:t>
      </w:r>
      <w:proofErr w:type="gramStart"/>
      <w:r w:rsidRPr="00DC69BC">
        <w:t>EEUU</w:t>
      </w:r>
      <w:proofErr w:type="gramEnd"/>
      <w:r w:rsidRPr="00DC69BC">
        <w:t xml:space="preserve"> cayeron 10,7% en el primer semestre (-25.700 millones de dólares), las exportaciones a la ASEAN crecieron 13% (+37.100 millones), África 21,4% (+18.200 millones) y la UE 6,9% (+16.300 millones), demostrando la construcción efectiva de cadenas de suministro alternativas resilientes.</w:t>
      </w:r>
    </w:p>
    <w:p w14:paraId="4B71C637" w14:textId="77777777" w:rsidR="00442638" w:rsidRDefault="00442638" w:rsidP="00442638">
      <w:pPr>
        <w:jc w:val="both"/>
      </w:pPr>
      <w:r w:rsidRPr="00DC69BC">
        <w:t>Sin embargo, persisten desafíos estructurales significativos. El sector inmobiliario continúa su declive con una caída del 11,2% en inversión durante el primer semestre, mientras que la deflación industrial (-3,6% en precios al productor) refleja problemas de sobrecapacidad. Estratégicamente, China ha utilizado su dominio en minerales críticos como arma comercial, implementando controles de exportación sobre siete elementos de tierras raras críticos, paralizando suministros a industrias estadounidenses de defensa y tecnología, demostrando los límites del poder arancelario estadounidense.</w:t>
      </w:r>
    </w:p>
    <w:p w14:paraId="66CE02F8" w14:textId="77777777" w:rsidR="00442638" w:rsidRPr="00DC69BC" w:rsidRDefault="00442638" w:rsidP="00442638">
      <w:pPr>
        <w:jc w:val="both"/>
      </w:pPr>
    </w:p>
    <w:p w14:paraId="0854DFE1" w14:textId="77777777" w:rsidR="00442638" w:rsidRPr="00CA41BF" w:rsidRDefault="00442638" w:rsidP="00442638">
      <w:pPr>
        <w:rPr>
          <w:b/>
          <w:bCs/>
        </w:rPr>
      </w:pPr>
      <w:r w:rsidRPr="00CA41BF">
        <w:rPr>
          <w:b/>
          <w:bCs/>
        </w:rPr>
        <w:t xml:space="preserve">Zona </w:t>
      </w:r>
      <w:proofErr w:type="gramStart"/>
      <w:r w:rsidRPr="00CA41BF">
        <w:rPr>
          <w:b/>
          <w:bCs/>
        </w:rPr>
        <w:t>Euro</w:t>
      </w:r>
      <w:proofErr w:type="gramEnd"/>
      <w:r w:rsidRPr="00CA41BF">
        <w:rPr>
          <w:b/>
          <w:bCs/>
        </w:rPr>
        <w:t>: Víctima Colateral con Respuesta Estratégica</w:t>
      </w:r>
    </w:p>
    <w:p w14:paraId="3B1D70E9" w14:textId="77777777" w:rsidR="00442638" w:rsidRPr="00CA41BF" w:rsidRDefault="00442638" w:rsidP="00442638">
      <w:pPr>
        <w:jc w:val="both"/>
      </w:pPr>
      <w:r w:rsidRPr="00CA41BF">
        <w:t>La economía de la eurozona ha mostrado resistencia notable en el segundo trimestre con un crecimiento del 0,1% trimestral, aunque más lento que el 0,6% del primer trimestre. El crecimiento anual se situó en 1,4%, con la Comisión Europea proyectando 0,9% para 2025 y 1,4% para 2026, reflejando su posición de víctima colateral en la guerra comercial entre sus dos mayores socios comerciales. Esta economía abierta y altamente integrada en las cadenas de valor globales se encuentra atrapada en el fuego cruzado, transmitiendo el shock a través de tres canales principales: el impacto directo de los aranceles estadounidenses, la desaceleración del comercio mundial, y el riesgo de desviación masiva de exportaciones chinas hacia el mercado único europeo.</w:t>
      </w:r>
    </w:p>
    <w:p w14:paraId="738180FE" w14:textId="77777777" w:rsidR="00442638" w:rsidRPr="00CA41BF" w:rsidRDefault="00442638" w:rsidP="00442638">
      <w:pPr>
        <w:jc w:val="both"/>
      </w:pPr>
      <w:r w:rsidRPr="00CA41BF">
        <w:t xml:space="preserve">El Banco Central Europeo ha respondido proactivamente con una política claramente acomodaticia, implementando ocho recortes consecutivos desde junio 2024. La tasa de depósito actual del 2,0% (reducida desde el pico del 4,0% en 2023) refleja el éxito en la lucha contra la inflación, que se situó en 2,0% en julio, cumpliendo exactamente el objetivo del BCE. Esta orientación monetaria contrasta marcadamente con la cautela de la Reserva Federal, ya que el BCE interpreta el shock comercial como predominantemente </w:t>
      </w:r>
      <w:proofErr w:type="spellStart"/>
      <w:r w:rsidRPr="00CA41BF">
        <w:t>desinflacionario</w:t>
      </w:r>
      <w:proofErr w:type="spellEnd"/>
      <w:r w:rsidRPr="00CA41BF">
        <w:t xml:space="preserve"> y negativo para el crecimiento, justificando plenamente el mantenimiento de condiciones financieras acomodaticias.</w:t>
      </w:r>
    </w:p>
    <w:p w14:paraId="4A3E951F" w14:textId="77777777" w:rsidR="00442638" w:rsidRPr="00CA41BF" w:rsidRDefault="00442638" w:rsidP="00442638">
      <w:pPr>
        <w:jc w:val="both"/>
      </w:pPr>
      <w:r w:rsidRPr="00CA41BF">
        <w:t xml:space="preserve">El desempeño por países muestra divergencias extraordinarias que reflejan diferentes exposiciones al comercio exterior. España lidera el crecimiento con 0,7% trimestral en Q2, impulsada por un turismo récord (94 millones de visitantes internacionales en 2024, +10%) y la </w:t>
      </w:r>
      <w:r>
        <w:t>recuperación del consumo e inversiones privadas</w:t>
      </w:r>
      <w:r w:rsidRPr="00CA41BF">
        <w:t>. En contraste dramático, Alemania mostró una contracción del -0,1% en Q2 tras el 0,3% de Q1, reflejando el severo impacto en sus industrias exportadoras altamente dependientes del comercio global. El Bundesbank proyecta crecimiento cero para 2025, evidenciando la vulnerabilidad de la locomotora europea. Francia mejoró moderadamente al 0,3% trimestral en Q2, beneficiándose de su menor exposición al mercado estadounidense (1,7% vs 2,8% del PIB de Alemania), mientras que Italia experimentó contracción (-0,1% en Q2) pero mantiene perspectivas del 0,7% para 2025.</w:t>
      </w:r>
    </w:p>
    <w:p w14:paraId="5DEBA20C" w14:textId="77777777" w:rsidR="00442638" w:rsidRPr="00CA41BF" w:rsidRDefault="00442638" w:rsidP="00442638">
      <w:pPr>
        <w:jc w:val="both"/>
      </w:pPr>
      <w:r w:rsidRPr="00CA41BF">
        <w:t>El "Acuerdo de Julio" UE-</w:t>
      </w:r>
      <w:proofErr w:type="gramStart"/>
      <w:r w:rsidRPr="00CA41BF">
        <w:t>EEUU</w:t>
      </w:r>
      <w:proofErr w:type="gramEnd"/>
      <w:r w:rsidRPr="00CA41BF">
        <w:t xml:space="preserve"> representa un punto de inflexión crucial en la estrategia europea. Negociado el 27 de julio en </w:t>
      </w:r>
      <w:proofErr w:type="spellStart"/>
      <w:r w:rsidRPr="00CA41BF">
        <w:t>Turnberry</w:t>
      </w:r>
      <w:proofErr w:type="spellEnd"/>
      <w:r w:rsidRPr="00CA41BF">
        <w:t xml:space="preserve"> por </w:t>
      </w:r>
      <w:proofErr w:type="spellStart"/>
      <w:r w:rsidRPr="00CA41BF">
        <w:t>Ursula</w:t>
      </w:r>
      <w:proofErr w:type="spellEnd"/>
      <w:r w:rsidRPr="00CA41BF">
        <w:t xml:space="preserve"> </w:t>
      </w:r>
      <w:proofErr w:type="spellStart"/>
      <w:r w:rsidRPr="00CA41BF">
        <w:t>von</w:t>
      </w:r>
      <w:proofErr w:type="spellEnd"/>
      <w:r w:rsidRPr="00CA41BF">
        <w:t xml:space="preserve"> </w:t>
      </w:r>
      <w:proofErr w:type="spellStart"/>
      <w:r w:rsidRPr="00CA41BF">
        <w:t>der</w:t>
      </w:r>
      <w:proofErr w:type="spellEnd"/>
      <w:r w:rsidRPr="00CA41BF">
        <w:t xml:space="preserve"> </w:t>
      </w:r>
      <w:proofErr w:type="spellStart"/>
      <w:r w:rsidRPr="00CA41BF">
        <w:t>Leyen</w:t>
      </w:r>
      <w:proofErr w:type="spellEnd"/>
      <w:r w:rsidRPr="00CA41BF">
        <w:t>, evitó aranceles del 30% amenazados a cambio de términos considerablemente asimétricos. La UE acepta aranceles del 15% sobre la mayoría de los productos europeos y se compromete a 750.000 millones de dólares en compras energéticas estadounidenses hasta 2028, 600.000 millones en inversiones, y eliminación completa de aranceles europeos sobre bienes industriales estadounidenses. Aunque los mercados reaccionaron inicialmente con optimismo (EUROSTOXX 50 +0,9%), el euro se debilitó</w:t>
      </w:r>
      <w:r>
        <w:t xml:space="preserve"> un</w:t>
      </w:r>
      <w:r w:rsidRPr="00CA41BF">
        <w:t xml:space="preserve"> 0,53% ante preocupaciones por la naturaleza desequilibrada del acuerdo.</w:t>
      </w:r>
    </w:p>
    <w:p w14:paraId="33B493C1" w14:textId="77777777" w:rsidR="00442638" w:rsidRDefault="00442638" w:rsidP="00442638">
      <w:pPr>
        <w:jc w:val="both"/>
      </w:pPr>
      <w:r w:rsidRPr="00CA41BF">
        <w:t>Sin embargo, esta crisis está actuando como catalizador para una transformación estratégica fundamental de la UE. La agresión comercial unilateral ha acelerado el desarrollo de un nuevo arsenal de herramientas de poder económico, convirtiendo el concepto teórico de "autonomía estratégica" en una necesidad urgente. Instrumentos como el "Anti-</w:t>
      </w:r>
      <w:proofErr w:type="spellStart"/>
      <w:r w:rsidRPr="00CA41BF">
        <w:t>Coercion</w:t>
      </w:r>
      <w:proofErr w:type="spellEnd"/>
      <w:r w:rsidRPr="00CA41BF">
        <w:t xml:space="preserve"> </w:t>
      </w:r>
      <w:proofErr w:type="spellStart"/>
      <w:r w:rsidRPr="00CA41BF">
        <w:t>Instrument</w:t>
      </w:r>
      <w:proofErr w:type="spellEnd"/>
      <w:r w:rsidRPr="00CA41BF">
        <w:t>" están ahora en el centro de la estrategia europea, forjando una Unión Europea más geopolítica, obligada a desarrollar capacidad de "poder duro" económico para defender sus intereses en un mundo donde las reglas del multilateralismo han sido fundamentalmente cuestionadas.</w:t>
      </w:r>
    </w:p>
    <w:p w14:paraId="31953472" w14:textId="77777777" w:rsidR="00442638" w:rsidRDefault="00442638" w:rsidP="00442638">
      <w:pPr>
        <w:jc w:val="both"/>
        <w:rPr>
          <w:b/>
          <w:bCs/>
        </w:rPr>
      </w:pPr>
    </w:p>
    <w:p w14:paraId="4409D161" w14:textId="2C2E065A" w:rsidR="00442638" w:rsidRPr="0057763C" w:rsidRDefault="00442638" w:rsidP="00442638">
      <w:pPr>
        <w:jc w:val="both"/>
        <w:rPr>
          <w:b/>
          <w:bCs/>
        </w:rPr>
      </w:pPr>
      <w:r w:rsidRPr="0057763C">
        <w:rPr>
          <w:b/>
          <w:bCs/>
        </w:rPr>
        <w:t>Contexto Español: Aceleración Inesperada en un Entorno Adverso</w:t>
      </w:r>
    </w:p>
    <w:p w14:paraId="47B25985" w14:textId="1BF27E14" w:rsidR="00442638" w:rsidRDefault="00442638" w:rsidP="00442638">
      <w:pPr>
        <w:jc w:val="both"/>
      </w:pPr>
      <w:r w:rsidRPr="0057763C">
        <w:t xml:space="preserve">En este complejo panorama internacional de fragmentación comercial y ralentización global, España consolida su posición como la economía más resiliente de la eurozona, no solo manteniendo sino acelerando su dinamismo en contraste con el letargo de sus principales socios europeos. La economía española experimentó una sorprendente aceleración en el segundo trimestre de 2025, con un crecimiento del 0,7% </w:t>
      </w:r>
      <w:proofErr w:type="spellStart"/>
      <w:r w:rsidRPr="0057763C">
        <w:t>intertrimestral</w:t>
      </w:r>
      <w:proofErr w:type="spellEnd"/>
      <w:r w:rsidRPr="0057763C">
        <w:t>, una décima superior al 0,6% del primer trimestre, desafiando las expectativas de moderación y situándose muy por encima del anémico desempeño alemán y del conjunto de la eurozona.</w:t>
      </w:r>
    </w:p>
    <w:p w14:paraId="557EE6A3" w14:textId="77777777" w:rsidR="008762F4" w:rsidRDefault="008762F4" w:rsidP="00442638">
      <w:pPr>
        <w:jc w:val="both"/>
      </w:pPr>
    </w:p>
    <w:p w14:paraId="6D8E097C" w14:textId="32B68B99" w:rsidR="008762F4" w:rsidRPr="0057763C" w:rsidRDefault="008762F4" w:rsidP="008762F4">
      <w:pPr>
        <w:ind w:left="-1276"/>
        <w:jc w:val="both"/>
      </w:pPr>
      <w:r w:rsidRPr="008762F4">
        <w:drawing>
          <wp:inline distT="0" distB="0" distL="0" distR="0" wp14:anchorId="20163B8F" wp14:editId="5D1A153A">
            <wp:extent cx="6885690" cy="3078480"/>
            <wp:effectExtent l="0" t="0" r="0" b="7620"/>
            <wp:docPr id="6140666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66620" name="Imagen 1" descr="Tabla&#10;&#10;El contenido generado por IA puede ser incorrecto."/>
                    <pic:cNvPicPr/>
                  </pic:nvPicPr>
                  <pic:blipFill>
                    <a:blip r:embed="rId7"/>
                    <a:stretch>
                      <a:fillRect/>
                    </a:stretch>
                  </pic:blipFill>
                  <pic:spPr>
                    <a:xfrm>
                      <a:off x="0" y="0"/>
                      <a:ext cx="6894463" cy="3082402"/>
                    </a:xfrm>
                    <a:prstGeom prst="rect">
                      <a:avLst/>
                    </a:prstGeom>
                  </pic:spPr>
                </pic:pic>
              </a:graphicData>
            </a:graphic>
          </wp:inline>
        </w:drawing>
      </w:r>
    </w:p>
    <w:p w14:paraId="202110A5" w14:textId="3FCB9DDC" w:rsidR="00442638" w:rsidRPr="0057763C" w:rsidRDefault="00442638" w:rsidP="00442638">
      <w:pPr>
        <w:jc w:val="both"/>
      </w:pPr>
      <w:r w:rsidRPr="0057763C">
        <w:t>La evolución interanual confirma esta fortaleza excepcional, con un crecimiento del 2,8% en el segundo trimestre, manteniendo prácticamente el mismo ritmo que el trimestre precedente y evidenciando una resistencia notable ante las turbulencias comerciales globales. Este desempeño supera ampliamente las previsiones del Banco de España del 2,4% para el conjunto de 2025, sugiriendo que la economía española podría alcanzar un crecimiento anual superior al proyectado, consolidando una brecha de crecimiento aún mayor con la eurozona, donde se proyecta un exiguo 0,9% para el año completo.</w:t>
      </w:r>
    </w:p>
    <w:p w14:paraId="2F884ECD" w14:textId="2B914305" w:rsidR="00442638" w:rsidRPr="0057763C" w:rsidRDefault="00442638" w:rsidP="00442638">
      <w:pPr>
        <w:jc w:val="both"/>
      </w:pPr>
      <w:r w:rsidRPr="0057763C">
        <w:t xml:space="preserve">El comportamiento diferencial de España responde a una combinación de factores estructurales y una demanda interna más </w:t>
      </w:r>
      <w:r>
        <w:t>fuertes</w:t>
      </w:r>
      <w:r w:rsidRPr="0057763C">
        <w:t xml:space="preserve"> de lo esperado. La demanda nacional contribuyó con 3,4 puntos al crecimiento interanual, compensando ampliamente la aportación negativa de 0,6 puntos de la demanda externa. Destaca particularmente la fortaleza de la formación bruta de capital, que registró un vigoroso 5,3% interanual (1,6 puntos superior al trimestre anterior), mientras que el consumo de los hogares mantuvo un sólido 3,5%, evidenciando la confianza del sector privado. Los fondos de recuperación europeos (Next Generation EU) continúan proporcionando impulso a la inversión, mientras que el mercado laboral exhibe un dinamismo excepcional con un crecimiento del empleo del 3,5% en términos de ocupados equivalentes a tiempo completo.</w:t>
      </w:r>
    </w:p>
    <w:p w14:paraId="1B43E58B" w14:textId="4D1409FE" w:rsidR="00442638" w:rsidRPr="0057763C" w:rsidRDefault="00442638" w:rsidP="00442638">
      <w:pPr>
        <w:jc w:val="both"/>
      </w:pPr>
      <w:r w:rsidRPr="0057763C">
        <w:t>La evolución sectorial confirma la amplitud de la recuperación. Desde la óptica de la oferta, todos los grandes sectores presentaron tasas positivas salvo las ramas primarias. Las ramas industriales crecieron 2,2% interanual, con la industria manufacturera acelerando hasta el mismo ritmo, mientras que la construcción se expandió un sólido 2,9% y los servicios mantuvieron un robusto 3,3%. Esta diversificación sectorial proporciona mayor estabilidad al crecimiento y reduce la dependencia de sectores específicos como el turismo.</w:t>
      </w:r>
    </w:p>
    <w:p w14:paraId="16C9BB86" w14:textId="039E13A2" w:rsidR="00442638" w:rsidRPr="00CA41BF" w:rsidRDefault="00442638" w:rsidP="00442638">
      <w:pPr>
        <w:jc w:val="both"/>
      </w:pPr>
      <w:r w:rsidRPr="0057763C">
        <w:t>En el ámbito de precios y rentas, España registra una evolución equilibrada que sustenta la sostenibilidad del crecimiento. El deflactor del PIB ascendió 2,7% interanual, manteniendo la inflación bajo control, mientras que la remuneración de los asalariados creció un sólido 7,6%, con incrementos del 3,7% en el número de puestos y del 3,8% en la remuneración media. Este crecimiento salarial, superior al de la inflación, fortalece el poder adquisitivo y sustenta el consumo privado. Las condiciones financieras relajadas del BCE (con tipos en el 2,0% tras ocho recortes consecutivos) continúan proporcionando un entorno favorable para la inversión y el crecimiento en un contexto global adverso.</w:t>
      </w:r>
    </w:p>
    <w:p w14:paraId="6F4F29B6" w14:textId="77777777" w:rsidR="00442638" w:rsidRPr="006437BA" w:rsidRDefault="00442638" w:rsidP="006437BA">
      <w:pPr>
        <w:jc w:val="both"/>
      </w:pPr>
    </w:p>
    <w:sectPr w:rsidR="00442638" w:rsidRPr="00643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BA"/>
    <w:rsid w:val="000F7782"/>
    <w:rsid w:val="00302844"/>
    <w:rsid w:val="003A634A"/>
    <w:rsid w:val="003E7540"/>
    <w:rsid w:val="00442638"/>
    <w:rsid w:val="004C066A"/>
    <w:rsid w:val="005A4651"/>
    <w:rsid w:val="005D0DA5"/>
    <w:rsid w:val="0062169D"/>
    <w:rsid w:val="006437BA"/>
    <w:rsid w:val="00753352"/>
    <w:rsid w:val="00782FF7"/>
    <w:rsid w:val="008762F4"/>
    <w:rsid w:val="008F4314"/>
    <w:rsid w:val="009264B7"/>
    <w:rsid w:val="00A713E8"/>
    <w:rsid w:val="00AD43F2"/>
    <w:rsid w:val="00B07B40"/>
    <w:rsid w:val="00E41802"/>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6921"/>
  <w15:chartTrackingRefBased/>
  <w15:docId w15:val="{3CFA02E7-4BFA-4982-8B8D-EC728B6C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37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37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7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7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7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7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7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7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37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37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37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7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7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7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7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7BA"/>
    <w:rPr>
      <w:rFonts w:eastAsiaTheme="majorEastAsia" w:cstheme="majorBidi"/>
      <w:color w:val="272727" w:themeColor="text1" w:themeTint="D8"/>
    </w:rPr>
  </w:style>
  <w:style w:type="paragraph" w:styleId="Ttulo">
    <w:name w:val="Title"/>
    <w:basedOn w:val="Normal"/>
    <w:next w:val="Normal"/>
    <w:link w:val="TtuloCar"/>
    <w:uiPriority w:val="10"/>
    <w:qFormat/>
    <w:rsid w:val="0064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7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7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7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7BA"/>
    <w:pPr>
      <w:spacing w:before="160"/>
      <w:jc w:val="center"/>
    </w:pPr>
    <w:rPr>
      <w:i/>
      <w:iCs/>
      <w:color w:val="404040" w:themeColor="text1" w:themeTint="BF"/>
    </w:rPr>
  </w:style>
  <w:style w:type="character" w:customStyle="1" w:styleId="CitaCar">
    <w:name w:val="Cita Car"/>
    <w:basedOn w:val="Fuentedeprrafopredeter"/>
    <w:link w:val="Cita"/>
    <w:uiPriority w:val="29"/>
    <w:rsid w:val="006437BA"/>
    <w:rPr>
      <w:i/>
      <w:iCs/>
      <w:color w:val="404040" w:themeColor="text1" w:themeTint="BF"/>
    </w:rPr>
  </w:style>
  <w:style w:type="paragraph" w:styleId="Prrafodelista">
    <w:name w:val="List Paragraph"/>
    <w:basedOn w:val="Normal"/>
    <w:uiPriority w:val="34"/>
    <w:qFormat/>
    <w:rsid w:val="006437BA"/>
    <w:pPr>
      <w:ind w:left="720"/>
      <w:contextualSpacing/>
    </w:pPr>
  </w:style>
  <w:style w:type="character" w:styleId="nfasisintenso">
    <w:name w:val="Intense Emphasis"/>
    <w:basedOn w:val="Fuentedeprrafopredeter"/>
    <w:uiPriority w:val="21"/>
    <w:qFormat/>
    <w:rsid w:val="006437BA"/>
    <w:rPr>
      <w:i/>
      <w:iCs/>
      <w:color w:val="0F4761" w:themeColor="accent1" w:themeShade="BF"/>
    </w:rPr>
  </w:style>
  <w:style w:type="paragraph" w:styleId="Citadestacada">
    <w:name w:val="Intense Quote"/>
    <w:basedOn w:val="Normal"/>
    <w:next w:val="Normal"/>
    <w:link w:val="CitadestacadaCar"/>
    <w:uiPriority w:val="30"/>
    <w:qFormat/>
    <w:rsid w:val="0064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7BA"/>
    <w:rPr>
      <w:i/>
      <w:iCs/>
      <w:color w:val="0F4761" w:themeColor="accent1" w:themeShade="BF"/>
    </w:rPr>
  </w:style>
  <w:style w:type="character" w:styleId="Referenciaintensa">
    <w:name w:val="Intense Reference"/>
    <w:basedOn w:val="Fuentedeprrafopredeter"/>
    <w:uiPriority w:val="32"/>
    <w:qFormat/>
    <w:rsid w:val="00643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72F453-2FFF-4558-BB8D-6AB812F0085C}">
  <we:reference id="wa200005502" version="1.0.0.11" store="es-ES" storeType="OMEX"/>
  <we:alternateReferences>
    <we:reference id="wa200005502" version="1.0.0.11" store="wa200005502" storeType="OMEX"/>
  </we:alternateReferences>
  <we:properties>
    <we:property name="docId" value="&quot;JqlF20DJexPQBqUpGN1O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91</TotalTime>
  <Pages>12</Pages>
  <Words>4951</Words>
  <Characters>27231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3</cp:revision>
  <dcterms:created xsi:type="dcterms:W3CDTF">2025-08-21T08:08:00Z</dcterms:created>
  <dcterms:modified xsi:type="dcterms:W3CDTF">2025-08-27T08:37:00Z</dcterms:modified>
</cp:coreProperties>
</file>