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319A3" w14:textId="77777777" w:rsidR="00F73706" w:rsidRPr="007B117A" w:rsidRDefault="00F73706" w:rsidP="00E46BAE">
      <w:pPr>
        <w:pStyle w:val="BodyA"/>
        <w:spacing w:before="100" w:after="100"/>
        <w:jc w:val="both"/>
        <w:rPr>
          <w:rFonts w:ascii="Avenir Next Demi Bold" w:hAnsi="Avenir Next Demi Bold"/>
          <w:b/>
          <w:bCs/>
          <w:color w:val="FF0000"/>
          <w:sz w:val="28"/>
          <w:szCs w:val="28"/>
          <w:u w:color="022ED3"/>
        </w:rPr>
      </w:pPr>
      <w:bookmarkStart w:id="0" w:name="_Hlk87224663"/>
      <w:bookmarkStart w:id="1" w:name="_Hlk39665302"/>
      <w:r>
        <w:rPr>
          <w:rFonts w:ascii="Avenir Next" w:hAnsi="Avenir Next"/>
          <w:noProof/>
          <w:color w:val="auto"/>
          <w:sz w:val="24"/>
        </w:rPr>
        <mc:AlternateContent>
          <mc:Choice Requires="wps">
            <w:drawing>
              <wp:anchor distT="57150" distB="57150" distL="57145" distR="57145" simplePos="0" relativeHeight="251680768" behindDoc="0" locked="0" layoutInCell="1" allowOverlap="1" wp14:anchorId="1668B198" wp14:editId="4971CBE4">
                <wp:simplePos x="0" y="0"/>
                <wp:positionH relativeFrom="leftMargin">
                  <wp:posOffset>594360</wp:posOffset>
                </wp:positionH>
                <wp:positionV relativeFrom="margin">
                  <wp:posOffset>121920</wp:posOffset>
                </wp:positionV>
                <wp:extent cx="15240" cy="9418955"/>
                <wp:effectExtent l="0" t="0" r="3810" b="1079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45C4EB1" id="Conector recto 23" o:spid="_x0000_s1026" style="position:absolute;flip:x;z-index:25168076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6.8pt,9.6pt" to="48pt,7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" strokecolor="#929292" strokeweight=".5pt">
                <v:stroke miterlimit="4" joinstyle="miter"/>
                <w10:wrap anchorx="margin" anchory="margin"/>
              </v:line>
            </w:pict>
          </mc:Fallback>
        </mc:AlternateContent>
      </w:r>
      <w:r>
        <w:rPr>
          <w:rFonts w:ascii="Avenir Next" w:hAnsi="Avenir Next"/>
          <w:noProof/>
          <w:color w:val="auto"/>
          <w:sz w:val="24"/>
        </w:rPr>
        <mc:AlternateContent>
          <mc:Choice Requires="wps">
            <w:drawing>
              <wp:anchor distT="57150" distB="57150" distL="57145" distR="57145" simplePos="0" relativeHeight="251666432" behindDoc="0" locked="0" layoutInCell="1" allowOverlap="1" wp14:anchorId="2DA7C218" wp14:editId="17CDEB83">
                <wp:simplePos x="0" y="0"/>
                <wp:positionH relativeFrom="leftMargin">
                  <wp:posOffset>7056120</wp:posOffset>
                </wp:positionH>
                <wp:positionV relativeFrom="margin">
                  <wp:posOffset>155575</wp:posOffset>
                </wp:positionV>
                <wp:extent cx="15240" cy="9418955"/>
                <wp:effectExtent l="0" t="0" r="3810" b="1079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E14C14D" id="Conector recto 22" o:spid="_x0000_s1026" style="position:absolute;flip:x;z-index:25166643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5.6pt,12.25pt" to="556.8pt,7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" strokecolor="#929292" strokeweight=".5pt">
                <v:stroke miterlimit="4" joinstyle="miter"/>
                <w10:wrap anchorx="margin" anchory="margin"/>
              </v:line>
            </w:pict>
          </mc:Fallback>
        </mc:AlternateContent>
      </w: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1312" behindDoc="0" locked="0" layoutInCell="1" allowOverlap="1" wp14:anchorId="51D0BD6E" wp14:editId="500011AE">
                <wp:simplePos x="0" y="0"/>
                <wp:positionH relativeFrom="page">
                  <wp:posOffset>685800</wp:posOffset>
                </wp:positionH>
                <wp:positionV relativeFrom="page">
                  <wp:posOffset>838200</wp:posOffset>
                </wp:positionV>
                <wp:extent cx="6184900" cy="1638300"/>
                <wp:effectExtent l="0" t="0" r="0" b="0"/>
                <wp:wrapSquare wrapText="bothSides"/>
                <wp:docPr id="21"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55FC224C" w14:textId="77777777" w:rsidR="00F73706" w:rsidRPr="008506D8" w:rsidRDefault="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44BCA217" w14:textId="77777777" w:rsidR="00F73706" w:rsidRPr="008506D8" w:rsidRDefault="00F73706">
                            <w:pPr>
                              <w:pStyle w:val="Ttulo"/>
                              <w:rPr>
                                <w:rFonts w:hint="eastAsia"/>
                                <w:b/>
                              </w:rPr>
                            </w:pPr>
                            <w:r>
                              <w:rPr>
                                <w:rFonts w:ascii="Avenir Next Demi Bold" w:hAnsi="Avenir Next Demi Bold"/>
                                <w:b/>
                                <w:sz w:val="60"/>
                                <w:szCs w:val="60"/>
                                <w:lang w:val="es-ES_tradnl"/>
                              </w:rPr>
                              <w:t xml:space="preserve">PRIMER </w:t>
                            </w:r>
                            <w:r w:rsidRPr="008506D8">
                              <w:rPr>
                                <w:rFonts w:ascii="Avenir Next Demi Bold" w:hAnsi="Avenir Next Demi Bold"/>
                                <w:b/>
                                <w:sz w:val="60"/>
                                <w:szCs w:val="60"/>
                              </w:rPr>
                              <w:t>trimestre de 202</w:t>
                            </w:r>
                            <w:r>
                              <w:rPr>
                                <w:rFonts w:ascii="Avenir Next Demi Bold" w:hAnsi="Avenir Next Demi Bold"/>
                                <w:b/>
                                <w:sz w:val="60"/>
                                <w:szCs w:val="6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0BD6E" id="Rectángulo 21" o:spid="_x0000_s1026" style="position:absolute;left:0;text-align:left;margin-left:54pt;margin-top:66pt;width:487pt;height:129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55FC224C" w14:textId="77777777" w:rsidR="00F73706" w:rsidRPr="008506D8" w:rsidRDefault="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44BCA217" w14:textId="77777777" w:rsidR="00F73706" w:rsidRPr="008506D8" w:rsidRDefault="00F73706">
                      <w:pPr>
                        <w:pStyle w:val="Ttulo"/>
                        <w:rPr>
                          <w:rFonts w:hint="eastAsia"/>
                          <w:b/>
                        </w:rPr>
                      </w:pPr>
                      <w:r>
                        <w:rPr>
                          <w:rFonts w:ascii="Avenir Next Demi Bold" w:hAnsi="Avenir Next Demi Bold"/>
                          <w:b/>
                          <w:sz w:val="60"/>
                          <w:szCs w:val="60"/>
                          <w:lang w:val="es-ES_tradnl"/>
                        </w:rPr>
                        <w:t xml:space="preserve">PRIMER </w:t>
                      </w:r>
                      <w:r w:rsidRPr="008506D8">
                        <w:rPr>
                          <w:rFonts w:ascii="Avenir Next Demi Bold" w:hAnsi="Avenir Next Demi Bold"/>
                          <w:b/>
                          <w:sz w:val="60"/>
                          <w:szCs w:val="60"/>
                        </w:rPr>
                        <w:t>trimestre de 202</w:t>
                      </w:r>
                      <w:r>
                        <w:rPr>
                          <w:rFonts w:ascii="Avenir Next Demi Bold" w:hAnsi="Avenir Next Demi Bold"/>
                          <w:b/>
                          <w:sz w:val="60"/>
                          <w:szCs w:val="60"/>
                        </w:rPr>
                        <w:t>2</w:t>
                      </w:r>
                    </w:p>
                  </w:txbxContent>
                </v:textbox>
                <w10:wrap type="square" anchorx="page" anchory="page"/>
              </v:rect>
            </w:pict>
          </mc:Fallback>
        </mc:AlternateContent>
      </w:r>
      <w:r>
        <w:rPr>
          <w:rFonts w:ascii="Avenir Next Demi Bold" w:hAnsi="Avenir Next Demi Bold"/>
          <w:b/>
          <w:bCs/>
          <w:noProof/>
          <w:color w:val="022ED3"/>
          <w:sz w:val="28"/>
          <w:szCs w:val="28"/>
          <w:u w:color="022ED3"/>
        </w:rPr>
        <mc:AlternateContent>
          <mc:Choice Requires="wps">
            <w:drawing>
              <wp:anchor distT="57140" distB="57140" distL="57150" distR="57150" simplePos="0" relativeHeight="251662336" behindDoc="0" locked="0" layoutInCell="1" allowOverlap="1" wp14:anchorId="2DB32F8E" wp14:editId="4E343147">
                <wp:simplePos x="0" y="0"/>
                <wp:positionH relativeFrom="page">
                  <wp:posOffset>711200</wp:posOffset>
                </wp:positionH>
                <wp:positionV relativeFrom="page">
                  <wp:posOffset>736599</wp:posOffset>
                </wp:positionV>
                <wp:extent cx="6188710" cy="0"/>
                <wp:effectExtent l="0" t="0" r="0"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8710" cy="0"/>
                        </a:xfrm>
                        <a:prstGeom prst="line">
                          <a:avLst/>
                        </a:prstGeom>
                        <a:noFill/>
                        <a:ln w="25400">
                          <a:solidFill>
                            <a:srgbClr val="7A7A7A"/>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5863B027" id="Conector recto 20" o:spid="_x0000_s1026" style="position:absolute;z-index:251662336;visibility:visible;mso-wrap-style:square;mso-width-percent:0;mso-height-percent:0;mso-wrap-distance-left:4.5pt;mso-wrap-distance-top:1.58722mm;mso-wrap-distance-right:4.5pt;mso-wrap-distance-bottom:1.58722mm;mso-position-horizontal:absolute;mso-position-horizontal-relative:page;mso-position-vertical:absolute;mso-position-vertical-relative:page;mso-width-percent:0;mso-height-percent:0;mso-width-relative:page;mso-height-relative:page" from="56pt,58pt" to="543.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" strokecolor="#7a7a7a" strokeweight="2pt">
                <v:stroke miterlimit="4" joinstyle="miter"/>
                <w10:wrap anchorx="page" anchory="page"/>
              </v:line>
            </w:pict>
          </mc:Fallback>
        </mc:AlternateContent>
      </w:r>
      <w:r w:rsidRPr="00C57043">
        <w:rPr>
          <w:rFonts w:ascii="Avenir Next Demi Bold" w:hAnsi="Avenir Next Demi Bold"/>
          <w:b/>
          <w:bCs/>
          <w:color w:val="022ED3"/>
          <w:sz w:val="28"/>
          <w:szCs w:val="28"/>
          <w:u w:color="022ED3"/>
        </w:rPr>
        <w:t>Estimación del crecimiento</w:t>
      </w:r>
    </w:p>
    <w:p w14:paraId="104B85A4" w14:textId="77777777" w:rsidR="00F73706" w:rsidRPr="004A7E08" w:rsidRDefault="00F73706" w:rsidP="00D13352">
      <w:pPr>
        <w:pStyle w:val="BodyA"/>
        <w:spacing w:before="100" w:after="100"/>
        <w:jc w:val="both"/>
        <w:rPr>
          <w:rFonts w:ascii="Avenir Next" w:hAnsi="Avenir Next"/>
          <w:color w:val="auto"/>
          <w:sz w:val="24"/>
        </w:rPr>
      </w:pPr>
      <w:bookmarkStart w:id="2" w:name="_Hlk71246112"/>
      <w:bookmarkEnd w:id="0"/>
      <w:r w:rsidRPr="004A7E08">
        <w:rPr>
          <w:rFonts w:ascii="Avenir Next" w:hAnsi="Avenir Next"/>
          <w:color w:val="auto"/>
          <w:sz w:val="24"/>
        </w:rPr>
        <w:t xml:space="preserve">Según </w:t>
      </w:r>
      <w:r>
        <w:rPr>
          <w:rFonts w:ascii="Avenir Next" w:hAnsi="Avenir Next"/>
          <w:color w:val="auto"/>
          <w:sz w:val="24"/>
        </w:rPr>
        <w:t>el</w:t>
      </w:r>
      <w:r w:rsidRPr="004A7E08">
        <w:rPr>
          <w:rFonts w:ascii="Avenir Next" w:hAnsi="Avenir Next"/>
          <w:color w:val="auto"/>
          <w:sz w:val="24"/>
        </w:rPr>
        <w:t xml:space="preserve"> Indicador Sintético de Actividad de Andalucía del Observatorio Económico de Andalucía (IOEA), la economía andaluza experimentó un crecimiento </w:t>
      </w:r>
      <w:proofErr w:type="spellStart"/>
      <w:r w:rsidRPr="004A7E08">
        <w:rPr>
          <w:rFonts w:ascii="Avenir Next" w:hAnsi="Avenir Next"/>
          <w:color w:val="auto"/>
          <w:sz w:val="24"/>
        </w:rPr>
        <w:t>intertrimestral</w:t>
      </w:r>
      <w:proofErr w:type="spellEnd"/>
      <w:r w:rsidRPr="004A7E08">
        <w:rPr>
          <w:rFonts w:ascii="Avenir Next" w:hAnsi="Avenir Next"/>
          <w:color w:val="auto"/>
          <w:sz w:val="24"/>
        </w:rPr>
        <w:t xml:space="preserve"> del Producto Interior Bruto (PIB) del </w:t>
      </w:r>
      <w:r>
        <w:rPr>
          <w:rFonts w:ascii="Avenir Next" w:hAnsi="Avenir Next"/>
          <w:color w:val="auto"/>
          <w:sz w:val="24"/>
        </w:rPr>
        <w:t>0</w:t>
      </w:r>
      <w:r w:rsidRPr="004A7E08">
        <w:rPr>
          <w:rFonts w:ascii="Avenir Next" w:hAnsi="Avenir Next"/>
          <w:color w:val="auto"/>
          <w:sz w:val="24"/>
        </w:rPr>
        <w:t xml:space="preserve">,2% en el </w:t>
      </w:r>
      <w:r>
        <w:rPr>
          <w:rFonts w:ascii="Avenir Next" w:hAnsi="Avenir Next"/>
          <w:color w:val="auto"/>
          <w:sz w:val="24"/>
        </w:rPr>
        <w:t xml:space="preserve">primer </w:t>
      </w:r>
      <w:r w:rsidRPr="004A7E08">
        <w:rPr>
          <w:rFonts w:ascii="Avenir Next" w:hAnsi="Avenir Next"/>
          <w:color w:val="auto"/>
          <w:sz w:val="24"/>
        </w:rPr>
        <w:t>trimestre de 202</w:t>
      </w:r>
      <w:r>
        <w:rPr>
          <w:rFonts w:ascii="Avenir Next" w:hAnsi="Avenir Next"/>
          <w:color w:val="auto"/>
          <w:sz w:val="24"/>
        </w:rPr>
        <w:t>2</w:t>
      </w:r>
      <w:r w:rsidRPr="004A7E08">
        <w:rPr>
          <w:rFonts w:ascii="Avenir Next" w:hAnsi="Avenir Next"/>
          <w:color w:val="auto"/>
          <w:sz w:val="24"/>
        </w:rPr>
        <w:t xml:space="preserve">, </w:t>
      </w:r>
      <w:r>
        <w:rPr>
          <w:rFonts w:ascii="Avenir Next" w:hAnsi="Avenir Next"/>
          <w:color w:val="auto"/>
          <w:sz w:val="24"/>
        </w:rPr>
        <w:t>una</w:t>
      </w:r>
      <w:r w:rsidRPr="004A7E08">
        <w:rPr>
          <w:rFonts w:ascii="Avenir Next" w:hAnsi="Avenir Next"/>
          <w:color w:val="auto"/>
          <w:sz w:val="24"/>
        </w:rPr>
        <w:t xml:space="preserve"> décima m</w:t>
      </w:r>
      <w:r>
        <w:rPr>
          <w:rFonts w:ascii="Avenir Next" w:hAnsi="Avenir Next"/>
          <w:color w:val="auto"/>
          <w:sz w:val="24"/>
        </w:rPr>
        <w:t xml:space="preserve">enos </w:t>
      </w:r>
      <w:r w:rsidRPr="004A7E08">
        <w:rPr>
          <w:rFonts w:ascii="Avenir Next" w:hAnsi="Avenir Next"/>
          <w:color w:val="auto"/>
          <w:sz w:val="24"/>
        </w:rPr>
        <w:t xml:space="preserve">que la estimación del </w:t>
      </w:r>
      <w:r>
        <w:rPr>
          <w:rFonts w:ascii="Avenir Next" w:hAnsi="Avenir Next"/>
          <w:color w:val="auto"/>
          <w:sz w:val="24"/>
        </w:rPr>
        <w:t>Instituto Nacional de Estadística (INE)</w:t>
      </w:r>
      <w:r w:rsidRPr="004A7E08">
        <w:rPr>
          <w:rFonts w:ascii="Avenir Next" w:hAnsi="Avenir Next"/>
          <w:color w:val="auto"/>
          <w:sz w:val="24"/>
        </w:rPr>
        <w:t xml:space="preserve"> para el PIB español. Con esta tasa, el crecimiento interanual del </w:t>
      </w:r>
      <w:r>
        <w:rPr>
          <w:rFonts w:ascii="Avenir Next" w:hAnsi="Avenir Next"/>
          <w:color w:val="auto"/>
          <w:sz w:val="24"/>
        </w:rPr>
        <w:t>indicador estimado por el Observatorio Económico de Andalucía</w:t>
      </w:r>
      <w:r w:rsidRPr="004A7E08">
        <w:rPr>
          <w:rFonts w:ascii="Avenir Next" w:hAnsi="Avenir Next"/>
          <w:color w:val="auto"/>
          <w:sz w:val="24"/>
        </w:rPr>
        <w:t xml:space="preserve"> para el </w:t>
      </w:r>
      <w:r>
        <w:rPr>
          <w:rFonts w:ascii="Avenir Next" w:hAnsi="Avenir Next"/>
          <w:color w:val="auto"/>
          <w:sz w:val="24"/>
        </w:rPr>
        <w:t>primer trim</w:t>
      </w:r>
      <w:r w:rsidRPr="004A7E08">
        <w:rPr>
          <w:rFonts w:ascii="Avenir Next" w:hAnsi="Avenir Next"/>
          <w:color w:val="auto"/>
          <w:sz w:val="24"/>
        </w:rPr>
        <w:t>estre de 202</w:t>
      </w:r>
      <w:r>
        <w:rPr>
          <w:rFonts w:ascii="Avenir Next" w:hAnsi="Avenir Next"/>
          <w:color w:val="auto"/>
          <w:sz w:val="24"/>
        </w:rPr>
        <w:t>2</w:t>
      </w:r>
      <w:r w:rsidRPr="004A7E08">
        <w:rPr>
          <w:rFonts w:ascii="Avenir Next" w:hAnsi="Avenir Next"/>
          <w:color w:val="auto"/>
          <w:sz w:val="24"/>
        </w:rPr>
        <w:t xml:space="preserve"> es del </w:t>
      </w:r>
      <w:r>
        <w:rPr>
          <w:rFonts w:ascii="Avenir Next" w:hAnsi="Avenir Next"/>
          <w:color w:val="auto"/>
          <w:sz w:val="24"/>
        </w:rPr>
        <w:t>6,5</w:t>
      </w:r>
      <w:r w:rsidRPr="004A7E08">
        <w:rPr>
          <w:rFonts w:ascii="Avenir Next" w:hAnsi="Avenir Next"/>
          <w:color w:val="auto"/>
          <w:sz w:val="24"/>
        </w:rPr>
        <w:t xml:space="preserve">%, </w:t>
      </w:r>
      <w:r>
        <w:rPr>
          <w:rFonts w:ascii="Avenir Next" w:hAnsi="Avenir Next"/>
          <w:color w:val="auto"/>
          <w:sz w:val="24"/>
        </w:rPr>
        <w:t xml:space="preserve">una décima superior </w:t>
      </w:r>
      <w:r w:rsidRPr="004A7E08">
        <w:rPr>
          <w:rFonts w:ascii="Avenir Next" w:hAnsi="Avenir Next"/>
          <w:color w:val="auto"/>
          <w:sz w:val="24"/>
        </w:rPr>
        <w:t xml:space="preserve">al estimado </w:t>
      </w:r>
      <w:r>
        <w:rPr>
          <w:rFonts w:ascii="Avenir Next" w:hAnsi="Avenir Next"/>
          <w:color w:val="auto"/>
          <w:sz w:val="24"/>
        </w:rPr>
        <w:t>en la Contabilidad Nacional Trimestral d</w:t>
      </w:r>
      <w:r w:rsidRPr="004A7E08">
        <w:rPr>
          <w:rFonts w:ascii="Avenir Next" w:hAnsi="Avenir Next"/>
          <w:color w:val="auto"/>
          <w:sz w:val="24"/>
        </w:rPr>
        <w:t>el INE para España.</w:t>
      </w:r>
    </w:p>
    <w:p w14:paraId="3C52AF22" w14:textId="77777777" w:rsidR="00F73706" w:rsidRPr="004F0ECA" w:rsidRDefault="00F73706" w:rsidP="004F0ECA">
      <w:pPr>
        <w:pStyle w:val="BodyA"/>
        <w:spacing w:before="100" w:after="100"/>
        <w:jc w:val="center"/>
        <w:rPr>
          <w:rFonts w:ascii="Avenir Next" w:hAnsi="Avenir Next"/>
          <w:color w:val="auto"/>
          <w:sz w:val="20"/>
          <w:szCs w:val="18"/>
        </w:rPr>
      </w:pPr>
      <w:r>
        <w:rPr>
          <w:rFonts w:ascii="Avenir Next" w:hAnsi="Avenir Next"/>
          <w:noProof/>
          <w:color w:val="auto"/>
          <w:sz w:val="20"/>
          <w:szCs w:val="18"/>
        </w:rPr>
        <w:drawing>
          <wp:inline distT="0" distB="0" distL="0" distR="0" wp14:anchorId="435350B4" wp14:editId="6E4BD00C">
            <wp:extent cx="6141720" cy="3014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1372" cy="3024080"/>
                    </a:xfrm>
                    <a:prstGeom prst="rect">
                      <a:avLst/>
                    </a:prstGeom>
                    <a:noFill/>
                  </pic:spPr>
                </pic:pic>
              </a:graphicData>
            </a:graphic>
          </wp:inline>
        </w:drawing>
      </w:r>
    </w:p>
    <w:p w14:paraId="4B157AED" w14:textId="77777777" w:rsidR="00F73706" w:rsidRPr="004F0ECA" w:rsidRDefault="00F73706"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1219AC32" w14:textId="77777777" w:rsidR="00F73706" w:rsidRPr="004A7E08" w:rsidRDefault="00F73706" w:rsidP="00E46BAE">
      <w:pPr>
        <w:pStyle w:val="BodyA"/>
        <w:spacing w:before="100" w:after="100"/>
        <w:jc w:val="center"/>
        <w:rPr>
          <w:rFonts w:ascii="Avenir Next" w:hAnsi="Avenir Next"/>
          <w:color w:val="auto"/>
          <w:sz w:val="24"/>
        </w:rPr>
      </w:pPr>
    </w:p>
    <w:p w14:paraId="7DEFA252"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Inicialmente el año 2022 se mostraba esperanzador. La campaña de vacunación en 2021 permitió la reducción paulatina de las restricciones a la actividad durante buena parte de dicho año, lo que justificaba este relativo optimismo. A ello ayudaría una más que probable normalización de la actividad turística y hostelera, que permitiría eliminar entre la primavera y el verano buena parte de la brecha de actividad aún no recuperada. Sin embargo, y a pesar de estas perspectivas iniciales, 2022 ha llegado con muchas más incertidumbres que 2021, tal y como la evolución de ciertos indicadores (consumo, </w:t>
      </w:r>
      <w:r>
        <w:rPr>
          <w:rFonts w:ascii="Avenir Next" w:hAnsi="Avenir Next"/>
          <w:color w:val="auto"/>
          <w:sz w:val="24"/>
        </w:rPr>
        <w:lastRenderedPageBreak/>
        <w:t>precios, importaciones…) ya comienza a reflejar. Con estas incertidumbres, el crecimiento previsto para el año ya no estaba garantizado.</w:t>
      </w:r>
    </w:p>
    <w:p w14:paraId="6D3331C7"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En primer lugar, la sexta ola de la pandemia del COVID-19, presente durante las semanas de transición entre ambos años, obligó a detener temporalmente la desescalada en las medidas restrictivas a la actividad, restando crecimiento de la actividad tanto en las fiestas de Navidad como en las </w:t>
      </w:r>
      <w:r>
        <w:rPr>
          <w:rFonts w:ascii="Avenir Next" w:hAnsi="Avenir Next"/>
          <w:noProof/>
          <w:color w:val="auto"/>
          <w:sz w:val="24"/>
        </w:rPr>
        <mc:AlternateContent>
          <mc:Choice Requires="wps">
            <w:drawing>
              <wp:anchor distT="57150" distB="57150" distL="57145" distR="57145" simplePos="0" relativeHeight="251679744" behindDoc="0" locked="0" layoutInCell="1" allowOverlap="1" wp14:anchorId="6D794136" wp14:editId="5FC7A156">
                <wp:simplePos x="0" y="0"/>
                <wp:positionH relativeFrom="leftMargin">
                  <wp:posOffset>487680</wp:posOffset>
                </wp:positionH>
                <wp:positionV relativeFrom="margin">
                  <wp:posOffset>-274320</wp:posOffset>
                </wp:positionV>
                <wp:extent cx="15240" cy="9418955"/>
                <wp:effectExtent l="0" t="0" r="3810" b="1079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86F71C7" id="Conector recto 18" o:spid="_x0000_s1026" style="position:absolute;flip:x;z-index:25167974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38.4pt,-21.6pt" to="39.6pt,7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" strokecolor="#929292" strokeweight=".5pt">
                <v:stroke miterlimit="4" joinstyle="miter"/>
                <w10:wrap anchorx="margin" anchory="margin"/>
              </v:line>
            </w:pict>
          </mc:Fallback>
        </mc:AlternateContent>
      </w:r>
      <w:r>
        <w:rPr>
          <w:rFonts w:ascii="Avenir Next" w:hAnsi="Avenir Next"/>
          <w:noProof/>
          <w:color w:val="auto"/>
          <w:sz w:val="24"/>
        </w:rPr>
        <mc:AlternateContent>
          <mc:Choice Requires="wps">
            <w:drawing>
              <wp:anchor distT="57150" distB="57150" distL="57145" distR="57145" simplePos="0" relativeHeight="251678720" behindDoc="0" locked="0" layoutInCell="1" allowOverlap="1" wp14:anchorId="08854FAA" wp14:editId="7D4DE40D">
                <wp:simplePos x="0" y="0"/>
                <wp:positionH relativeFrom="leftMargin">
                  <wp:posOffset>7071360</wp:posOffset>
                </wp:positionH>
                <wp:positionV relativeFrom="margin">
                  <wp:posOffset>-335280</wp:posOffset>
                </wp:positionV>
                <wp:extent cx="15240" cy="9418955"/>
                <wp:effectExtent l="0" t="0" r="3810" b="1079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3BD8D4A7" id="Conector recto 17" o:spid="_x0000_s1026" style="position:absolute;flip:x;z-index:25167872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6.8pt,-26.4pt" to="558pt,7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" strokecolor="#929292" strokeweight=".5pt">
                <v:stroke miterlimit="4" joinstyle="miter"/>
                <w10:wrap anchorx="margin" anchory="margin"/>
              </v:line>
            </w:pict>
          </mc:Fallback>
        </mc:AlternateContent>
      </w:r>
      <w:r>
        <w:rPr>
          <w:rFonts w:ascii="Avenir Next" w:hAnsi="Avenir Next"/>
          <w:color w:val="auto"/>
          <w:sz w:val="24"/>
        </w:rPr>
        <w:t>semanas que la siguieron. En segundo lugar, la escalada en la tensión geopolítica en Ucrania intensificó la tendencia alcista de multitud de precios, que ya mostraron durante la segunda mitad de 2021 un importante aumento, retrasando la esperada moderación de la inflación a la segunda mitad del año.</w:t>
      </w:r>
    </w:p>
    <w:p w14:paraId="60098139" w14:textId="77777777" w:rsidR="00F73706" w:rsidRDefault="00F73706" w:rsidP="00E46BAE">
      <w:pPr>
        <w:pStyle w:val="BodyA"/>
        <w:spacing w:before="100" w:after="100"/>
        <w:jc w:val="both"/>
        <w:rPr>
          <w:rFonts w:ascii="Avenir Next" w:hAnsi="Avenir Next"/>
          <w:color w:val="auto"/>
          <w:sz w:val="24"/>
        </w:rPr>
      </w:pPr>
      <w:r>
        <w:rPr>
          <w:rFonts w:ascii="Avenir Next" w:hAnsi="Avenir Next"/>
          <w:noProof/>
          <w:color w:val="auto"/>
          <w:sz w:val="24"/>
        </w:rPr>
        <w:drawing>
          <wp:inline distT="0" distB="0" distL="0" distR="0" wp14:anchorId="3032C8E0" wp14:editId="2751007C">
            <wp:extent cx="6155389" cy="2804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1702" cy="2807036"/>
                    </a:xfrm>
                    <a:prstGeom prst="rect">
                      <a:avLst/>
                    </a:prstGeom>
                    <a:noFill/>
                  </pic:spPr>
                </pic:pic>
              </a:graphicData>
            </a:graphic>
          </wp:inline>
        </w:drawing>
      </w:r>
    </w:p>
    <w:p w14:paraId="67AF5121" w14:textId="77777777" w:rsidR="00F73706" w:rsidRPr="00A876BF" w:rsidRDefault="00F73706" w:rsidP="00421DD1">
      <w:pPr>
        <w:pStyle w:val="BodyA"/>
        <w:spacing w:before="100" w:after="100"/>
        <w:jc w:val="both"/>
        <w:rPr>
          <w:rFonts w:ascii="Avenir Next" w:hAnsi="Avenir Next"/>
          <w:color w:val="auto"/>
          <w:sz w:val="20"/>
          <w:szCs w:val="18"/>
        </w:rPr>
      </w:pPr>
      <w:r w:rsidRPr="00A876BF">
        <w:rPr>
          <w:rFonts w:ascii="Avenir Next" w:hAnsi="Avenir Next"/>
          <w:color w:val="auto"/>
          <w:sz w:val="20"/>
          <w:szCs w:val="18"/>
        </w:rPr>
        <w:t>Fuente: OEA</w:t>
      </w:r>
    </w:p>
    <w:p w14:paraId="4BC84EA2" w14:textId="77777777" w:rsidR="00F73706" w:rsidRDefault="00F73706" w:rsidP="00E46BAE">
      <w:pPr>
        <w:pStyle w:val="BodyA"/>
        <w:spacing w:before="100" w:after="100"/>
        <w:jc w:val="both"/>
        <w:rPr>
          <w:rFonts w:ascii="Avenir Next" w:hAnsi="Avenir Next"/>
          <w:color w:val="auto"/>
          <w:sz w:val="24"/>
        </w:rPr>
      </w:pPr>
    </w:p>
    <w:p w14:paraId="5E7D690D"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Respecto a esta última cuestión, muy relevante para el análisis de este inicio de año, hay que señalar que, antes incluso de que los efectos económicos del conflicto en Ucrania se dejaran sentir en toda su magnitud (finales de febrero), la inflación española alcanzaba el 7,2 % en tasa interanual. A su vez, y a pesar del fuerte componente energético de este crecimiento, la inflación subyacente superaba el límite del 3 %, lo que implicaba un aumento en las expectativas de subidas de tipos y, con ello, una más que probable ralentización económica.</w:t>
      </w:r>
    </w:p>
    <w:p w14:paraId="0C340D83"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Sin embargo, lo peor estaba por llegar. La invasión rusa de Ucrania el 24 de febrero se sumó a los factores que ya para entonces comenzaban a ejercer como limitantes del crecimiento. No cabe duda, pues, que el inicio del conflicto ucraniano debe ser señalado como la principal explicación, ya sea directa o indirectamente, de la moderación en la evolución de algunos de los componentes del Producto Interior Bruto español y andaluz. El factor más relevante e inmediato es, de nuevo, el aumento de los precios energéticos, como son el gas y el crudo y su derivada en el precio de la electricidad y combustibles, así como el de ciertos alimentos básicos tales como los cereales y algunas grasas, en particular el aceite de girasol. </w:t>
      </w:r>
    </w:p>
    <w:p w14:paraId="43F722BF"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Como consecuencia directa de ello, debemos mencionar el aumento de la tasa de crecimiento interanual del IPC, en el mes de marzo, del 9,8 % para España y del 9,9 % para Andalucía. Este aumento de la inflación resintió las economías de las familias, contrayendo el consumo y explicando buena parte de la mencionada moderación del crecimiento económico.</w:t>
      </w:r>
    </w:p>
    <w:p w14:paraId="7AFCD027"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Junto con el efecto de los precios en el crecimiento, es necesario mencionar la huelga del transporte por carretera, que durante el mes de marzo amenazó con paralizar buena parte de la economía española y andaluza. En este caso, la falta de suministro en varias cadenas productivas, que pudo afectar a la industria, así como la escasez de bienes básicos en el comercio al por menor, pudieron restar varias décimas al crecimiento e impulsar los precios de no pocos productos.</w:t>
      </w:r>
    </w:p>
    <w:p w14:paraId="4FCA4F0B" w14:textId="77777777" w:rsidR="00F73706" w:rsidRDefault="00F73706" w:rsidP="00E46BAE">
      <w:pPr>
        <w:pStyle w:val="BodyA"/>
        <w:spacing w:before="100" w:after="100"/>
        <w:jc w:val="both"/>
        <w:rPr>
          <w:rFonts w:ascii="Avenir Next" w:hAnsi="Avenir Next"/>
          <w:color w:val="auto"/>
          <w:sz w:val="24"/>
        </w:rPr>
      </w:pPr>
      <w:r>
        <w:rPr>
          <w:rFonts w:ascii="Avenir Next" w:hAnsi="Avenir Next"/>
          <w:noProof/>
          <w:color w:val="auto"/>
          <w:sz w:val="24"/>
        </w:rPr>
        <mc:AlternateContent>
          <mc:Choice Requires="wps">
            <w:drawing>
              <wp:anchor distT="57150" distB="57150" distL="57145" distR="57145" simplePos="0" relativeHeight="251667456" behindDoc="0" locked="0" layoutInCell="1" allowOverlap="1" wp14:anchorId="698C56FB" wp14:editId="47F1D564">
                <wp:simplePos x="0" y="0"/>
                <wp:positionH relativeFrom="leftMargin">
                  <wp:posOffset>6978015</wp:posOffset>
                </wp:positionH>
                <wp:positionV relativeFrom="margin">
                  <wp:posOffset>0</wp:posOffset>
                </wp:positionV>
                <wp:extent cx="15240" cy="9418955"/>
                <wp:effectExtent l="0" t="0" r="3810" b="1079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6B19AEF6" id="Conector recto 16" o:spid="_x0000_s1026" style="position:absolute;flip:x;z-index:251667456;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49.45pt,0" to="550.65pt,7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" strokecolor="#929292" strokeweight=".5pt">
                <v:stroke miterlimit="4" joinstyle="miter"/>
                <w10:wrap anchorx="margin" anchory="margin"/>
              </v:line>
            </w:pict>
          </mc:Fallback>
        </mc:AlternateContent>
      </w:r>
      <w:r>
        <w:rPr>
          <w:rFonts w:ascii="Avenir Next" w:hAnsi="Avenir Next"/>
          <w:color w:val="auto"/>
          <w:sz w:val="24"/>
        </w:rPr>
        <w:t>En sentido positivo, tanto la inversión como la recuperación de ciertas actividades aún lastradas por la pandemia pudieron compensar la evolución negativa del consumo de los hogares andaluces. En particular, el aumento del consumo de los no residentes, gracias a la recuperación del turismo.</w:t>
      </w:r>
    </w:p>
    <w:p w14:paraId="1F4741F9" w14:textId="77777777" w:rsidR="00F73706" w:rsidRPr="00C075E0" w:rsidRDefault="00F73706" w:rsidP="00E46BAE">
      <w:pPr>
        <w:pStyle w:val="BodyA"/>
        <w:spacing w:before="100" w:after="100"/>
        <w:jc w:val="both"/>
        <w:rPr>
          <w:rFonts w:ascii="Avenir Next" w:hAnsi="Avenir Next"/>
          <w:color w:val="auto"/>
          <w:sz w:val="24"/>
        </w:rPr>
      </w:pPr>
      <w:r>
        <w:rPr>
          <w:rFonts w:ascii="Avenir Next" w:hAnsi="Avenir Next"/>
          <w:color w:val="auto"/>
          <w:sz w:val="24"/>
        </w:rPr>
        <w:t>Finalmente, no debemos olvidar la aceleración en la ejecución de los fondos europeos asociados al Plan de Recuperación, Transformación y Resiliencia y cuyos efectos en la demanda no deben menospreciarse. Así, y como resumen de todo lo anterior, el primer trimestre de 2022 debe dibujarse como un trimestre complejo que, finalmente, pudo salvarse con una exigua tasa de crecimiento en Andalucía del 0,2 %.</w:t>
      </w:r>
      <w:r>
        <w:rPr>
          <w:rFonts w:ascii="Avenir Next Demi Bold" w:hAnsi="Avenir Next Demi Bold"/>
          <w:b/>
          <w:bCs/>
          <w:noProof/>
          <w:color w:val="auto"/>
          <w:sz w:val="28"/>
          <w:szCs w:val="28"/>
          <w:u w:color="022ED3"/>
        </w:rPr>
        <mc:AlternateContent>
          <mc:Choice Requires="wps">
            <w:drawing>
              <wp:anchor distT="57150" distB="57150" distL="57145" distR="57145" simplePos="0" relativeHeight="251663360" behindDoc="0" locked="0" layoutInCell="1" allowOverlap="1" wp14:anchorId="239440FC" wp14:editId="098DCD5B">
                <wp:simplePos x="0" y="0"/>
                <wp:positionH relativeFrom="leftMargin">
                  <wp:posOffset>526415</wp:posOffset>
                </wp:positionH>
                <wp:positionV relativeFrom="margin">
                  <wp:align>center</wp:align>
                </wp:positionV>
                <wp:extent cx="15240" cy="9418955"/>
                <wp:effectExtent l="0" t="0" r="3810" b="1079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28ACD24" id="Conector recto 15" o:spid="_x0000_s1026" style="position:absolute;flip:x;z-index:251663360;visibility:visible;mso-wrap-style:square;mso-width-percent:0;mso-height-percent:0;mso-wrap-distance-left:1.58736mm;mso-wrap-distance-top:4.5pt;mso-wrap-distance-right:1.58736mm;mso-wrap-distance-bottom:4.5pt;mso-position-horizontal:absolute;mso-position-horizontal-relative:left-margin-area;mso-position-vertical:center;mso-position-vertical-relative:margin;mso-width-percent:0;mso-height-percent:0;mso-width-relative:page;mso-height-relative:page" from="41.45pt,0" to="42.65pt,7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" strokecolor="#929292" strokeweight=".5pt">
                <v:stroke miterlimit="4" joinstyle="miter"/>
                <w10:wrap anchorx="margin" anchory="margin"/>
              </v:line>
            </w:pict>
          </mc:Fallback>
        </mc:AlternateContent>
      </w:r>
    </w:p>
    <w:p w14:paraId="0BBAB34B" w14:textId="77777777" w:rsidR="00F73706" w:rsidRDefault="00F73706"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147D02D0" w14:textId="77777777" w:rsidR="00F73706" w:rsidRDefault="00F73706" w:rsidP="00E46BAE">
      <w:pPr>
        <w:pStyle w:val="BodyA"/>
        <w:spacing w:before="100" w:after="100"/>
        <w:jc w:val="both"/>
        <w:rPr>
          <w:rFonts w:ascii="Avenir Next Demi Bold" w:hAnsi="Avenir Next Demi Bold"/>
          <w:b/>
          <w:bCs/>
          <w:color w:val="022ED3"/>
          <w:sz w:val="28"/>
          <w:szCs w:val="28"/>
          <w:u w:color="022ED3"/>
        </w:rPr>
      </w:pPr>
    </w:p>
    <w:p w14:paraId="1AE1B2BE" w14:textId="77777777" w:rsidR="00F73706" w:rsidRDefault="00F73706" w:rsidP="00E46BAE">
      <w:pPr>
        <w:pStyle w:val="BodyA"/>
        <w:spacing w:before="100" w:after="100"/>
        <w:jc w:val="both"/>
        <w:rPr>
          <w:rFonts w:ascii="Avenir Next" w:hAnsi="Avenir Next"/>
          <w:color w:val="auto"/>
          <w:sz w:val="24"/>
        </w:rPr>
      </w:pPr>
      <w:r w:rsidRPr="004A7E08">
        <w:rPr>
          <w:rFonts w:ascii="Avenir Next" w:hAnsi="Avenir Next"/>
          <w:color w:val="auto"/>
          <w:sz w:val="24"/>
        </w:rPr>
        <w:t xml:space="preserve">Según la Encuesta de Población Activa (EPA), </w:t>
      </w:r>
      <w:r>
        <w:rPr>
          <w:rFonts w:ascii="Avenir Next" w:hAnsi="Avenir Next"/>
          <w:color w:val="auto"/>
          <w:sz w:val="24"/>
        </w:rPr>
        <w:t>durante el primer trimestre de 2022 la ocupación disminuyó en 32 mil ocupados. Aunque en una primera impresión esta caída es coherente con el debilitamiento de la economía andaluza por las razones antes argumentadas, lo cierto es que esta reducción se debió, en buena parte, al efecto estacional, singularmente por la finalización de los contratos de Navidad. Como prueba de ello, en comparaciones anuales, la ocupación siguió aumentando al mismo ritmo en los tres primeros meses del año que en el último trimestre de 2021. Más aun, este crecimiento fue superior a la media nacional en casi un punto porcentual.</w:t>
      </w:r>
    </w:p>
    <w:p w14:paraId="5F92D9F2" w14:textId="77777777" w:rsidR="00F73706" w:rsidRPr="004A7E08" w:rsidRDefault="00F73706" w:rsidP="00E46BAE">
      <w:pPr>
        <w:pStyle w:val="BodyA"/>
        <w:spacing w:before="100" w:after="100"/>
        <w:jc w:val="both"/>
        <w:rPr>
          <w:rFonts w:ascii="Avenir Next" w:hAnsi="Avenir Next"/>
          <w:color w:val="auto"/>
          <w:sz w:val="24"/>
        </w:rPr>
      </w:pPr>
      <w:r>
        <w:rPr>
          <w:rFonts w:ascii="Avenir Next" w:hAnsi="Avenir Next"/>
          <w:color w:val="auto"/>
          <w:sz w:val="24"/>
        </w:rPr>
        <w:t>Dicho lo anterior, aunque el efecto estacional fuera relevante, no es menos cierto que se observan en los datos de empleo parte de los factores adversos antes identificados. En primer lugar, porque la contracción en la ocupación se concentra en la actividad comercial (-28 mil), solo parcialmente compensada por otras actividades de los servicios. Aunque esta caída puede explicarse, de nuevo, por el final de la campaña navideña, el índice de comercio al por menor pone de manifiesto que el sector comercial sufrió en mayor grado el aumento de la incertidumbre económica en los hogares andaluces y, en particular, las consecuencias de la huelga de transporte. En segundo lugar, y a pesar de lo anterior, no fue el sector servicios el que más ocupación destruyó en este primer trimestre, sino que lo fue la industria (-18 mil empleos). Aunque este sector tiene también un componente estacional que reduce la ocupación en el primer trimestre, no es posible descartar que este ajuste también pueda deberse a las convulsiones económicas globales, así como a los aún no eliminados, e incluso intensificados problemas de suministros por la huelga de transporte.</w:t>
      </w:r>
    </w:p>
    <w:p w14:paraId="1FBFF83A" w14:textId="77777777" w:rsidR="00F73706" w:rsidRPr="004A7E08" w:rsidRDefault="00F73706" w:rsidP="00E46BAE">
      <w:pPr>
        <w:pStyle w:val="BodyA"/>
        <w:spacing w:before="100" w:after="100"/>
        <w:jc w:val="both"/>
        <w:rPr>
          <w:rFonts w:ascii="Avenir Next" w:hAnsi="Avenir Next"/>
          <w:color w:val="auto"/>
          <w:sz w:val="24"/>
        </w:rPr>
      </w:pPr>
      <w:r>
        <w:rPr>
          <w:rFonts w:ascii="Avenir Next" w:hAnsi="Avenir Next"/>
          <w:color w:val="auto"/>
          <w:sz w:val="24"/>
        </w:rPr>
        <w:t>A pesar de este comportamiento relativamente negativo en la ocupación, el número de desempleados en Andalucía cayó durante el primer trimestre en 45.900 personas. Esta aparente divergencia de los dos grandes agregados del mercado de trabajo puede explicarse por la consecuente contracción del número de personas activas, lo que siempre es motivo de preocupación. Así, en el primer trimestre de 2022, la población desempleada quedaba en Andalucía en 775.000, una cuarta parte del total de desempleados españoles, lo que supone una tasa de desempleo del 19,4 % de la población activa, ocho décimas menos que en el cuarto trimestre de 2021, aunque aún casi seis puntos superiores a la media nacional</w:t>
      </w:r>
      <w:r w:rsidRPr="004A7E08">
        <w:rPr>
          <w:rFonts w:ascii="Avenir Next" w:hAnsi="Avenir Next"/>
          <w:color w:val="auto"/>
          <w:sz w:val="24"/>
        </w:rPr>
        <w:t xml:space="preserve">. </w:t>
      </w:r>
    </w:p>
    <w:p w14:paraId="22A27E59"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La dinámica mostrada por los datos de la EPA es acompañada por otros indicadores del mercado laboral. Es el caso de la afiliación a la Seguridad Social, cuyos datos medios para el primer trimestre reflejan un aumento del 4,2 % en comparación con el mismo trimestre del año 2021. Sin embargo, estas cifras no son tan positivas si las comparamos con el trimestre anterior, ya que el saldo en este caso es negativo, con una caída de la afiliación de 7.508. Aunque esta evolución, una vez más, puede estar condicionada por el efecto estacional, más si cabe al comprobar que son la afiliación en la agricultura y en el comercio las que más se resienten, no es posible descartar un efecto adicional por la inflación y la huelga, que lleven a tal corrección. Al contrario, entre las actividades cuya afiliación claramente mejoran en estos últimos meses, hay que destacar la</w:t>
      </w:r>
      <w:r>
        <w:rPr>
          <w:rFonts w:ascii="Avenir Next Demi Bold" w:hAnsi="Avenir Next Demi Bold"/>
          <w:b/>
          <w:bCs/>
          <w:noProof/>
          <w:color w:val="auto"/>
          <w:sz w:val="28"/>
          <w:szCs w:val="28"/>
          <w:u w:color="022ED3"/>
        </w:rPr>
        <mc:AlternateContent>
          <mc:Choice Requires="wps">
            <w:drawing>
              <wp:anchor distT="57150" distB="57150" distL="57145" distR="57145" simplePos="0" relativeHeight="251664384" behindDoc="0" locked="0" layoutInCell="1" allowOverlap="1" wp14:anchorId="200BCC51" wp14:editId="7FA9F200">
                <wp:simplePos x="0" y="0"/>
                <wp:positionH relativeFrom="leftMargin">
                  <wp:posOffset>540385</wp:posOffset>
                </wp:positionH>
                <wp:positionV relativeFrom="margin">
                  <wp:posOffset>-161290</wp:posOffset>
                </wp:positionV>
                <wp:extent cx="15240" cy="9589135"/>
                <wp:effectExtent l="0" t="0" r="3810" b="1206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913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79B86710" id="Conector recto 14" o:spid="_x0000_s1026" style="position:absolute;flip:x;z-index:25166438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2.55pt,-12.7pt" to="43.75pt,7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" strokecolor="#929292" strokeweight=".5pt">
                <v:stroke miterlimit="4" joinstyle="miter"/>
                <w10:wrap anchorx="margin" anchory="margin"/>
              </v:line>
            </w:pict>
          </mc:Fallback>
        </mc:AlternateContent>
      </w:r>
      <w:r>
        <w:rPr>
          <w:rFonts w:ascii="Avenir Next Demi Bold" w:hAnsi="Avenir Next Demi Bold"/>
          <w:b/>
          <w:bCs/>
          <w:noProof/>
          <w:color w:val="auto"/>
          <w:sz w:val="28"/>
          <w:szCs w:val="28"/>
          <w:u w:color="022ED3"/>
        </w:rPr>
        <mc:AlternateContent>
          <mc:Choice Requires="wps">
            <w:drawing>
              <wp:anchor distT="57150" distB="57150" distL="57145" distR="57145" simplePos="0" relativeHeight="251665408" behindDoc="0" locked="0" layoutInCell="1" allowOverlap="1" wp14:anchorId="35B5DB25" wp14:editId="1CA4D8B6">
                <wp:simplePos x="0" y="0"/>
                <wp:positionH relativeFrom="leftMargin">
                  <wp:posOffset>7028815</wp:posOffset>
                </wp:positionH>
                <wp:positionV relativeFrom="margin">
                  <wp:posOffset>-105410</wp:posOffset>
                </wp:positionV>
                <wp:extent cx="15240" cy="9533890"/>
                <wp:effectExtent l="0" t="0" r="3810" b="1016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89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15BB193A" id="Conector recto 13" o:spid="_x0000_s1026" style="position:absolute;flip:x;z-index:25166540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3.45pt,-8.3pt" to="554.65pt,7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" strokecolor="#929292" strokeweight=".5pt">
                <v:stroke miterlimit="4" joinstyle="miter"/>
                <w10:wrap anchorx="margin" anchory="margin"/>
              </v:line>
            </w:pict>
          </mc:Fallback>
        </mc:AlternateContent>
      </w:r>
      <w:r>
        <w:rPr>
          <w:rFonts w:ascii="Avenir Next" w:hAnsi="Avenir Next"/>
          <w:color w:val="auto"/>
          <w:sz w:val="24"/>
        </w:rPr>
        <w:t xml:space="preserve"> construcción, la hostelería, y la educación. Finalmente, y en coherencia con todo lo anterior, los datos de paro registrado para el primer trimestre </w:t>
      </w:r>
      <w:r w:rsidRPr="002461D2">
        <w:rPr>
          <w:rFonts w:ascii="Avenir Next" w:hAnsi="Avenir Next"/>
          <w:color w:val="auto"/>
          <w:sz w:val="24"/>
        </w:rPr>
        <w:t>combinan un muy buen comportamiento en términos interanuales con uno no tan positivo</w:t>
      </w:r>
      <w:r>
        <w:rPr>
          <w:rFonts w:ascii="Avenir Next" w:hAnsi="Avenir Next"/>
          <w:color w:val="auto"/>
          <w:sz w:val="24"/>
        </w:rPr>
        <w:t xml:space="preserve"> </w:t>
      </w:r>
      <w:proofErr w:type="spellStart"/>
      <w:r w:rsidRPr="00EB3765">
        <w:rPr>
          <w:rFonts w:ascii="Avenir Next" w:hAnsi="Avenir Next"/>
          <w:color w:val="auto"/>
          <w:sz w:val="24"/>
        </w:rPr>
        <w:t>intertrimestral</w:t>
      </w:r>
      <w:proofErr w:type="spellEnd"/>
      <w:r>
        <w:rPr>
          <w:rFonts w:ascii="Avenir Next" w:hAnsi="Avenir Next"/>
          <w:color w:val="auto"/>
          <w:sz w:val="24"/>
        </w:rPr>
        <w:t xml:space="preserve"> que convalidaría la hipótesis de la moderación en la evolución de la actividad y, más en concreto, el contagio del menor consumo de los hogares sobre el mercado de trabajo. </w:t>
      </w:r>
    </w:p>
    <w:p w14:paraId="4ED5D56D" w14:textId="77777777" w:rsidR="00F73706" w:rsidRPr="004A7E08" w:rsidRDefault="00F73706" w:rsidP="00E46BAE">
      <w:pPr>
        <w:pStyle w:val="BodyA"/>
        <w:spacing w:before="100" w:after="100"/>
        <w:jc w:val="both"/>
        <w:rPr>
          <w:rFonts w:ascii="Avenir Next" w:hAnsi="Avenir Next"/>
          <w:color w:val="auto"/>
          <w:sz w:val="24"/>
        </w:rPr>
      </w:pPr>
    </w:p>
    <w:p w14:paraId="7C69A02B" w14:textId="77777777" w:rsidR="00F73706" w:rsidRDefault="00F73706" w:rsidP="00E46BAE">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7B328F33" w14:textId="77777777" w:rsidR="00F73706" w:rsidRDefault="00F73706" w:rsidP="00E46BAE">
      <w:pPr>
        <w:pStyle w:val="BodyA"/>
        <w:spacing w:before="100" w:after="100"/>
        <w:jc w:val="both"/>
        <w:rPr>
          <w:rFonts w:ascii="Avenir Next" w:hAnsi="Avenir Next"/>
          <w:color w:val="auto"/>
          <w:sz w:val="24"/>
        </w:rPr>
      </w:pPr>
    </w:p>
    <w:p w14:paraId="5DAC81D9"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La subida de precios de los productos energéticos, tan relevantes para la cesta de la compra de un hogar medio, unido al impacto que la huelga de transporte pudo tener sobre el consumo, explican parte del comportamiento negativo de este relevante componente de la demanda agregada. Dicho comportamiento, a su vez, explicaría casi la totalidad del recorte en la tasa de crecimiento del PIB andaluz en este primer trimestre.</w:t>
      </w:r>
    </w:p>
    <w:p w14:paraId="3DFE5872"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Particularmente relevante, para alcanzar esta conclusión, es la evolución del índice de comercio al por menor durante los primeros meses del año. Según este indicador, las compras a través de los comercios minoristas se contrajeron durante el mes de febrero, último disponible en la serie histórica. También es negativa la evolución de las matriculaciones de turismos que, muy probablemente, se vieron doblemente afectadas tanto por el debilitamiento de la renta real de las familias como por los posibles efectos de la crisis de suministros aún presentes y agravados por la huelga de transporte. Sin embargo, algunos indicadores de consumo muestran un comportamiento distinto, como es el caso de las ventas en grandes superficies. Esta aparente contradicción puede explicarse porque su evolución solo esté mostrando, de momento, un ajuste en la estructura de la cesta de la compra de los andaluces como respuesta a la evolución de los precios. </w:t>
      </w:r>
    </w:p>
    <w:p w14:paraId="6193D57E"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Y es que no cabe duda de que buena parte de la reducción del consumo de los hogares puede explicarse por la reacción de éste a la importante caída de la renta real de las familias, severamente castigada por el crecimiento de los precios. En marzo, la tasa de inflación en Andalucía se quedó a tan solo una décima del 10 %. Esta inflación se explica en buena parte por la evolución de los precios energéticos y de ciertos alimentos; sin embargo, no es menos cierto que van adquiriendo protagonismo los precios de otros bienes y servicios por el aumento de los costes de producción. No obstante, y a pesar de ello, aún en marzo, más de la mitad del aumento de los precios seguía explicándose por el comportamiento de solo dos de las más de dos centenas de rúbricas con las que se construye el índice de precios: la electricidad y los carburantes. Como consecuencia, el ajuste en el consumo se explicaría por el aumento de los precios relativos de la energía que obligaría a dedicar cada vez mayores recursos económicos del hogar a satisfacer la demanda de bienes muy inelásticos a corto plazo. Esta desviación de recursos exigiría una redefinición de la estructura de la cesta de la compra y, finalmente, se traduciría en una caída del consumo en términos reales.</w:t>
      </w:r>
    </w:p>
    <w:p w14:paraId="7F7238EF" w14:textId="77777777" w:rsidR="00F73706" w:rsidRPr="009C5937" w:rsidRDefault="00F73706" w:rsidP="00E46BAE">
      <w:pPr>
        <w:pStyle w:val="BodyA"/>
        <w:spacing w:before="100" w:after="100"/>
        <w:jc w:val="both"/>
        <w:rPr>
          <w:rFonts w:ascii="Avenir Next" w:hAnsi="Avenir Next"/>
          <w:color w:val="auto"/>
          <w:sz w:val="24"/>
        </w:rPr>
      </w:pPr>
      <w:r>
        <w:rPr>
          <w:rFonts w:ascii="Avenir Next" w:hAnsi="Avenir Next"/>
          <w:color w:val="auto"/>
          <w:sz w:val="24"/>
        </w:rPr>
        <w:t>En todo caso, la evolución negativa del consumo de los hogares pudo ser en buena parte compensada por la evolución positiva del consumo de los no residentes. Así, con datos hasta marzo, el número de viajeros y de pernoctaciones aumentaron a ritmos muy elevados (144 y 165 %, respectivamente) y por encima de la media española</w:t>
      </w:r>
      <w:r w:rsidRPr="009C5937">
        <w:rPr>
          <w:rFonts w:ascii="Avenir Next" w:hAnsi="Avenir Next"/>
          <w:color w:val="auto"/>
          <w:sz w:val="24"/>
        </w:rPr>
        <w:t>.</w:t>
      </w:r>
      <w:r>
        <w:rPr>
          <w:rFonts w:ascii="Avenir Next" w:hAnsi="Avenir Next"/>
          <w:color w:val="auto"/>
          <w:sz w:val="24"/>
        </w:rPr>
        <w:t xml:space="preserve"> Es lógico suponer que una mayor llegada de turistas, así como de pernoctaciones elevara el gasto turístico y, por ello, el consumo de los no </w:t>
      </w:r>
      <w:r w:rsidRPr="00690DA5">
        <w:rPr>
          <w:rFonts w:ascii="Avenir Next" w:hAnsi="Avenir Next"/>
          <w:color w:val="auto"/>
          <w:sz w:val="24"/>
        </w:rPr>
        <w:t>residentes. No en vano, los datos de la Encuesta de Coyuntura Turística así lo reflejan, con tasas de crecimiento, tanto del número de turistas totales como de gasto turístico elevados.</w:t>
      </w:r>
    </w:p>
    <w:p w14:paraId="5BFF13D2"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El consumo público durante el primer trimestre de 2022 podría haberse estabilizado, dejando de aportar al crecimiento del modo que lo hizo durante los dos años anteriores. Esto es lo que al menos se deriva de los datos de empleo. Según la Encuesta de Población Activa (EPA), mientras que en el primer trimestre de 2022 los asalariados en actividades privadas crecían a </w:t>
      </w:r>
      <w:r>
        <w:rPr>
          <w:rFonts w:ascii="Avenir Next" w:hAnsi="Avenir Next"/>
          <w:noProof/>
          <w:color w:val="auto"/>
          <w:sz w:val="24"/>
        </w:rPr>
        <mc:AlternateContent>
          <mc:Choice Requires="wps">
            <w:drawing>
              <wp:anchor distT="57150" distB="57150" distL="57145" distR="57145" simplePos="0" relativeHeight="251668480" behindDoc="0" locked="0" layoutInCell="1" allowOverlap="1" wp14:anchorId="7B1A6F6B" wp14:editId="403149A4">
                <wp:simplePos x="0" y="0"/>
                <wp:positionH relativeFrom="leftMargin">
                  <wp:posOffset>520700</wp:posOffset>
                </wp:positionH>
                <wp:positionV relativeFrom="margin">
                  <wp:posOffset>-67945</wp:posOffset>
                </wp:positionV>
                <wp:extent cx="15240" cy="9588500"/>
                <wp:effectExtent l="0" t="0" r="3810" b="1270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A2998D5" id="Conector recto 12" o:spid="_x0000_s1026" style="position:absolute;flip:x;z-index:25166848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1pt,-5.35pt" to="42.2pt,7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" strokecolor="#929292" strokeweight=".5pt">
                <v:stroke miterlimit="4" joinstyle="miter"/>
                <w10:wrap anchorx="margin" anchory="margin"/>
              </v:line>
            </w:pict>
          </mc:Fallback>
        </mc:AlternateContent>
      </w:r>
      <w:r>
        <w:rPr>
          <w:rFonts w:ascii="Avenir Next" w:hAnsi="Avenir Next"/>
          <w:noProof/>
          <w:color w:val="auto"/>
          <w:sz w:val="24"/>
        </w:rPr>
        <mc:AlternateContent>
          <mc:Choice Requires="wps">
            <w:drawing>
              <wp:anchor distT="57150" distB="57150" distL="57145" distR="57145" simplePos="0" relativeHeight="251669504" behindDoc="0" locked="0" layoutInCell="1" allowOverlap="1" wp14:anchorId="3DE2F677" wp14:editId="4715FD8F">
                <wp:simplePos x="0" y="0"/>
                <wp:positionH relativeFrom="leftMargin">
                  <wp:posOffset>7009130</wp:posOffset>
                </wp:positionH>
                <wp:positionV relativeFrom="margin">
                  <wp:posOffset>-14605</wp:posOffset>
                </wp:positionV>
                <wp:extent cx="15240" cy="9533255"/>
                <wp:effectExtent l="0" t="0" r="381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4CAF1109" id="Conector recto 11" o:spid="_x0000_s1026" style="position:absolute;flip:x;z-index:25166950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1.9pt,-1.15pt" to="553.1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" strokecolor="#929292" strokeweight=".5pt">
                <v:stroke miterlimit="4" joinstyle="miter"/>
                <w10:wrap anchorx="margin" anchory="margin"/>
              </v:line>
            </w:pict>
          </mc:Fallback>
        </mc:AlternateContent>
      </w:r>
      <w:r>
        <w:rPr>
          <w:rFonts w:ascii="Avenir Next" w:hAnsi="Avenir Next"/>
          <w:color w:val="auto"/>
          <w:sz w:val="24"/>
        </w:rPr>
        <w:t xml:space="preserve">una tasa interanual del 7,7 % y del 0,5 % </w:t>
      </w:r>
      <w:proofErr w:type="spellStart"/>
      <w:r>
        <w:rPr>
          <w:rFonts w:ascii="Avenir Next" w:hAnsi="Avenir Next"/>
          <w:color w:val="auto"/>
          <w:sz w:val="24"/>
        </w:rPr>
        <w:t>intertrimestral</w:t>
      </w:r>
      <w:proofErr w:type="spellEnd"/>
      <w:r>
        <w:rPr>
          <w:rFonts w:ascii="Avenir Next" w:hAnsi="Avenir Next"/>
          <w:color w:val="auto"/>
          <w:sz w:val="24"/>
        </w:rPr>
        <w:t>, los asalariados públicos lo hacían a ritmos del 2,7 y -4,1 %, respectivamente. Por lo tanto, durante este trimestre, el sector público, vía remuneraciones, pudo contribuir negativamente al crecimiento de la economía andaluza</w:t>
      </w:r>
      <w:r w:rsidRPr="009C5937">
        <w:rPr>
          <w:rFonts w:ascii="Avenir Next" w:hAnsi="Avenir Next"/>
          <w:color w:val="auto"/>
          <w:sz w:val="24"/>
        </w:rPr>
        <w:t xml:space="preserve">. </w:t>
      </w:r>
    </w:p>
    <w:p w14:paraId="63A847D0" w14:textId="77777777" w:rsidR="00F73706" w:rsidRPr="009C5937" w:rsidRDefault="00F73706" w:rsidP="00E46BAE">
      <w:pPr>
        <w:pStyle w:val="BodyA"/>
        <w:spacing w:before="100" w:after="100"/>
        <w:jc w:val="both"/>
        <w:rPr>
          <w:rFonts w:ascii="Avenir Next" w:hAnsi="Avenir Next"/>
          <w:color w:val="auto"/>
          <w:sz w:val="24"/>
        </w:rPr>
      </w:pPr>
      <w:r>
        <w:rPr>
          <w:rFonts w:ascii="Avenir Next" w:hAnsi="Avenir Next"/>
          <w:color w:val="auto"/>
          <w:sz w:val="24"/>
        </w:rPr>
        <w:t>En cuanto a la inversión, los indicadores disponibles muestran un buen comportamiento. Por ejemplo, tanto los flujos de inversión extranjera como el índice de producción industrial de bienes de equipo experimentaron tasas de crecimiento positivas en términos interanuales y bastante superiores a la media nacional. Junto a ellos, los datos de hipotecas de fincas urbanas seguían mostrando durante el inicio de año un ritmo positivo de crecimiento, con tasas interanuales de entre el 16 y el 22 % según hablemos de número de fincas o importe total hipotecado. Por su parte, la construcción recuperó el dinamismo perdido durante los últimos meses de 2021, con un importante aumento de las viviendas iniciadas.</w:t>
      </w:r>
    </w:p>
    <w:p w14:paraId="49D7DF50" w14:textId="77777777" w:rsidR="00F73706" w:rsidRPr="009C5937" w:rsidRDefault="00F73706" w:rsidP="00E46BAE">
      <w:pPr>
        <w:pStyle w:val="BodyA"/>
        <w:spacing w:before="100" w:after="100"/>
        <w:jc w:val="both"/>
        <w:rPr>
          <w:rFonts w:ascii="Avenir Next" w:hAnsi="Avenir Next"/>
          <w:color w:val="auto"/>
          <w:sz w:val="24"/>
        </w:rPr>
      </w:pPr>
      <w:r>
        <w:rPr>
          <w:rFonts w:ascii="Avenir Next" w:hAnsi="Avenir Next"/>
          <w:color w:val="auto"/>
          <w:sz w:val="24"/>
        </w:rPr>
        <w:t>Finalmente, la demanda externa, sin considerar el consumo de los no residentes, pudo aportar negativamente al crecimiento en el primer trimestre del PIB andaluz. Los datos, hasta el mes de febrero, recogen importantes crecimientos interanuales de las exportaciones, pero sobre todo de las importaciones (30,0 frente a 65,1 %, respectivamente). Esta elevada diferencia vendría explicada por el fuerte aumento de los precios energéticos, muy relevante en la rúbrica de importaciones andaluzas dada la posición estratégica de sendas refinerías en nuestro territorio y que habrían elevado en términos anuales un 127 % el valor de las importaciones de crudo. No obstante, será interesante evaluar la evolución del sector exterior una vez se disponga de los datos del mes de marzo, y que recogerá el indudable y significativo efecto del conflicto en Ucrania en las cuentas externas, tanto por una posible reducción de las exportaciones e, incluso, de importaciones, en términos reales, así como por el efecto precio que haya podido suponer el alza de los precios energéticos durante dicho mes.</w:t>
      </w:r>
    </w:p>
    <w:p w14:paraId="799ED75A" w14:textId="77777777" w:rsidR="00F73706" w:rsidRPr="00C075E0" w:rsidRDefault="00F73706" w:rsidP="00E46BAE">
      <w:pPr>
        <w:pStyle w:val="BodyA"/>
        <w:spacing w:before="100" w:after="100"/>
        <w:jc w:val="both"/>
        <w:rPr>
          <w:rFonts w:ascii="Avenir Next Demi Bold" w:hAnsi="Avenir Next Demi Bold"/>
          <w:b/>
          <w:bCs/>
          <w:color w:val="auto"/>
          <w:sz w:val="28"/>
          <w:szCs w:val="28"/>
          <w:u w:color="022ED3"/>
        </w:rPr>
      </w:pPr>
    </w:p>
    <w:p w14:paraId="5DB888FC" w14:textId="77777777" w:rsidR="00F73706" w:rsidRDefault="00F73706" w:rsidP="00E46BAE">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0B6C1DF7" w14:textId="77777777" w:rsidR="00F73706" w:rsidRDefault="00F73706" w:rsidP="00E46BAE">
      <w:pPr>
        <w:pStyle w:val="BodyA"/>
        <w:spacing w:before="100" w:after="100"/>
        <w:jc w:val="both"/>
        <w:rPr>
          <w:rFonts w:ascii="Avenir Next Demi Bold" w:hAnsi="Avenir Next Demi Bold"/>
          <w:b/>
          <w:bCs/>
          <w:color w:val="022ED3"/>
          <w:sz w:val="28"/>
          <w:szCs w:val="28"/>
          <w:u w:color="022ED3"/>
        </w:rPr>
      </w:pPr>
    </w:p>
    <w:p w14:paraId="4DC64E38"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 xml:space="preserve">Durante el primer trimestre de 2022 continuó la convergencia de la actividad de los servicios con los valores previos a la pandemia. Con datos hasta febrero (por lo que es posible afirmar que aún estos no recogen los posibles efectos de la guerra de Ucrania ni de la huelga del transporte), el índice era un 6 % superior al de los dos primeros meses de 2019. El </w:t>
      </w:r>
      <w:r>
        <w:rPr>
          <w:rFonts w:ascii="Avenir Next" w:hAnsi="Avenir Next"/>
          <w:noProof/>
          <w:color w:val="auto"/>
          <w:sz w:val="24"/>
        </w:rPr>
        <mc:AlternateContent>
          <mc:Choice Requires="wps">
            <w:drawing>
              <wp:anchor distT="57150" distB="57150" distL="57145" distR="57145" simplePos="0" relativeHeight="251670528" behindDoc="0" locked="0" layoutInCell="1" allowOverlap="1" wp14:anchorId="31AD37FC" wp14:editId="5D497AA3">
                <wp:simplePos x="0" y="0"/>
                <wp:positionH relativeFrom="leftMargin">
                  <wp:posOffset>525780</wp:posOffset>
                </wp:positionH>
                <wp:positionV relativeFrom="margin">
                  <wp:posOffset>-50165</wp:posOffset>
                </wp:positionV>
                <wp:extent cx="15240" cy="9588500"/>
                <wp:effectExtent l="0" t="0" r="3810" b="1270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673602C1" id="Conector recto 9" o:spid="_x0000_s1026" style="position:absolute;flip:x;z-index:25167052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1.4pt,-3.95pt" to="42.6pt,7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" strokecolor="#929292" strokeweight=".5pt">
                <v:stroke miterlimit="4" joinstyle="miter"/>
                <w10:wrap anchorx="margin" anchory="margin"/>
              </v:line>
            </w:pict>
          </mc:Fallback>
        </mc:AlternateContent>
      </w:r>
      <w:r>
        <w:rPr>
          <w:rFonts w:ascii="Avenir Next" w:hAnsi="Avenir Next"/>
          <w:noProof/>
          <w:color w:val="auto"/>
          <w:sz w:val="24"/>
        </w:rPr>
        <mc:AlternateContent>
          <mc:Choice Requires="wps">
            <w:drawing>
              <wp:anchor distT="57150" distB="57150" distL="57145" distR="57145" simplePos="0" relativeHeight="251671552" behindDoc="0" locked="0" layoutInCell="1" allowOverlap="1" wp14:anchorId="66F2B2FA" wp14:editId="07C91304">
                <wp:simplePos x="0" y="0"/>
                <wp:positionH relativeFrom="leftMargin">
                  <wp:posOffset>7014210</wp:posOffset>
                </wp:positionH>
                <wp:positionV relativeFrom="margin">
                  <wp:posOffset>3175</wp:posOffset>
                </wp:positionV>
                <wp:extent cx="15240" cy="9533255"/>
                <wp:effectExtent l="0" t="0" r="3810" b="1079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62FF9655" id="Conector recto 8" o:spid="_x0000_s1026" style="position:absolute;flip:x;z-index:25167155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2.3pt,.25pt" to="553.5pt,7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" strokecolor="#929292" strokeweight=".5pt">
                <v:stroke miterlimit="4" joinstyle="miter"/>
                <w10:wrap anchorx="margin" anchory="margin"/>
              </v:line>
            </w:pict>
          </mc:Fallback>
        </mc:AlternateContent>
      </w:r>
      <w:r>
        <w:rPr>
          <w:rFonts w:ascii="Avenir Next" w:hAnsi="Avenir Next"/>
          <w:color w:val="auto"/>
          <w:sz w:val="24"/>
        </w:rPr>
        <w:t>crecimiento de este indicador, para febrero, superó el 19,5 % interanual, siendo esta evolución común para sus diferentes ramas, excepto para el comercio</w:t>
      </w:r>
      <w:r w:rsidRPr="00DC461F">
        <w:rPr>
          <w:rFonts w:ascii="Avenir Next" w:hAnsi="Avenir Next"/>
          <w:color w:val="auto"/>
          <w:sz w:val="24"/>
        </w:rPr>
        <w:t>.</w:t>
      </w:r>
      <w:r>
        <w:rPr>
          <w:rFonts w:ascii="Avenir Next" w:hAnsi="Avenir Next"/>
          <w:color w:val="auto"/>
          <w:sz w:val="24"/>
        </w:rPr>
        <w:t xml:space="preserve"> La ocupación también refleja una recuperación a los niveles previos a la pandemia.</w:t>
      </w:r>
    </w:p>
    <w:p w14:paraId="4BB38ABE" w14:textId="77777777" w:rsidR="00F73706" w:rsidRPr="000302A5" w:rsidRDefault="00F73706" w:rsidP="00B0763F">
      <w:pPr>
        <w:pStyle w:val="BodyA"/>
        <w:spacing w:before="100" w:after="100"/>
        <w:jc w:val="both"/>
        <w:rPr>
          <w:rFonts w:ascii="Avenir Next" w:hAnsi="Avenir Next"/>
          <w:color w:val="auto"/>
          <w:sz w:val="24"/>
        </w:rPr>
      </w:pPr>
      <w:r>
        <w:rPr>
          <w:rFonts w:ascii="Avenir Next" w:hAnsi="Avenir Next"/>
          <w:color w:val="auto"/>
          <w:sz w:val="24"/>
        </w:rPr>
        <w:t>También los afiliados al sector servicio superaron al del último trimestre de 2019. 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p>
    <w:p w14:paraId="41DE710B"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La industria ha tenido un comportamiento positivo en los dos primeros meses del año, pareciendo haber superado los problemas de suministros del segundo semestre de 2021, aunque no habrá sido inmune a los shocks provenientes de la guerra en Ucrania. El índice de producción industrial aumentó un 6,1 % durante estos dos meses, más del doble que la media española. Es necesario destacar el importante avance de la producción industrial de bienes duraderos, con tasas interanuales del 25 % y de la producción industrial de bienes de equipo, muy por encima de una media nacional que prácticamente cerró en plano estos dos meses del año. Destaca por su dinamismo en este inicio del año, la actividad de s</w:t>
      </w:r>
      <w:r w:rsidRPr="0059316A">
        <w:rPr>
          <w:rFonts w:ascii="Avenir Next" w:hAnsi="Avenir Next"/>
          <w:color w:val="auto"/>
          <w:sz w:val="24"/>
        </w:rPr>
        <w:t>uministro de energía eléctrica, gas, vapor y aire acondicionado</w:t>
      </w:r>
      <w:r>
        <w:rPr>
          <w:rFonts w:ascii="Avenir Next" w:hAnsi="Avenir Next"/>
          <w:color w:val="auto"/>
          <w:sz w:val="24"/>
        </w:rPr>
        <w:t>. Además, y en términos de empleo, por primera vez desde el inicio de la pandemia, la industria andaluza logró recuperar la ocupación en todas sus actividades. Esta tendencia positiva se vio corroborada por la evolución de la cifra de negocios de la industria, que en febrero crecía al 27 % interanual, aunque no cabe duda de que buena parte de este aumento vino determinado por la evolución de los precios energéticos, al corresponder a la energía el mayor aumento de la cifra de negocio.</w:t>
      </w:r>
    </w:p>
    <w:p w14:paraId="0DA37A8E"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Sin embargo, los desequilibrios en el sector parecen intensificarse en estos inicios del año. Destaca como principal factor la importante subida de los precios industriales, que siguieron aumentando a ritmos de crecimiento cada vez mayores. Por centrar el dato, en marzo los precios industriales andaluces eran un 65,8 % superiores a los de un año antes, siendo el principal factor de aumento los precios de la energía (137 %). Esta evolución supera a la de la media española, cuyos precios industriales crecieron un 46,6 %. No obstante, y aunque los precios industriales en Andalucía aumentaron en prácticamente todas las actividades por encima de la media española, la diferencia más significativa vino motivada por el mayor peso de las industrias energéticas en Andalucía.</w:t>
      </w:r>
    </w:p>
    <w:p w14:paraId="53A15EF8" w14:textId="77777777" w:rsidR="00F73706" w:rsidRDefault="00F73706" w:rsidP="00E46BAE">
      <w:pPr>
        <w:pStyle w:val="BodyA"/>
        <w:spacing w:before="100" w:after="100"/>
        <w:jc w:val="both"/>
        <w:rPr>
          <w:rFonts w:ascii="Avenir Next" w:hAnsi="Avenir Next"/>
          <w:color w:val="auto"/>
          <w:sz w:val="24"/>
        </w:rPr>
      </w:pPr>
      <w:r>
        <w:rPr>
          <w:rFonts w:ascii="Avenir Next" w:hAnsi="Avenir Next"/>
          <w:color w:val="auto"/>
          <w:sz w:val="24"/>
        </w:rPr>
        <w:t>Finalmente, en el sector de la construcción, tanto los datos de afiliación como los de ocupación muestran una evolución favorable del durante el primer trimestre después de las dudas que se trasladaron desde el sector en los meses intermedios de 2021. Buena parte de esta evolución positiva puede venir explicada por la reactivación de la edificación, como muestran los datos de viviendas iniciadas. Acompañan a estos datos los de compraventas de viviendas, así como los de hipotecas. Además, no debemos olvidar el cada vez mayor protagonismo de la actividad rehabilitadora y que, por razones diferentes, aumenta su peso en el conjunto de la edificación civil. No obstante, hay que tener presente que el sector no es inmune a los shocks antes descritos, y no es descartable que ya en este primer trimestre haya podido iniciar un ajuste por el aumento de los precios de materias primas.</w:t>
      </w:r>
    </w:p>
    <w:bookmarkEnd w:id="1"/>
    <w:bookmarkEnd w:id="2"/>
    <w:p w14:paraId="282A7373"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82816" behindDoc="0" locked="0" layoutInCell="1" allowOverlap="1" wp14:anchorId="495C9BEF" wp14:editId="00D6EF1A">
                <wp:simplePos x="0" y="0"/>
                <wp:positionH relativeFrom="page">
                  <wp:posOffset>685800</wp:posOffset>
                </wp:positionH>
                <wp:positionV relativeFrom="page">
                  <wp:posOffset>838200</wp:posOffset>
                </wp:positionV>
                <wp:extent cx="6184900" cy="1638300"/>
                <wp:effectExtent l="0" t="0" r="0" b="0"/>
                <wp:wrapSquare wrapText="bothSides"/>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70C7A669"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3648016E" w14:textId="77777777" w:rsidR="00F73706" w:rsidRPr="008506D8" w:rsidRDefault="00F73706" w:rsidP="00F73706">
                            <w:pPr>
                              <w:pStyle w:val="Ttulo"/>
                              <w:rPr>
                                <w:b/>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6B428C3" wp14:editId="588CAF35">
                                  <wp:extent cx="6002020" cy="27940"/>
                                  <wp:effectExtent l="0" t="0" r="0" b="0"/>
                                  <wp:docPr id="2077086112" name="Imagen 207708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C9BEF" id="Rectángulo 2" o:spid="_x0000_s1027" style="position:absolute;left:0;text-align:left;margin-left:54pt;margin-top:66pt;width:487pt;height:129pt;z-index:2516828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" filled="f" stroked="f">
                <o:lock v:ext="edit" aspectratio="t"/>
                <v:textbox>
                  <w:txbxContent>
                    <w:p w14:paraId="70C7A669"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3648016E" w14:textId="77777777" w:rsidR="00F73706" w:rsidRPr="008506D8" w:rsidRDefault="00F73706" w:rsidP="00F73706">
                      <w:pPr>
                        <w:pStyle w:val="Ttulo"/>
                        <w:rPr>
                          <w:b/>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6B428C3" wp14:editId="588CAF35">
                            <wp:extent cx="6002020" cy="27940"/>
                            <wp:effectExtent l="0" t="0" r="0" b="0"/>
                            <wp:docPr id="2077086112" name="Imagen 207708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7F9BCB87" w14:textId="77777777" w:rsidR="00F73706" w:rsidRPr="004A7E08" w:rsidRDefault="00F73706" w:rsidP="00F73706">
      <w:pPr>
        <w:pStyle w:val="BodyA"/>
        <w:spacing w:before="100" w:after="100"/>
        <w:jc w:val="both"/>
        <w:rPr>
          <w:rFonts w:ascii="Avenir Next" w:hAnsi="Avenir Next"/>
          <w:color w:val="auto"/>
          <w:sz w:val="24"/>
        </w:rPr>
      </w:pPr>
      <w:r w:rsidRPr="004A7E08">
        <w:rPr>
          <w:rFonts w:ascii="Avenir Next" w:hAnsi="Avenir Next"/>
          <w:color w:val="auto"/>
          <w:sz w:val="24"/>
        </w:rPr>
        <w:t xml:space="preserve">Según </w:t>
      </w:r>
      <w:r>
        <w:rPr>
          <w:rFonts w:ascii="Avenir Next" w:hAnsi="Avenir Next"/>
          <w:color w:val="auto"/>
          <w:sz w:val="24"/>
        </w:rPr>
        <w:t>el</w:t>
      </w:r>
      <w:r w:rsidRPr="004A7E08">
        <w:rPr>
          <w:rFonts w:ascii="Avenir Next" w:hAnsi="Avenir Next"/>
          <w:color w:val="auto"/>
          <w:sz w:val="24"/>
        </w:rPr>
        <w:t xml:space="preserve"> Indicador Sintético de Actividad de Andalucía del Observatorio Económico de Andalucía (IOEA), la economía andaluza experimentó un crecimiento </w:t>
      </w:r>
      <w:proofErr w:type="spellStart"/>
      <w:r w:rsidRPr="004A7E08">
        <w:rPr>
          <w:rFonts w:ascii="Avenir Next" w:hAnsi="Avenir Next"/>
          <w:color w:val="auto"/>
          <w:sz w:val="24"/>
        </w:rPr>
        <w:t>intertrimestral</w:t>
      </w:r>
      <w:proofErr w:type="spellEnd"/>
      <w:r w:rsidRPr="004A7E08">
        <w:rPr>
          <w:rFonts w:ascii="Avenir Next" w:hAnsi="Avenir Next"/>
          <w:color w:val="auto"/>
          <w:sz w:val="24"/>
        </w:rPr>
        <w:t xml:space="preserve"> del Producto Interior Bruto (PIB) del </w:t>
      </w:r>
      <w:r>
        <w:rPr>
          <w:rFonts w:ascii="Avenir Next" w:hAnsi="Avenir Next"/>
          <w:color w:val="auto"/>
          <w:sz w:val="24"/>
        </w:rPr>
        <w:t>0</w:t>
      </w:r>
      <w:r w:rsidRPr="004A7E08">
        <w:rPr>
          <w:rFonts w:ascii="Avenir Next" w:hAnsi="Avenir Next"/>
          <w:color w:val="auto"/>
          <w:sz w:val="24"/>
        </w:rPr>
        <w:t>,</w:t>
      </w:r>
      <w:r>
        <w:rPr>
          <w:rFonts w:ascii="Avenir Next" w:hAnsi="Avenir Next"/>
          <w:color w:val="auto"/>
          <w:sz w:val="24"/>
        </w:rPr>
        <w:t>9</w:t>
      </w:r>
      <w:r w:rsidRPr="004A7E08">
        <w:rPr>
          <w:rFonts w:ascii="Avenir Next" w:hAnsi="Avenir Next"/>
          <w:color w:val="auto"/>
          <w:sz w:val="24"/>
        </w:rPr>
        <w:t xml:space="preserve">% en el </w:t>
      </w:r>
      <w:r>
        <w:rPr>
          <w:rFonts w:ascii="Avenir Next" w:hAnsi="Avenir Next"/>
          <w:color w:val="auto"/>
          <w:sz w:val="24"/>
        </w:rPr>
        <w:t xml:space="preserve">segundo </w:t>
      </w:r>
      <w:r w:rsidRPr="004A7E08">
        <w:rPr>
          <w:rFonts w:ascii="Avenir Next" w:hAnsi="Avenir Next"/>
          <w:color w:val="auto"/>
          <w:sz w:val="24"/>
        </w:rPr>
        <w:t>trimestre de 202</w:t>
      </w:r>
      <w:r>
        <w:rPr>
          <w:rFonts w:ascii="Avenir Next" w:hAnsi="Avenir Next"/>
          <w:color w:val="auto"/>
          <w:sz w:val="24"/>
        </w:rPr>
        <w:t>2</w:t>
      </w:r>
      <w:r w:rsidRPr="004A7E08">
        <w:rPr>
          <w:rFonts w:ascii="Avenir Next" w:hAnsi="Avenir Next"/>
          <w:color w:val="auto"/>
          <w:sz w:val="24"/>
        </w:rPr>
        <w:t xml:space="preserve">, </w:t>
      </w:r>
      <w:r>
        <w:rPr>
          <w:rFonts w:ascii="Avenir Next" w:hAnsi="Avenir Next"/>
          <w:color w:val="auto"/>
          <w:sz w:val="24"/>
        </w:rPr>
        <w:t>dos</w:t>
      </w:r>
      <w:r w:rsidRPr="004A7E08">
        <w:rPr>
          <w:rFonts w:ascii="Avenir Next" w:hAnsi="Avenir Next"/>
          <w:color w:val="auto"/>
          <w:sz w:val="24"/>
        </w:rPr>
        <w:t xml:space="preserve"> décima</w:t>
      </w:r>
      <w:r>
        <w:rPr>
          <w:rFonts w:ascii="Avenir Next" w:hAnsi="Avenir Next"/>
          <w:color w:val="auto"/>
          <w:sz w:val="24"/>
        </w:rPr>
        <w:t xml:space="preserve">s </w:t>
      </w:r>
      <w:r w:rsidRPr="004A7E08">
        <w:rPr>
          <w:rFonts w:ascii="Avenir Next" w:hAnsi="Avenir Next"/>
          <w:color w:val="auto"/>
          <w:sz w:val="24"/>
        </w:rPr>
        <w:t>m</w:t>
      </w:r>
      <w:r>
        <w:rPr>
          <w:rFonts w:ascii="Avenir Next" w:hAnsi="Avenir Next"/>
          <w:color w:val="auto"/>
          <w:sz w:val="24"/>
        </w:rPr>
        <w:t xml:space="preserve">enos </w:t>
      </w:r>
      <w:r w:rsidRPr="004A7E08">
        <w:rPr>
          <w:rFonts w:ascii="Avenir Next" w:hAnsi="Avenir Next"/>
          <w:color w:val="auto"/>
          <w:sz w:val="24"/>
        </w:rPr>
        <w:t xml:space="preserve">que la estimación del </w:t>
      </w:r>
      <w:r>
        <w:rPr>
          <w:rFonts w:ascii="Avenir Next" w:hAnsi="Avenir Next"/>
          <w:color w:val="auto"/>
          <w:sz w:val="24"/>
        </w:rPr>
        <w:t>Instituto Nacional de Estadística (INE)</w:t>
      </w:r>
      <w:r w:rsidRPr="004A7E08">
        <w:rPr>
          <w:rFonts w:ascii="Avenir Next" w:hAnsi="Avenir Next"/>
          <w:color w:val="auto"/>
          <w:sz w:val="24"/>
        </w:rPr>
        <w:t xml:space="preserve"> para el PIB español. Con esta tasa, el crecimiento interanual del </w:t>
      </w:r>
      <w:r>
        <w:rPr>
          <w:rFonts w:ascii="Avenir Next" w:hAnsi="Avenir Next"/>
          <w:color w:val="auto"/>
          <w:sz w:val="24"/>
        </w:rPr>
        <w:t>indicador estimado por el Observatorio Económico de Andalucía</w:t>
      </w:r>
      <w:r w:rsidRPr="004A7E08">
        <w:rPr>
          <w:rFonts w:ascii="Avenir Next" w:hAnsi="Avenir Next"/>
          <w:color w:val="auto"/>
          <w:sz w:val="24"/>
        </w:rPr>
        <w:t xml:space="preserve"> para el </w:t>
      </w:r>
      <w:r>
        <w:rPr>
          <w:rFonts w:ascii="Avenir Next" w:hAnsi="Avenir Next"/>
          <w:color w:val="auto"/>
          <w:sz w:val="24"/>
        </w:rPr>
        <w:t>segundo trim</w:t>
      </w:r>
      <w:r w:rsidRPr="004A7E08">
        <w:rPr>
          <w:rFonts w:ascii="Avenir Next" w:hAnsi="Avenir Next"/>
          <w:color w:val="auto"/>
          <w:sz w:val="24"/>
        </w:rPr>
        <w:t>estre de 202</w:t>
      </w:r>
      <w:r>
        <w:rPr>
          <w:rFonts w:ascii="Avenir Next" w:hAnsi="Avenir Next"/>
          <w:color w:val="auto"/>
          <w:sz w:val="24"/>
        </w:rPr>
        <w:t>2</w:t>
      </w:r>
      <w:r w:rsidRPr="004A7E08">
        <w:rPr>
          <w:rFonts w:ascii="Avenir Next" w:hAnsi="Avenir Next"/>
          <w:color w:val="auto"/>
          <w:sz w:val="24"/>
        </w:rPr>
        <w:t xml:space="preserve"> es del </w:t>
      </w:r>
      <w:r>
        <w:rPr>
          <w:rFonts w:ascii="Avenir Next" w:hAnsi="Avenir Next"/>
          <w:color w:val="auto"/>
          <w:sz w:val="24"/>
        </w:rPr>
        <w:t>6,1</w:t>
      </w:r>
      <w:r w:rsidRPr="004A7E08">
        <w:rPr>
          <w:rFonts w:ascii="Avenir Next" w:hAnsi="Avenir Next"/>
          <w:color w:val="auto"/>
          <w:sz w:val="24"/>
        </w:rPr>
        <w:t xml:space="preserve">%, </w:t>
      </w:r>
      <w:r>
        <w:rPr>
          <w:rFonts w:ascii="Avenir Next" w:hAnsi="Avenir Next"/>
          <w:color w:val="auto"/>
          <w:sz w:val="24"/>
        </w:rPr>
        <w:t xml:space="preserve">dos </w:t>
      </w:r>
      <w:proofErr w:type="gramStart"/>
      <w:r>
        <w:rPr>
          <w:rFonts w:ascii="Avenir Next" w:hAnsi="Avenir Next"/>
          <w:color w:val="auto"/>
          <w:sz w:val="24"/>
        </w:rPr>
        <w:t>décimas inferior</w:t>
      </w:r>
      <w:proofErr w:type="gramEnd"/>
      <w:r>
        <w:rPr>
          <w:rFonts w:ascii="Avenir Next" w:hAnsi="Avenir Next"/>
          <w:color w:val="auto"/>
          <w:sz w:val="24"/>
        </w:rPr>
        <w:t xml:space="preserve"> </w:t>
      </w:r>
      <w:r w:rsidRPr="004A7E08">
        <w:rPr>
          <w:rFonts w:ascii="Avenir Next" w:hAnsi="Avenir Next"/>
          <w:color w:val="auto"/>
          <w:sz w:val="24"/>
        </w:rPr>
        <w:t xml:space="preserve">al estimado </w:t>
      </w:r>
      <w:r>
        <w:rPr>
          <w:rFonts w:ascii="Avenir Next" w:hAnsi="Avenir Next"/>
          <w:color w:val="auto"/>
          <w:sz w:val="24"/>
        </w:rPr>
        <w:t>en la Contabilidad Nacional Trimestral d</w:t>
      </w:r>
      <w:r w:rsidRPr="004A7E08">
        <w:rPr>
          <w:rFonts w:ascii="Avenir Next" w:hAnsi="Avenir Next"/>
          <w:color w:val="auto"/>
          <w:sz w:val="24"/>
        </w:rPr>
        <w:t>el INE para España.</w:t>
      </w:r>
    </w:p>
    <w:p w14:paraId="16DC088F" w14:textId="77777777" w:rsidR="00F73706" w:rsidRPr="004F0ECA" w:rsidRDefault="00F73706" w:rsidP="00F73706">
      <w:pPr>
        <w:pStyle w:val="BodyA"/>
        <w:spacing w:before="100" w:after="100"/>
        <w:jc w:val="center"/>
        <w:rPr>
          <w:rFonts w:ascii="Avenir Next" w:hAnsi="Avenir Next"/>
          <w:color w:val="auto"/>
          <w:sz w:val="20"/>
          <w:szCs w:val="18"/>
        </w:rPr>
      </w:pPr>
      <w:r w:rsidRPr="00750040">
        <w:rPr>
          <w:noProof/>
        </w:rPr>
        <w:drawing>
          <wp:inline distT="0" distB="0" distL="0" distR="0" wp14:anchorId="509F72AA" wp14:editId="0FFEC2C5">
            <wp:extent cx="6184900" cy="5525770"/>
            <wp:effectExtent l="0" t="0" r="6350" b="0"/>
            <wp:docPr id="1034134220" name="Imagen 103413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5525770"/>
                    </a:xfrm>
                    <a:prstGeom prst="rect">
                      <a:avLst/>
                    </a:prstGeom>
                    <a:noFill/>
                    <a:ln>
                      <a:noFill/>
                    </a:ln>
                  </pic:spPr>
                </pic:pic>
              </a:graphicData>
            </a:graphic>
          </wp:inline>
        </w:drawing>
      </w:r>
    </w:p>
    <w:p w14:paraId="12411C03" w14:textId="77777777" w:rsidR="00F73706" w:rsidRPr="004F0ECA" w:rsidRDefault="00F73706" w:rsidP="00F73706">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66DC4C32"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El crecimiento estimado para el segundo trimestre de 2022 es el resultado de la confluencia, en un mismo tiempo, de dos grandes grupos de factores (uno positivo y otro negativo). En lo positivo, durante estos meses no han estado presentes algunos factores que ralentizaron el crecimiento económico durante el primer trimestre de 2022, como la huelga de transporte y las restricciones a parte de la actividad económica, lo que permitió a la región disfrutar entre abril y junio de un nuevo impulso al crecimiento económico. Además, otros dos factores ayudaron a elevar el ritmo de la recuperación económica. En primer lugar, la definitiva recuperación del turismo, con la práctica eliminación de la brecha creada durante la pandemia y, en segundo lugar, la reforma laboral cuyo efecto, aún por evaluar, podría haber sido moderadamente positivo. Todo ello debió influir sobre el consumo de los residentes y de los no residentes y, por ello, sobre su crecimiento. A esto debemos sumar el parcial </w:t>
      </w:r>
      <w:proofErr w:type="spellStart"/>
      <w:r>
        <w:rPr>
          <w:rFonts w:ascii="Avenir Next" w:hAnsi="Avenir Next"/>
          <w:color w:val="auto"/>
          <w:sz w:val="24"/>
        </w:rPr>
        <w:t>desembolsamiento</w:t>
      </w:r>
      <w:proofErr w:type="spellEnd"/>
      <w:r>
        <w:rPr>
          <w:rFonts w:ascii="Avenir Next" w:hAnsi="Avenir Next"/>
          <w:color w:val="auto"/>
          <w:sz w:val="24"/>
        </w:rPr>
        <w:t xml:space="preserve"> de los ahorros acumulados durante lo peor de la pandemia, lo que ha ayudado al incremento de la demanda a través del consumo.</w:t>
      </w:r>
    </w:p>
    <w:p w14:paraId="2C640158"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En lo negativo, durante estos meses, han permanecido e incluso se han intensificado los desequilibrios que han amenazado el crecimiento económico global desde inicios del otoño de 2021, derivados de las disrupciones comerciales generadas por una salida abrupta de la pandemia, el consecuente crecimiento de los precios de no pocas materias primas y, entre ellas, de las energéticas. La escalada de precios, intensificada desde marzo por la invasión de Ucrania y la “guerra del gas” con la que Moscú ha presionado a las economías europeas, ha afectado a las decisiones de consumo, inversión y producción de los europeos, españoles y andaluces. El efecto directo más inmediato ha sido un recorte de la renta real disponible de los andaluces, lo que sin duda ha afectado negativamente a las decisiones de consumo e inversión.</w:t>
      </w:r>
    </w:p>
    <w:p w14:paraId="13944505"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Sin embargo, la suma de los efectos en el crecimiento de ambos grupos de factores ha sido claramente positivo. Durante el segundo trimestre ha tenido, así, mayor impulso los elementos mencionados que han sumado crecimiento frente a aquellos que lo han restado. </w:t>
      </w:r>
    </w:p>
    <w:p w14:paraId="3A287F33" w14:textId="77777777" w:rsidR="00F73706" w:rsidRDefault="00F73706" w:rsidP="00F73706">
      <w:pPr>
        <w:pStyle w:val="BodyA"/>
        <w:spacing w:before="100" w:after="100"/>
        <w:jc w:val="both"/>
        <w:rPr>
          <w:rFonts w:ascii="Avenir Next" w:hAnsi="Avenir Next"/>
          <w:color w:val="auto"/>
          <w:sz w:val="24"/>
        </w:rPr>
      </w:pPr>
    </w:p>
    <w:p w14:paraId="3EA48BB6"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4990AA32"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Entre los factores negativos que más han podido influir en la evolución de la economía andaluza en el segundo trimestre se encuentra la inflación. Debemos recordar que buena parte del aumento en los precios, tanto en Europa como en España y Andalucía, viene motivado por razones de oferta (sin que podamos descartar factores de demanda, en particular desde la primavera), particularmente energéticas y magnificado por la escasa capacidad de sustituir fuentes para generar electricidad en el corto plazo. Además, la “guerra del gas” desatada por Rusia frente al apoyo europeo a Ucrania no ha hecho más que tensar los precios de este producto, alcanzando niveles récord al final de agosto. </w:t>
      </w:r>
    </w:p>
    <w:p w14:paraId="4DDE1B47"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Tanto el Banco Central Europeo (BCE) como otras muchas instituciones, han alertado que este episodio de inflación será más largo de lo esperado inicialmente, por lo que será necesaria la subida de tipos para hacer volver a los precios a niveles coherentes con los objetivos de inflación del 2 %.</w:t>
      </w:r>
    </w:p>
    <w:p w14:paraId="5CC947D6"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En el mes de junio la inflación en Andalucía se elevó al 10,5 %, cifra superior en tres décimas a la media española y batiendo todos los récords en décadas, aunque sería nuevamente superada en julio alcanzando el 11,2 %-. Esta cifra es, a su vez, superior en casi tres puntos porcentuales a la media europea. Si bien la diferencia con España puede responder a meros ajustes derivados por la composición de la cesta de la compra, respecto a Europa podría asociarse, principalmente, a elementos tanto “contables”, como son las diferencias en la medición de los precios pagados en la electricidad, así como a una menor capacidad de los mercados, por una relativa falta de competencia en España y Andalucía para contener los precios. </w:t>
      </w:r>
    </w:p>
    <w:p w14:paraId="30D5BCCD"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Sin embargo, esta escalada de precios no ha sido, de momento, replicada por los salarios. Hasta el mes de junio, el aumento salarial incluido en los convenios colectivos registrados superaba escasamente una media del 2,5 %. Este hecho refleja dos cuestiones relevantes. La primera de ellas, que tanto en España como en Andalucía no se ha iniciado aún una escalada de precios promovida por una espiral inflacionaria y, segundo, que la caída de la renta real disponible para las familias andaluzas ha sido muy significativa y que, por ello, las consecuencias serán más que evidentes en el consumo futuro.</w:t>
      </w:r>
    </w:p>
    <w:p w14:paraId="12B8D912" w14:textId="77777777" w:rsidR="00F73706" w:rsidRPr="00C075E0" w:rsidRDefault="00F73706" w:rsidP="00F73706">
      <w:pPr>
        <w:pStyle w:val="BodyA"/>
        <w:spacing w:before="100" w:after="100"/>
        <w:jc w:val="both"/>
        <w:rPr>
          <w:rFonts w:ascii="Avenir Next" w:hAnsi="Avenir Next"/>
          <w:color w:val="auto"/>
          <w:sz w:val="24"/>
        </w:rPr>
      </w:pPr>
    </w:p>
    <w:p w14:paraId="586C3DC9"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4B8B3557"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Durante el segundo trimestre de 2022, el mercado de trabajo en Andalucía experimentó un comportamiento positivo. El número de desempleados estimado por la Encuesta de Población Activa (EPA) se redujo en 22.600 personas respecto al primer trimestre de 2022 y en 114.900 respecto al mismo trimestre de 2021. Esto supone una reducción del 14,2 %, cifra muy positiva, aunque inferior a la española, cuya reducción en términos interanuales superó el 19 %. La ocupación aumentó en 60.700 personas durante este trimestre y en 123.800 en el último año. De nuevo, esta cifra es una clara derivada del buen comportamiento antes mencionado de la economía andaluza, con una tasa de crecimiento interanual del 3,8 %, ligeramente inferior al 4 % de España. Con estos datos, la tasa de paro se reducía hasta el 18,7 % de la población activa andaluza, 6,2 puntos superior a la media española, pero recortando en casi tres puntos su valor del segundo trimestre de 2021. Finalmente, la afiliación fue un 3,5 % superior en junio respecto al mismo mes del año anterior. Esta cifra, aunque positiva, es inferior a la de España.</w:t>
      </w:r>
    </w:p>
    <w:p w14:paraId="368A24F8"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La evolución del mercado de trabajo recoge, por lo tanto, las tendencias positivas de la economía andaluza descritas en la sección anterior, así como las posibles diferencias antes mencionadas. En términos absolutos, pues, los diferentes indicadores relativos al mercado de trabajo siguen mostrando una cierta solidez en su evolución, que no ha sido observado ni en tenacidad ni en solidez desde el inicio de la recuperación económica por los indicadores de actividad productiva. En todo caso, el segundo trimestre, la actividad económica y el mercado de trabajo han ofrecido en ambos casos un comportamiento más coherente que el mostrado en trimestres anteriores.</w:t>
      </w:r>
    </w:p>
    <w:p w14:paraId="6CB91A2E"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Las razones del buen comportamiento del mercado de trabajo andaluz pueden resumirse en las siguientes. En primer lugar, un posible adelanto en las contrataciones para la campaña del verano. La vuelta a la normalidad en un sector fuertemente golpeado por la crisis del COVID desde el fin de las restricciones ha supuesto la necesidad de completar las plantillas en sectores tradicionalmente temporales como son los asociados al turismo. En segundo lugar, el impulso de actividad de otros sectores y la necesidad de contratación por otras razones, como es la motivada por una recuperación del consumo y de la inversión después de un primer trimestre plano y negativo. Otra explicación para la recuperación del empleo en sectores estrechamente asociados a la demanda de las familias podría explicarse por un posible efecto látigo en el consumo que ha supuesto la dedicación de una parte de los ahorros acumulados durante los peores meses de la pandemia. Finalmente, </w:t>
      </w:r>
      <w:proofErr w:type="gramStart"/>
      <w:r>
        <w:rPr>
          <w:rFonts w:ascii="Avenir Next" w:hAnsi="Avenir Next"/>
          <w:color w:val="auto"/>
          <w:sz w:val="24"/>
        </w:rPr>
        <w:t>y</w:t>
      </w:r>
      <w:proofErr w:type="gramEnd"/>
      <w:r>
        <w:rPr>
          <w:rFonts w:ascii="Avenir Next" w:hAnsi="Avenir Next"/>
          <w:color w:val="auto"/>
          <w:sz w:val="24"/>
        </w:rPr>
        <w:t xml:space="preserve"> en cuarto lugar, no podemos descartar un posible efecto positivo de la reforma laboral en cuanto a los tiempos en la contratación, pudiendo haberse producido un cierto adelanto para adecuarse a los preceptos de la nueva regulación.</w:t>
      </w:r>
    </w:p>
    <w:p w14:paraId="142E399F"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Los datos de afiliación a nivel de sección de actividad respaldan estas posibles explicaciones. Así, por ejemplo, en términos interanuales, en junio de 2022 la afiliación en secciones de actividad asociadas al turismo y al ocio creció a los mayores ritmos de toda la economía andaluza. En hostelería, en dicho mes, la afiliación media superaba en un 16,2 % a la de un año antes, mientras que en actividades artísticas y recreativas este aumento fue de un 13,7 %. Entre ambas secciones se explicaba el 45% del aumento total de la afiliación andaluza en el último año. El resto de las secciones también mostraron tasas de crecimiento positivas, excepto el sector agrícola o la administración pública. Particular relevancia tiene el aumento de la afiliación en el sector de información y comunicaciones, muy alejado del patrón de recuperación y crecimiento descrito anteriormente, y que en junio de este año acumulaba un 11,9 % más de afiliados que solo un año antes.</w:t>
      </w:r>
    </w:p>
    <w:p w14:paraId="4C65333F" w14:textId="77777777" w:rsidR="00F73706" w:rsidRPr="004A7E08" w:rsidRDefault="00F73706" w:rsidP="00F73706">
      <w:pPr>
        <w:pStyle w:val="BodyA"/>
        <w:spacing w:before="100" w:after="100"/>
        <w:jc w:val="both"/>
        <w:rPr>
          <w:rFonts w:ascii="Avenir Next" w:hAnsi="Avenir Next"/>
          <w:color w:val="auto"/>
          <w:sz w:val="24"/>
        </w:rPr>
      </w:pPr>
    </w:p>
    <w:p w14:paraId="616BD159"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004B3EE5"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La evolución descrita del mercado de trabajo está profundamente relacionada con los diferentes componentes de la demanda. Una vez más, hay que señalar a la eventual recuperación del consumo privado como una de las principales causas, no solo del aumento del empleo sino del crecimiento de la economía andaluza en el segundo trimestre de este año.</w:t>
      </w:r>
    </w:p>
    <w:p w14:paraId="61B87875"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Esto es lo que reflejan indicadores como el índice del comercio al por menor, que en los meses de abril a junio aumentó a ritmos superiores al 3 %, registro tres veces superior a la media española. Este crecimiento, una vez descontados los precios y eliminadas las ventas en estaciones de servicios, se reduce al 1,6 %, aun así, superior a la media española (0,2 %). Esta evolución, en un entorno de fuerte repunte de los precios, podría pensarse que es contraintuitiva. Sin embargo, esta recuperación del consumo frente a un primer trimestre negativo se explicaría por la desaparición de los factores que frenaron el consumo a finales de invierno.</w:t>
      </w:r>
    </w:p>
    <w:p w14:paraId="7CF21338"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Particular relevancia tiene también, desde el lado de la demanda, el consumo de los no residentes. Tanto los indicadores de ocupación hotelera como los de coyuntura turística del Instituto de Estadística y Cartografía de Andalucía muestran un considerable aumento del número de turistas, pernoctaciones y gasto. No cabe duda de que la recuperación del turismo andaluz se uniría al consumo en la explicación del crecimiento durante el segundo trimestre, pero no ha sido tan intenso como en el resto de España, lo que podría explicarse, en buena parte, por el mayor crecimiento del sector turístico en regiones que aún destacaban por una brecha elevada desde el inicio de la pandemia, como son Baleares o Canarias.</w:t>
      </w:r>
    </w:p>
    <w:p w14:paraId="6DD83717"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En cuanto a la inversión, los indicadores disponibles son positivos para el período analizado. Por un lado, el sector de la construcción parece mantener un importante impulso, tanto en edificación privada como en licitaciones. Sin embargo, los datos de inversión extranjera sí se han visto mermados de forma considerable durante el segundo trimestre, aunque no deben, de momento, implicar un cambio de tendencia. Los datos de afiliación en el sector de la construcción apoyan esta evolución positiva (+ 3,3 %). En cuanto a la inversión en equipos, de nuevo, tenemos que confiar en indicadores indirectos como son el índice de producción industrial de bienes de equipo o las matriculaciones de vehículos industriales, que reflejan que, como viene ocurriendo desde la recuperación de la actividad tras la pandemia, ambos han mantenido una tendencia de crecimiento en estos últimos meses.</w:t>
      </w:r>
    </w:p>
    <w:p w14:paraId="1AC64EFD"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se dispararon en el segundo trimestre (58,3 % interanual), teniendo en cuenta además que Andalucía es puerta de entrada de productos energéticos tales como el gas y, sobre todo, crudo, lo que explica que el aumento de la partida de importaciones en Andalucía haya crecido a ritmos superiores a la media española. El índice de valor unitario de las importaciones para abril (último mes disponible) crecía un 35,1 %, lo que refleja la magnitud de la subida de precios de los bienes importados. Por el contrario, las exportaciones han sufrido un crecimiento en términos nominales mucho menor (18,4 %) y que dado el aumento de su valor unitario (24,8 % en abril), podrían haber experimentado una contracción en términos reales durante el segundo trimestre, lo que sería una manifestación de la reducción del comercio internacional motivado por los factores referidos en este informe. En consecuencia, el saldo comercial aparente de Andalucía con el resto del mundo se ha debilitado en el segundo trimestre del año.</w:t>
      </w:r>
    </w:p>
    <w:p w14:paraId="44D10D76" w14:textId="77777777" w:rsidR="00F73706" w:rsidRPr="00C075E0" w:rsidRDefault="00F73706" w:rsidP="00F73706">
      <w:pPr>
        <w:pStyle w:val="BodyA"/>
        <w:spacing w:before="100" w:after="100"/>
        <w:jc w:val="both"/>
        <w:rPr>
          <w:rFonts w:ascii="Avenir Next Demi Bold" w:hAnsi="Avenir Next Demi Bold"/>
          <w:b/>
          <w:bCs/>
          <w:color w:val="auto"/>
          <w:sz w:val="28"/>
          <w:szCs w:val="28"/>
          <w:u w:color="022ED3"/>
        </w:rPr>
      </w:pPr>
    </w:p>
    <w:p w14:paraId="22FE41A2"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0F28AE8F"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dichos componentes de demanda así lo atestigua.</w:t>
      </w:r>
    </w:p>
    <w:p w14:paraId="26BD5B19"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La industria 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 aunque algo inferior a la media española. </w:t>
      </w:r>
    </w:p>
    <w:p w14:paraId="2F881890"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84864" behindDoc="0" locked="0" layoutInCell="1" allowOverlap="1" wp14:anchorId="43EF6122" wp14:editId="516E333C">
                <wp:simplePos x="0" y="0"/>
                <wp:positionH relativeFrom="page">
                  <wp:posOffset>685800</wp:posOffset>
                </wp:positionH>
                <wp:positionV relativeFrom="page">
                  <wp:posOffset>838200</wp:posOffset>
                </wp:positionV>
                <wp:extent cx="6184900" cy="1638300"/>
                <wp:effectExtent l="0" t="0" r="0" b="0"/>
                <wp:wrapSquare wrapText="bothSides"/>
                <wp:docPr id="1091440800" name="Rectángulo 10914408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6707ECA6"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360E86EE" w14:textId="77777777" w:rsidR="00F73706" w:rsidRPr="008506D8" w:rsidRDefault="00F73706" w:rsidP="00F73706">
                            <w:pPr>
                              <w:pStyle w:val="Ttulo"/>
                              <w:rPr>
                                <w:b/>
                              </w:rPr>
                            </w:pPr>
                            <w:r>
                              <w:rPr>
                                <w:rFonts w:ascii="Avenir Next Demi Bold" w:hAnsi="Avenir Next Demi Bold"/>
                                <w:b/>
                                <w:sz w:val="60"/>
                                <w:szCs w:val="60"/>
                                <w:lang w:val="es-ES_tradnl"/>
                              </w:rPr>
                              <w:t xml:space="preserve">tercer </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0A0486F" wp14:editId="30079FBE">
                                  <wp:extent cx="6002020" cy="27940"/>
                                  <wp:effectExtent l="0" t="0" r="0" b="0"/>
                                  <wp:docPr id="188144817" name="Imagen 18814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F6122" id="Rectángulo 1091440800" o:spid="_x0000_s1028" style="position:absolute;left:0;text-align:left;margin-left:54pt;margin-top:66pt;width:487pt;height:129pt;z-index:2516848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I5yxPDkAQAAsgMAAA4AAAAAAAAAAAAAAAAALgIAAGRycy9lMm9Eb2MueG1sUEsB&#10;Ai0AFAAGAAgAAAAhABZGXIvfAAAADAEAAA8AAAAAAAAAAAAAAAAAPgQAAGRycy9kb3ducmV2Lnht&#10;bFBLBQYAAAAABAAEAPMAAABKBQAAAAA=&#10;" filled="f" stroked="f">
                <o:lock v:ext="edit" aspectratio="t"/>
                <v:textbox>
                  <w:txbxContent>
                    <w:p w14:paraId="6707ECA6"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360E86EE" w14:textId="77777777" w:rsidR="00F73706" w:rsidRPr="008506D8" w:rsidRDefault="00F73706" w:rsidP="00F73706">
                      <w:pPr>
                        <w:pStyle w:val="Ttulo"/>
                        <w:rPr>
                          <w:b/>
                        </w:rPr>
                      </w:pPr>
                      <w:r>
                        <w:rPr>
                          <w:rFonts w:ascii="Avenir Next Demi Bold" w:hAnsi="Avenir Next Demi Bold"/>
                          <w:b/>
                          <w:sz w:val="60"/>
                          <w:szCs w:val="60"/>
                          <w:lang w:val="es-ES_tradnl"/>
                        </w:rPr>
                        <w:t xml:space="preserve">tercer </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0A0486F" wp14:editId="30079FBE">
                            <wp:extent cx="6002020" cy="27940"/>
                            <wp:effectExtent l="0" t="0" r="0" b="0"/>
                            <wp:docPr id="188144817" name="Imagen 18814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13230C4E" w14:textId="77777777" w:rsidR="00F73706" w:rsidRDefault="00F73706" w:rsidP="00F73706">
      <w:pPr>
        <w:jc w:val="both"/>
        <w:rPr>
          <w:color w:val="000000" w:themeColor="text1"/>
          <w:lang w:val="es-ES"/>
        </w:rPr>
      </w:pPr>
      <w:r w:rsidRPr="004C24DA">
        <w:rPr>
          <w:color w:val="000000" w:themeColor="text1"/>
          <w:lang w:val="es-ES"/>
        </w:rPr>
        <w:t xml:space="preserve">Según el Indicador Sintético de Actividad de Andalucía del Observatorio Económico de Andalucía, la economía andaluza experimentó un crecimiento </w:t>
      </w:r>
      <w:proofErr w:type="spellStart"/>
      <w:r w:rsidRPr="004C24DA">
        <w:rPr>
          <w:color w:val="000000" w:themeColor="text1"/>
          <w:lang w:val="es-ES"/>
        </w:rPr>
        <w:t>intertrimestral</w:t>
      </w:r>
      <w:proofErr w:type="spellEnd"/>
      <w:r w:rsidRPr="004C24DA">
        <w:rPr>
          <w:color w:val="000000" w:themeColor="text1"/>
          <w:lang w:val="es-ES"/>
        </w:rPr>
        <w:t xml:space="preserve">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w:t>
      </w:r>
      <w:proofErr w:type="gramStart"/>
      <w:r w:rsidRPr="004C24DA">
        <w:rPr>
          <w:color w:val="000000" w:themeColor="text1"/>
          <w:lang w:val="es-ES"/>
        </w:rPr>
        <w:t>décimas inferior</w:t>
      </w:r>
      <w:proofErr w:type="gramEnd"/>
      <w:r w:rsidRPr="004C24DA">
        <w:rPr>
          <w:color w:val="000000" w:themeColor="text1"/>
          <w:lang w:val="es-ES"/>
        </w:rPr>
        <w:t xml:space="preserve"> al estimado en la Contabilidad Nacional Trimestral del INE para España.</w:t>
      </w:r>
    </w:p>
    <w:p w14:paraId="429BC475" w14:textId="77777777" w:rsidR="00F73706" w:rsidRPr="004C24DA" w:rsidRDefault="00F73706" w:rsidP="00F73706">
      <w:pPr>
        <w:jc w:val="both"/>
        <w:rPr>
          <w:color w:val="000000" w:themeColor="text1"/>
          <w:lang w:val="es-ES"/>
        </w:rPr>
      </w:pPr>
    </w:p>
    <w:p w14:paraId="6CCC9837" w14:textId="77777777" w:rsidR="00F73706" w:rsidRPr="006C48E9" w:rsidRDefault="00F73706" w:rsidP="00F73706">
      <w:pPr>
        <w:jc w:val="center"/>
        <w:rPr>
          <w:color w:val="000000" w:themeColor="text1"/>
        </w:rPr>
      </w:pPr>
      <w:r w:rsidRPr="006C48E9">
        <w:rPr>
          <w:noProof/>
          <w:color w:val="000000" w:themeColor="text1"/>
          <w:lang w:eastAsia="es-ES"/>
        </w:rPr>
        <w:drawing>
          <wp:inline distT="0" distB="0" distL="0" distR="0" wp14:anchorId="0BB0757E" wp14:editId="0B981D72">
            <wp:extent cx="5546467" cy="53638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0668" cy="5367908"/>
                    </a:xfrm>
                    <a:prstGeom prst="rect">
                      <a:avLst/>
                    </a:prstGeom>
                    <a:noFill/>
                    <a:ln>
                      <a:noFill/>
                    </a:ln>
                  </pic:spPr>
                </pic:pic>
              </a:graphicData>
            </a:graphic>
          </wp:inline>
        </w:drawing>
      </w:r>
    </w:p>
    <w:p w14:paraId="7FF85C67" w14:textId="77777777" w:rsidR="00F73706" w:rsidRPr="004F0ECA" w:rsidRDefault="00F73706" w:rsidP="00F73706">
      <w:pPr>
        <w:pStyle w:val="BodyA"/>
        <w:spacing w:before="100" w:after="100"/>
        <w:jc w:val="center"/>
        <w:rPr>
          <w:rFonts w:ascii="Avenir Next" w:hAnsi="Avenir Next"/>
          <w:color w:val="auto"/>
          <w:sz w:val="20"/>
          <w:szCs w:val="18"/>
        </w:rPr>
      </w:pPr>
    </w:p>
    <w:p w14:paraId="75FDE74E" w14:textId="77777777" w:rsidR="00F73706" w:rsidRPr="004F0ECA" w:rsidRDefault="00F73706" w:rsidP="00F73706">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289FA056"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w:t>
      </w:r>
      <w:proofErr w:type="spellStart"/>
      <w:r w:rsidRPr="004C24DA">
        <w:rPr>
          <w:rFonts w:ascii="Avenir Next" w:hAnsi="Avenir Next"/>
          <w:color w:val="auto"/>
          <w:sz w:val="24"/>
        </w:rPr>
        <w:t>desembolsamiento</w:t>
      </w:r>
      <w:proofErr w:type="spellEnd"/>
      <w:r w:rsidRPr="004C24DA">
        <w:rPr>
          <w:rFonts w:ascii="Avenir Next" w:hAnsi="Avenir Next"/>
          <w:color w:val="auto"/>
          <w:sz w:val="24"/>
        </w:rPr>
        <w:t xml:space="preserve"> de los ahorros, han podido explicar su evolución. Sin embargo, la buena marcha del mercado de trabajo podría haber servido de contención de los efectos anteriores, evitando una mayor contracción del gasto de los hogares. </w:t>
      </w:r>
    </w:p>
    <w:p w14:paraId="0ED6C69B" w14:textId="77777777" w:rsidR="00F73706"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p>
    <w:p w14:paraId="608DE719" w14:textId="77777777" w:rsidR="00F73706" w:rsidRDefault="00F73706" w:rsidP="00F73706">
      <w:pPr>
        <w:pStyle w:val="BodyA"/>
        <w:spacing w:before="100" w:after="100"/>
        <w:jc w:val="both"/>
        <w:rPr>
          <w:rFonts w:ascii="Avenir Next" w:hAnsi="Avenir Next"/>
          <w:color w:val="auto"/>
          <w:sz w:val="24"/>
        </w:rPr>
      </w:pPr>
    </w:p>
    <w:p w14:paraId="3EE78C2A"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53F8F82E"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p>
    <w:p w14:paraId="1155DD26"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p>
    <w:p w14:paraId="2611A584"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octubre la subyacente permanecía estable en el conjunto nacional (6,2%) en Andalucía seguía aumentando (6,8%).</w:t>
      </w:r>
    </w:p>
    <w:p w14:paraId="0E0780F6"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p>
    <w:p w14:paraId="50EB2632"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68253B48"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7760214E"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w:t>
      </w:r>
      <w:proofErr w:type="spellStart"/>
      <w:r w:rsidRPr="004C24DA">
        <w:rPr>
          <w:rFonts w:ascii="Avenir Next" w:hAnsi="Avenir Next"/>
          <w:color w:val="auto"/>
          <w:sz w:val="24"/>
        </w:rPr>
        <w:t>de</w:t>
      </w:r>
      <w:proofErr w:type="spellEnd"/>
      <w:r w:rsidRPr="004C24DA">
        <w:rPr>
          <w:rFonts w:ascii="Avenir Next" w:hAnsi="Avenir Next"/>
          <w:color w:val="auto"/>
          <w:sz w:val="24"/>
        </w:rPr>
        <w:t xml:space="preserv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p>
    <w:p w14:paraId="3DEA999C"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Según los datos de la Encuesta de Población Activa (EPA) en términos </w:t>
      </w:r>
      <w:proofErr w:type="spellStart"/>
      <w:r w:rsidRPr="004C24DA">
        <w:rPr>
          <w:rFonts w:ascii="Avenir Next" w:hAnsi="Avenir Next"/>
          <w:color w:val="auto"/>
          <w:sz w:val="24"/>
        </w:rPr>
        <w:t>intertrimestrales</w:t>
      </w:r>
      <w:proofErr w:type="spellEnd"/>
      <w:r w:rsidRPr="004C24DA">
        <w:rPr>
          <w:rFonts w:ascii="Avenir Next" w:hAnsi="Avenir Next"/>
          <w:color w:val="auto"/>
          <w:sz w:val="24"/>
        </w:rPr>
        <w:t xml:space="preserve">, la ocupación aumentó un exiguo 0,06 % frente al 0,4 % nacional, aunque esta evolución está muy influenciada por la estacionalidad, siendo normalmente el tercer trimestre de cada año negativo en términos de creación de empleo. En cualquier caso, este dato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es el mejor de un tercer trimestre en los últimos siete años, si no consideramos 2020 y 2021. De este modo, la evolución de la ocupación en términos interanuales seguía siendo muy positiva, con crecimientos del 4,1 % para Andalucía frente al 2,5 % nacional. </w:t>
      </w:r>
    </w:p>
    <w:p w14:paraId="6C13BB47"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pero con un debilitamiento en el ritmo de destrucción de desempleo. </w:t>
      </w:r>
    </w:p>
    <w:p w14:paraId="4C04892E"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en Andalucía de los afiliados medios fue de -1,2 % mientras que en España era del 0,1 %. En términos </w:t>
      </w:r>
      <w:proofErr w:type="spellStart"/>
      <w:r w:rsidRPr="004C24DA">
        <w:rPr>
          <w:rFonts w:ascii="Avenir Next" w:hAnsi="Avenir Next"/>
          <w:color w:val="auto"/>
          <w:sz w:val="24"/>
        </w:rPr>
        <w:t>intertrimestrales</w:t>
      </w:r>
      <w:proofErr w:type="spellEnd"/>
      <w:r w:rsidRPr="004C24DA">
        <w:rPr>
          <w:rFonts w:ascii="Avenir Next" w:hAnsi="Avenir Next"/>
          <w:color w:val="auto"/>
          <w:sz w:val="24"/>
        </w:rPr>
        <w:t xml:space="preserve"> las tasas fueron del 3,2 % para Andalucía y del 3,5 %. </w:t>
      </w:r>
    </w:p>
    <w:p w14:paraId="650F8340"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p>
    <w:p w14:paraId="1F2B0A6A" w14:textId="77777777" w:rsidR="00F73706"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p>
    <w:p w14:paraId="513B4804" w14:textId="77777777" w:rsidR="00F73706" w:rsidRPr="004A7E08" w:rsidRDefault="00F73706" w:rsidP="00F73706">
      <w:pPr>
        <w:pStyle w:val="BodyA"/>
        <w:spacing w:before="100" w:after="100"/>
        <w:jc w:val="both"/>
        <w:rPr>
          <w:rFonts w:ascii="Avenir Next" w:hAnsi="Avenir Next"/>
          <w:color w:val="auto"/>
          <w:sz w:val="24"/>
        </w:rPr>
      </w:pPr>
    </w:p>
    <w:p w14:paraId="6A46B48A"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35891256"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p>
    <w:p w14:paraId="66913EE9"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p>
    <w:p w14:paraId="6D277065"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p>
    <w:p w14:paraId="1D0FC748"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p>
    <w:p w14:paraId="015CE0EA"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17,9 % en cifras nominales, un 18,2 % en términos reales. Por lo tanto, es evidente que, con la información disponible del tercer trimestre, el sector exterior ha dejado de aportar crecimiento a la economía andaluza.</w:t>
      </w:r>
    </w:p>
    <w:p w14:paraId="632D169F" w14:textId="77777777" w:rsidR="00F73706"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p>
    <w:p w14:paraId="53C9B2A5" w14:textId="77777777" w:rsidR="00F73706" w:rsidRPr="00C075E0" w:rsidRDefault="00F73706" w:rsidP="00F73706">
      <w:pPr>
        <w:pStyle w:val="BodyA"/>
        <w:spacing w:before="100" w:after="100"/>
        <w:jc w:val="both"/>
        <w:rPr>
          <w:rFonts w:ascii="Avenir Next Demi Bold" w:hAnsi="Avenir Next Demi Bold"/>
          <w:b/>
          <w:bCs/>
          <w:color w:val="auto"/>
          <w:sz w:val="28"/>
          <w:szCs w:val="28"/>
          <w:u w:color="022ED3"/>
        </w:rPr>
      </w:pPr>
    </w:p>
    <w:p w14:paraId="7BD743EC"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0C55A8BA"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negativo, con una caída de unas siete décimas.</w:t>
      </w:r>
    </w:p>
    <w:p w14:paraId="4D36A1F0" w14:textId="77777777" w:rsidR="00F73706"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p>
    <w:p w14:paraId="522E2AE5"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86912" behindDoc="0" locked="0" layoutInCell="1" allowOverlap="1" wp14:anchorId="69CCA9B2" wp14:editId="6B96EFEC">
                <wp:simplePos x="0" y="0"/>
                <wp:positionH relativeFrom="page">
                  <wp:posOffset>685800</wp:posOffset>
                </wp:positionH>
                <wp:positionV relativeFrom="page">
                  <wp:posOffset>838200</wp:posOffset>
                </wp:positionV>
                <wp:extent cx="6184900" cy="1638300"/>
                <wp:effectExtent l="0" t="0" r="0" b="0"/>
                <wp:wrapSquare wrapText="bothSides"/>
                <wp:docPr id="126179169" name="Rectángulo 126179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125D9FAE"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2CC39C45" w14:textId="77777777" w:rsidR="00F73706" w:rsidRPr="008506D8" w:rsidRDefault="00F73706" w:rsidP="00F73706">
                            <w:pPr>
                              <w:pStyle w:val="Ttulo"/>
                              <w:rPr>
                                <w:b/>
                              </w:rPr>
                            </w:pPr>
                            <w:r>
                              <w:rPr>
                                <w:rFonts w:ascii="Avenir Next Demi Bold" w:hAnsi="Avenir Next Demi Bold"/>
                                <w:b/>
                                <w:sz w:val="60"/>
                                <w:szCs w:val="60"/>
                                <w:lang w:val="es-ES_tradnl"/>
                              </w:rPr>
                              <w:t>CUARTO</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6892CF2" wp14:editId="678E1E52">
                                  <wp:extent cx="6002020" cy="27940"/>
                                  <wp:effectExtent l="0" t="0" r="0" b="0"/>
                                  <wp:docPr id="875730685" name="Imagen 87573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CA9B2" id="Rectángulo 126179169" o:spid="_x0000_s1029" style="position:absolute;left:0;text-align:left;margin-left:54pt;margin-top:66pt;width:487pt;height:129pt;z-index:2516869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C48MRzkAQAAsgMAAA4AAAAAAAAAAAAAAAAALgIAAGRycy9lMm9Eb2MueG1sUEsB&#10;Ai0AFAAGAAgAAAAhABZGXIvfAAAADAEAAA8AAAAAAAAAAAAAAAAAPgQAAGRycy9kb3ducmV2Lnht&#10;bFBLBQYAAAAABAAEAPMAAABKBQAAAAA=&#10;" filled="f" stroked="f">
                <o:lock v:ext="edit" aspectratio="t"/>
                <v:textbox>
                  <w:txbxContent>
                    <w:p w14:paraId="125D9FAE"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2CC39C45" w14:textId="77777777" w:rsidR="00F73706" w:rsidRPr="008506D8" w:rsidRDefault="00F73706" w:rsidP="00F73706">
                      <w:pPr>
                        <w:pStyle w:val="Ttulo"/>
                        <w:rPr>
                          <w:b/>
                        </w:rPr>
                      </w:pPr>
                      <w:r>
                        <w:rPr>
                          <w:rFonts w:ascii="Avenir Next Demi Bold" w:hAnsi="Avenir Next Demi Bold"/>
                          <w:b/>
                          <w:sz w:val="60"/>
                          <w:szCs w:val="60"/>
                          <w:lang w:val="es-ES_tradnl"/>
                        </w:rPr>
                        <w:t>CUARTO</w:t>
                      </w:r>
                      <w:r w:rsidRPr="008506D8">
                        <w:rPr>
                          <w:rFonts w:ascii="Avenir Next Demi Bold" w:hAnsi="Avenir Next Demi Bold"/>
                          <w:b/>
                          <w:sz w:val="60"/>
                          <w:szCs w:val="60"/>
                        </w:rPr>
                        <w:t>trimestre de 202</w:t>
                      </w:r>
                      <w:r>
                        <w:rPr>
                          <w:rFonts w:ascii="Avenir Next Demi Bold" w:hAnsi="Avenir Next Demi Bold"/>
                          <w:b/>
                          <w:sz w:val="60"/>
                          <w:szCs w:val="60"/>
                        </w:rPr>
                        <w:t>2</w:t>
                      </w:r>
                      <w:r w:rsidRPr="00092AAD">
                        <w:rPr>
                          <w:rFonts w:ascii="Avenir Next Demi Bold" w:hAnsi="Avenir Next Demi Bold"/>
                          <w:b/>
                          <w:noProof/>
                          <w:sz w:val="60"/>
                          <w:szCs w:val="60"/>
                        </w:rPr>
                        <w:drawing>
                          <wp:inline distT="0" distB="0" distL="0" distR="0" wp14:anchorId="56892CF2" wp14:editId="678E1E52">
                            <wp:extent cx="6002020" cy="27940"/>
                            <wp:effectExtent l="0" t="0" r="0" b="0"/>
                            <wp:docPr id="875730685" name="Imagen 87573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50307DBD"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p>
    <w:p w14:paraId="6F54A0BC"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r>
        <w:rPr>
          <w:rFonts w:ascii="-webkit-standard" w:hAnsi="-webkit-standard"/>
          <w:color w:val="000000"/>
          <w:sz w:val="27"/>
          <w:szCs w:val="27"/>
        </w:rPr>
        <w:t xml:space="preserve">Según el Indicador Sintético de Actividad de Andalucía del Observatorio Económico de Andalucía, la economía andaluza experimentó un crecimiento </w:t>
      </w:r>
      <w:proofErr w:type="spellStart"/>
      <w:r>
        <w:rPr>
          <w:rFonts w:ascii="-webkit-standard" w:hAnsi="-webkit-standard"/>
          <w:color w:val="000000"/>
          <w:sz w:val="27"/>
          <w:szCs w:val="27"/>
        </w:rPr>
        <w:t>intertrimestral</w:t>
      </w:r>
      <w:proofErr w:type="spellEnd"/>
      <w:r>
        <w:rPr>
          <w:rFonts w:ascii="-webkit-standard" w:hAnsi="-webkit-standard"/>
          <w:color w:val="000000"/>
          <w:sz w:val="27"/>
          <w:szCs w:val="27"/>
        </w:rPr>
        <w:t xml:space="preserve"> del Producto Interior Bruto (PIB) del 0,3 % en el segundo trimestre de 2023, crecimiento ligeramente inferior al estimado por el Instituto Nacional de Estadística (INE) para el PIB español</w:t>
      </w:r>
      <w:r>
        <w:rPr>
          <w:rStyle w:val="apple-converted-space"/>
          <w:rFonts w:ascii="-webkit-standard" w:hAnsi="-webkit-standard"/>
          <w:color w:val="000000"/>
          <w:sz w:val="27"/>
          <w:szCs w:val="27"/>
        </w:rPr>
        <w:t> </w:t>
      </w:r>
      <w:r>
        <w:rPr>
          <w:rFonts w:ascii="-webkit-standard" w:hAnsi="-webkit-standard"/>
          <w:color w:val="000000"/>
          <w:sz w:val="27"/>
          <w:szCs w:val="27"/>
        </w:rPr>
        <w:t xml:space="preserve">(0,4 %). Con esta tasa, el crecimiento interanual del indicador estimado para el segundo trimestre de 2023 es del 2,0 %, dos </w:t>
      </w:r>
      <w:proofErr w:type="gramStart"/>
      <w:r>
        <w:rPr>
          <w:rFonts w:ascii="-webkit-standard" w:hAnsi="-webkit-standard"/>
          <w:color w:val="000000"/>
          <w:sz w:val="27"/>
          <w:szCs w:val="27"/>
        </w:rPr>
        <w:t>décimas superior</w:t>
      </w:r>
      <w:proofErr w:type="gramEnd"/>
      <w:r>
        <w:rPr>
          <w:rFonts w:ascii="-webkit-standard" w:hAnsi="-webkit-standard"/>
          <w:color w:val="000000"/>
          <w:sz w:val="27"/>
          <w:szCs w:val="27"/>
        </w:rPr>
        <w:t xml:space="preserve"> al estimado en la Contabilidad Nacional Trimestral del INE para España.  </w:t>
      </w:r>
    </w:p>
    <w:p w14:paraId="1CA74DC7"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r>
        <w:rPr>
          <w:rFonts w:ascii="-webkit-standard" w:hAnsi="-webkit-standard"/>
          <w:color w:val="000000"/>
          <w:sz w:val="27"/>
          <w:szCs w:val="27"/>
        </w:rPr>
        <w:t> </w:t>
      </w:r>
    </w:p>
    <w:p w14:paraId="595F79F9"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r>
        <w:rPr>
          <w:rFonts w:ascii="-webkit-standard" w:hAnsi="-webkit-standard"/>
          <w:color w:val="000000"/>
          <w:sz w:val="27"/>
          <w:szCs w:val="27"/>
        </w:rPr>
        <w:t>Con este crecimiento, la actividad regional mostraría una ligera reducción del crecimiento, aunque</w:t>
      </w:r>
      <w:r>
        <w:rPr>
          <w:rStyle w:val="apple-converted-space"/>
          <w:rFonts w:ascii="-webkit-standard" w:hAnsi="-webkit-standard"/>
          <w:color w:val="000000"/>
          <w:sz w:val="27"/>
          <w:szCs w:val="27"/>
        </w:rPr>
        <w:t> </w:t>
      </w:r>
      <w:r>
        <w:rPr>
          <w:rFonts w:ascii="-webkit-standard" w:hAnsi="-webkit-standard"/>
          <w:color w:val="000000"/>
          <w:sz w:val="27"/>
          <w:szCs w:val="27"/>
        </w:rPr>
        <w:t xml:space="preserve">mantendría </w:t>
      </w:r>
      <w:proofErr w:type="spellStart"/>
      <w:r>
        <w:rPr>
          <w:rFonts w:ascii="-webkit-standard" w:hAnsi="-webkit-standard"/>
          <w:color w:val="000000"/>
          <w:sz w:val="27"/>
          <w:szCs w:val="27"/>
        </w:rPr>
        <w:t>lafase</w:t>
      </w:r>
      <w:proofErr w:type="spellEnd"/>
      <w:r>
        <w:rPr>
          <w:rFonts w:ascii="-webkit-standard" w:hAnsi="-webkit-standard"/>
          <w:color w:val="000000"/>
          <w:sz w:val="27"/>
          <w:szCs w:val="27"/>
        </w:rPr>
        <w:t xml:space="preserve"> de expansión que dura más de cinco trimestres seguidos. Esta ligera desaceleración viene explicada</w:t>
      </w:r>
      <w:r>
        <w:rPr>
          <w:rStyle w:val="apple-converted-space"/>
          <w:rFonts w:ascii="-webkit-standard" w:hAnsi="-webkit-standard"/>
          <w:color w:val="000000"/>
          <w:sz w:val="27"/>
          <w:szCs w:val="27"/>
        </w:rPr>
        <w:t> </w:t>
      </w:r>
      <w:r>
        <w:rPr>
          <w:rFonts w:ascii="-webkit-standard" w:hAnsi="-webkit-standard"/>
          <w:color w:val="000000"/>
          <w:sz w:val="27"/>
          <w:szCs w:val="27"/>
        </w:rPr>
        <w:t>principalmente</w:t>
      </w:r>
      <w:r>
        <w:rPr>
          <w:rStyle w:val="apple-converted-space"/>
          <w:rFonts w:ascii="-webkit-standard" w:hAnsi="-webkit-standard"/>
          <w:color w:val="000000"/>
          <w:sz w:val="27"/>
          <w:szCs w:val="27"/>
        </w:rPr>
        <w:t> </w:t>
      </w:r>
      <w:r>
        <w:rPr>
          <w:rFonts w:ascii="-webkit-standard" w:hAnsi="-webkit-standard"/>
          <w:color w:val="000000"/>
          <w:sz w:val="27"/>
          <w:szCs w:val="27"/>
        </w:rPr>
        <w:t>por una reducción en el consumo de los hogares, así como</w:t>
      </w:r>
      <w:r>
        <w:rPr>
          <w:rStyle w:val="apple-converted-space"/>
          <w:rFonts w:ascii="-webkit-standard" w:hAnsi="-webkit-standard"/>
          <w:color w:val="000000"/>
          <w:sz w:val="27"/>
          <w:szCs w:val="27"/>
        </w:rPr>
        <w:t> </w:t>
      </w:r>
      <w:r>
        <w:rPr>
          <w:rFonts w:ascii="-webkit-standard" w:hAnsi="-webkit-standard"/>
          <w:color w:val="000000"/>
          <w:sz w:val="27"/>
          <w:szCs w:val="27"/>
        </w:rPr>
        <w:t>por</w:t>
      </w:r>
      <w:r>
        <w:rPr>
          <w:rStyle w:val="apple-converted-space"/>
          <w:rFonts w:ascii="-webkit-standard" w:hAnsi="-webkit-standard"/>
          <w:color w:val="000000"/>
          <w:sz w:val="27"/>
          <w:szCs w:val="27"/>
        </w:rPr>
        <w:t> </w:t>
      </w:r>
      <w:r>
        <w:rPr>
          <w:rFonts w:ascii="-webkit-standard" w:hAnsi="-webkit-standard"/>
          <w:color w:val="000000"/>
          <w:sz w:val="27"/>
          <w:szCs w:val="27"/>
        </w:rPr>
        <w:t>el</w:t>
      </w:r>
      <w:r>
        <w:rPr>
          <w:rStyle w:val="apple-converted-space"/>
          <w:rFonts w:ascii="-webkit-standard" w:hAnsi="-webkit-standard"/>
          <w:color w:val="000000"/>
          <w:sz w:val="27"/>
          <w:szCs w:val="27"/>
        </w:rPr>
        <w:t> </w:t>
      </w:r>
      <w:r>
        <w:rPr>
          <w:rFonts w:ascii="-webkit-standard" w:hAnsi="-webkit-standard"/>
          <w:color w:val="000000"/>
          <w:sz w:val="27"/>
          <w:szCs w:val="27"/>
        </w:rPr>
        <w:t>debilitamiento de la demanda externa, derivado de una contracción mayor</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las exportaciones que</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las importaciones.</w:t>
      </w:r>
      <w:r>
        <w:rPr>
          <w:rStyle w:val="apple-converted-space"/>
          <w:rFonts w:ascii="-webkit-standard" w:hAnsi="-webkit-standard"/>
          <w:color w:val="000000"/>
          <w:sz w:val="27"/>
          <w:szCs w:val="27"/>
        </w:rPr>
        <w:t> </w:t>
      </w:r>
      <w:r>
        <w:rPr>
          <w:rFonts w:ascii="-webkit-standard" w:hAnsi="-webkit-standard"/>
          <w:color w:val="000000"/>
          <w:sz w:val="27"/>
          <w:szCs w:val="27"/>
        </w:rPr>
        <w:t>No obstante, dicho debilitamiento</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ambas</w:t>
      </w:r>
      <w:r>
        <w:rPr>
          <w:rStyle w:val="apple-converted-space"/>
          <w:rFonts w:ascii="-webkit-standard" w:hAnsi="-webkit-standard"/>
          <w:color w:val="000000"/>
          <w:sz w:val="27"/>
          <w:szCs w:val="27"/>
        </w:rPr>
        <w:t> </w:t>
      </w:r>
      <w:r>
        <w:rPr>
          <w:rFonts w:ascii="-webkit-standard" w:hAnsi="-webkit-standard"/>
          <w:color w:val="000000"/>
          <w:sz w:val="27"/>
          <w:szCs w:val="27"/>
        </w:rPr>
        <w:t>partidas</w:t>
      </w:r>
      <w:r>
        <w:rPr>
          <w:rStyle w:val="apple-converted-space"/>
          <w:rFonts w:ascii="-webkit-standard" w:hAnsi="-webkit-standard"/>
          <w:color w:val="000000"/>
          <w:sz w:val="27"/>
          <w:szCs w:val="27"/>
        </w:rPr>
        <w:t> </w:t>
      </w:r>
      <w:r>
        <w:rPr>
          <w:rFonts w:ascii="-webkit-standard" w:hAnsi="-webkit-standard"/>
          <w:color w:val="000000"/>
          <w:sz w:val="27"/>
          <w:szCs w:val="27"/>
        </w:rPr>
        <w:t>ha sido parcialmente compensado por el aumento de la formación bruta de capital.</w:t>
      </w:r>
    </w:p>
    <w:p w14:paraId="3ED72584" w14:textId="77777777" w:rsidR="00F73706" w:rsidRPr="006C48E9" w:rsidRDefault="00F73706" w:rsidP="00F73706">
      <w:pPr>
        <w:jc w:val="center"/>
        <w:rPr>
          <w:color w:val="000000" w:themeColor="text1"/>
        </w:rPr>
      </w:pPr>
      <w:r w:rsidRPr="00CB08C8">
        <w:rPr>
          <w:noProof/>
          <w:lang w:val="es-ES" w:eastAsia="es-ES"/>
        </w:rPr>
        <w:drawing>
          <wp:inline distT="0" distB="0" distL="0" distR="0" wp14:anchorId="187F1DE8" wp14:editId="5FAB19C8">
            <wp:extent cx="4895850" cy="4737514"/>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383" cy="4750610"/>
                    </a:xfrm>
                    <a:prstGeom prst="rect">
                      <a:avLst/>
                    </a:prstGeom>
                    <a:noFill/>
                    <a:ln>
                      <a:noFill/>
                    </a:ln>
                  </pic:spPr>
                </pic:pic>
              </a:graphicData>
            </a:graphic>
          </wp:inline>
        </w:drawing>
      </w:r>
    </w:p>
    <w:p w14:paraId="5EC70D8C" w14:textId="77777777" w:rsidR="00F73706" w:rsidRPr="004F0ECA" w:rsidRDefault="00F73706" w:rsidP="00F73706">
      <w:pPr>
        <w:pStyle w:val="BodyA"/>
        <w:spacing w:before="100" w:after="100"/>
        <w:jc w:val="center"/>
        <w:rPr>
          <w:rFonts w:ascii="Avenir Next" w:hAnsi="Avenir Next"/>
          <w:color w:val="auto"/>
          <w:sz w:val="20"/>
          <w:szCs w:val="18"/>
        </w:rPr>
      </w:pPr>
    </w:p>
    <w:p w14:paraId="155F9079" w14:textId="77777777" w:rsidR="00F73706" w:rsidRPr="004F0ECA" w:rsidRDefault="00F73706" w:rsidP="00F73706">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0E3638EB" w14:textId="77777777" w:rsidR="00F73706"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w:t>
      </w:r>
      <w:r>
        <w:rPr>
          <w:rFonts w:ascii="Avenir Next" w:hAnsi="Avenir Next"/>
          <w:color w:val="auto"/>
          <w:sz w:val="24"/>
        </w:rPr>
        <w:t>cuarto</w:t>
      </w:r>
      <w:r w:rsidRPr="004C24DA">
        <w:rPr>
          <w:rFonts w:ascii="Avenir Next" w:hAnsi="Avenir Next"/>
          <w:color w:val="auto"/>
          <w:sz w:val="24"/>
        </w:rPr>
        <w:t xml:space="preserve"> trimestre de 2022, el crecimiento económico andaluz ha </w:t>
      </w:r>
      <w:r>
        <w:rPr>
          <w:rFonts w:ascii="Avenir Next" w:hAnsi="Avenir Next"/>
          <w:color w:val="auto"/>
          <w:sz w:val="24"/>
        </w:rPr>
        <w:t>mantenido el ritmo ya mostrado en el tercer trimestre, confirmando la significativa</w:t>
      </w:r>
      <w:r w:rsidRPr="004C24DA">
        <w:rPr>
          <w:rFonts w:ascii="Avenir Next" w:hAnsi="Avenir Next"/>
          <w:color w:val="auto"/>
          <w:sz w:val="24"/>
        </w:rPr>
        <w:t xml:space="preserve"> moderación </w:t>
      </w:r>
      <w:r>
        <w:rPr>
          <w:rFonts w:ascii="Avenir Next" w:hAnsi="Avenir Next"/>
          <w:color w:val="auto"/>
          <w:sz w:val="24"/>
        </w:rPr>
        <w:t>del trimestre anterior. Este leve crecimiento es consecuencia, principalmente, de una</w:t>
      </w:r>
      <w:r w:rsidRPr="004C24DA">
        <w:rPr>
          <w:rFonts w:ascii="Avenir Next" w:hAnsi="Avenir Next"/>
          <w:color w:val="auto"/>
          <w:sz w:val="24"/>
        </w:rPr>
        <w:t xml:space="preserve"> aportación negativa del consumo de las familias</w:t>
      </w:r>
      <w:r>
        <w:rPr>
          <w:rFonts w:ascii="Avenir Next" w:hAnsi="Avenir Next"/>
          <w:color w:val="auto"/>
          <w:sz w:val="24"/>
        </w:rPr>
        <w:t xml:space="preserve"> y</w:t>
      </w:r>
      <w:r w:rsidRPr="004C24DA">
        <w:rPr>
          <w:rFonts w:ascii="Avenir Next" w:hAnsi="Avenir Next"/>
          <w:color w:val="auto"/>
          <w:sz w:val="24"/>
        </w:rPr>
        <w:t xml:space="preserve"> del comercio exterior de bienes y servicios,</w:t>
      </w:r>
      <w:r>
        <w:rPr>
          <w:rFonts w:ascii="Avenir Next" w:hAnsi="Avenir Next"/>
          <w:color w:val="auto"/>
          <w:sz w:val="24"/>
        </w:rPr>
        <w:t xml:space="preserve"> </w:t>
      </w:r>
      <w:r w:rsidRPr="001900C5">
        <w:rPr>
          <w:rFonts w:ascii="Avenir Next" w:hAnsi="Avenir Next"/>
          <w:bCs/>
          <w:color w:val="auto"/>
          <w:sz w:val="24"/>
        </w:rPr>
        <w:t>que cae, mientras que en el conjunto de España</w:t>
      </w:r>
      <w:r>
        <w:rPr>
          <w:rFonts w:ascii="Avenir Next" w:hAnsi="Avenir Next"/>
          <w:bCs/>
          <w:color w:val="auto"/>
          <w:sz w:val="24"/>
        </w:rPr>
        <w:t xml:space="preserve"> </w:t>
      </w:r>
      <w:r>
        <w:rPr>
          <w:rFonts w:ascii="Avenir Next" w:hAnsi="Avenir Next"/>
          <w:color w:val="auto"/>
          <w:sz w:val="24"/>
        </w:rPr>
        <w:t xml:space="preserve">la demanda externa sí tuvo una aportación positiva. </w:t>
      </w:r>
    </w:p>
    <w:p w14:paraId="5132435F" w14:textId="77777777" w:rsidR="00F73706" w:rsidRDefault="00F73706" w:rsidP="00F73706">
      <w:pPr>
        <w:pStyle w:val="BodyA"/>
        <w:spacing w:before="100" w:after="100"/>
        <w:jc w:val="both"/>
        <w:rPr>
          <w:rFonts w:ascii="Avenir Next" w:hAnsi="Avenir Next"/>
          <w:color w:val="auto"/>
          <w:sz w:val="24"/>
        </w:rPr>
      </w:pPr>
      <w:r>
        <w:rPr>
          <w:rFonts w:ascii="Avenir Next" w:hAnsi="Avenir Next"/>
          <w:color w:val="auto"/>
          <w:sz w:val="24"/>
        </w:rPr>
        <w:t xml:space="preserve">Se observa que el </w:t>
      </w:r>
      <w:r w:rsidRPr="004C24DA">
        <w:rPr>
          <w:rFonts w:ascii="Avenir Next" w:hAnsi="Avenir Next"/>
          <w:color w:val="auto"/>
          <w:sz w:val="24"/>
        </w:rPr>
        <w:t>consumo de las familias</w:t>
      </w:r>
      <w:r>
        <w:rPr>
          <w:rFonts w:ascii="Avenir Next" w:hAnsi="Avenir Next"/>
          <w:color w:val="auto"/>
          <w:sz w:val="24"/>
        </w:rPr>
        <w:t xml:space="preserve"> es el componente de la demanda agregada que peor comportamiento experimenta durante la fase final del año recién terminado. Este comportamiento podría explicarse por</w:t>
      </w:r>
      <w:r w:rsidRPr="004C24DA">
        <w:rPr>
          <w:rFonts w:ascii="Avenir Next" w:hAnsi="Avenir Next"/>
          <w:color w:val="auto"/>
          <w:sz w:val="24"/>
        </w:rPr>
        <w:t xml:space="preserve"> la </w:t>
      </w:r>
      <w:r>
        <w:rPr>
          <w:rFonts w:ascii="Avenir Next" w:hAnsi="Avenir Next"/>
          <w:color w:val="auto"/>
          <w:sz w:val="24"/>
        </w:rPr>
        <w:t xml:space="preserve">continua </w:t>
      </w:r>
      <w:r w:rsidRPr="004C24DA">
        <w:rPr>
          <w:rFonts w:ascii="Avenir Next" w:hAnsi="Avenir Next"/>
          <w:color w:val="auto"/>
          <w:sz w:val="24"/>
        </w:rPr>
        <w:t xml:space="preserve">erosión de </w:t>
      </w:r>
      <w:r>
        <w:rPr>
          <w:rFonts w:ascii="Avenir Next" w:hAnsi="Avenir Next"/>
          <w:color w:val="auto"/>
          <w:sz w:val="24"/>
        </w:rPr>
        <w:t xml:space="preserve">los ingresos en términos </w:t>
      </w:r>
      <w:r w:rsidRPr="004C24DA">
        <w:rPr>
          <w:rFonts w:ascii="Avenir Next" w:hAnsi="Avenir Next"/>
          <w:color w:val="auto"/>
          <w:sz w:val="24"/>
        </w:rPr>
        <w:t xml:space="preserve">reales </w:t>
      </w:r>
      <w:r>
        <w:rPr>
          <w:rFonts w:ascii="Avenir Next" w:hAnsi="Avenir Next"/>
          <w:color w:val="auto"/>
          <w:sz w:val="24"/>
        </w:rPr>
        <w:t>como consecuencia de</w:t>
      </w:r>
      <w:r w:rsidRPr="004C24DA">
        <w:rPr>
          <w:rFonts w:ascii="Avenir Next" w:hAnsi="Avenir Next"/>
          <w:color w:val="auto"/>
          <w:sz w:val="24"/>
        </w:rPr>
        <w:t xml:space="preserve"> la</w:t>
      </w:r>
      <w:r>
        <w:rPr>
          <w:rFonts w:ascii="Avenir Next" w:hAnsi="Avenir Next"/>
          <w:color w:val="auto"/>
          <w:sz w:val="24"/>
        </w:rPr>
        <w:t xml:space="preserve"> aún elevada</w:t>
      </w:r>
      <w:r w:rsidRPr="004C24DA">
        <w:rPr>
          <w:rFonts w:ascii="Avenir Next" w:hAnsi="Avenir Next"/>
          <w:color w:val="auto"/>
          <w:sz w:val="24"/>
        </w:rPr>
        <w:t xml:space="preserve"> inflación</w:t>
      </w:r>
      <w:r>
        <w:rPr>
          <w:rFonts w:ascii="Avenir Next" w:hAnsi="Avenir Next"/>
          <w:color w:val="auto"/>
          <w:sz w:val="24"/>
        </w:rPr>
        <w:t xml:space="preserve"> y por el</w:t>
      </w:r>
      <w:r w:rsidRPr="004C24DA">
        <w:rPr>
          <w:rFonts w:ascii="Avenir Next" w:hAnsi="Avenir Next"/>
          <w:color w:val="auto"/>
          <w:sz w:val="24"/>
        </w:rPr>
        <w:t xml:space="preserve"> agotamiento del efecto </w:t>
      </w:r>
      <w:r>
        <w:rPr>
          <w:rFonts w:ascii="Avenir Next" w:hAnsi="Avenir Next"/>
          <w:color w:val="auto"/>
          <w:sz w:val="24"/>
        </w:rPr>
        <w:t xml:space="preserve">del </w:t>
      </w:r>
      <w:proofErr w:type="spellStart"/>
      <w:r w:rsidRPr="004C24DA">
        <w:rPr>
          <w:rFonts w:ascii="Avenir Next" w:hAnsi="Avenir Next"/>
          <w:color w:val="auto"/>
          <w:sz w:val="24"/>
        </w:rPr>
        <w:t>desembolsamiento</w:t>
      </w:r>
      <w:proofErr w:type="spellEnd"/>
      <w:r>
        <w:rPr>
          <w:rFonts w:ascii="Avenir Next" w:hAnsi="Avenir Next"/>
          <w:color w:val="auto"/>
          <w:sz w:val="24"/>
        </w:rPr>
        <w:t xml:space="preserve"> del</w:t>
      </w:r>
      <w:r w:rsidRPr="004C24DA">
        <w:rPr>
          <w:rFonts w:ascii="Avenir Next" w:hAnsi="Avenir Next"/>
          <w:color w:val="auto"/>
          <w:sz w:val="24"/>
        </w:rPr>
        <w:t xml:space="preserve"> ahorro</w:t>
      </w:r>
      <w:r>
        <w:rPr>
          <w:rFonts w:ascii="Avenir Next" w:hAnsi="Avenir Next"/>
          <w:color w:val="auto"/>
          <w:sz w:val="24"/>
        </w:rPr>
        <w:t>, comentado en el informe anterior</w:t>
      </w:r>
      <w:r w:rsidRPr="004C24DA">
        <w:rPr>
          <w:rFonts w:ascii="Avenir Next" w:hAnsi="Avenir Next"/>
          <w:color w:val="auto"/>
          <w:sz w:val="24"/>
        </w:rPr>
        <w:t xml:space="preserve">. </w:t>
      </w:r>
      <w:r>
        <w:rPr>
          <w:rFonts w:ascii="Avenir Next" w:hAnsi="Avenir Next"/>
          <w:color w:val="auto"/>
          <w:sz w:val="24"/>
        </w:rPr>
        <w:t>No obstante, y a pesar de ello, la caída podría haber sido mayor si el mercado de trabajo hubiera mostrado un comportamiento negativo, cosa que aún no parece suceder, al menos, en la magnitud esperada por lo que parece que el buen comportamiento de la ocupación habría logrado sostener, en parte, la contracción del consumo de las familias. Frente al consumo de las familias</w:t>
      </w:r>
      <w:r w:rsidRPr="004C24DA">
        <w:rPr>
          <w:rFonts w:ascii="Avenir Next" w:hAnsi="Avenir Next"/>
          <w:color w:val="auto"/>
          <w:sz w:val="24"/>
        </w:rPr>
        <w:t xml:space="preserve">, otros componentes del cuadro macroeconómico andaluz parecen haber sostenido mejor de lo esperado </w:t>
      </w:r>
      <w:r>
        <w:rPr>
          <w:rFonts w:ascii="Avenir Next" w:hAnsi="Avenir Next"/>
          <w:color w:val="auto"/>
          <w:sz w:val="24"/>
        </w:rPr>
        <w:t>el</w:t>
      </w:r>
      <w:r w:rsidRPr="004C24DA">
        <w:rPr>
          <w:rFonts w:ascii="Avenir Next" w:hAnsi="Avenir Next"/>
          <w:color w:val="auto"/>
          <w:sz w:val="24"/>
        </w:rPr>
        <w:t xml:space="preserve"> crecimiento. </w:t>
      </w:r>
      <w:r>
        <w:rPr>
          <w:rFonts w:ascii="Avenir Next" w:hAnsi="Avenir Next"/>
          <w:color w:val="auto"/>
          <w:sz w:val="24"/>
        </w:rPr>
        <w:t xml:space="preserve">Concretamente, se puede destacar el aumento del gasto público, así como de la formación bruta de capital, componentes de la demanda que experimentan una evolución significativamente mejor en Andalucía que en el resto de España, salvo en lo referente a la construcción, afectada por el endurecimiento de las condiciones financieras de los últimos meses. </w:t>
      </w:r>
    </w:p>
    <w:p w14:paraId="104F6F9A" w14:textId="77777777" w:rsidR="00F73706" w:rsidRDefault="00F73706" w:rsidP="00F73706">
      <w:pPr>
        <w:pStyle w:val="BodyA"/>
        <w:spacing w:before="100" w:after="100"/>
        <w:jc w:val="both"/>
        <w:rPr>
          <w:rFonts w:ascii="Avenir Next" w:hAnsi="Avenir Next"/>
          <w:color w:val="auto"/>
          <w:sz w:val="24"/>
        </w:rPr>
      </w:pPr>
    </w:p>
    <w:p w14:paraId="5279237D"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0C534343" w14:textId="77777777" w:rsidR="00F73706" w:rsidRPr="00B52EA4" w:rsidRDefault="00F73706" w:rsidP="00F73706">
      <w:pPr>
        <w:pStyle w:val="BodyA"/>
        <w:spacing w:before="100" w:after="100"/>
        <w:jc w:val="both"/>
        <w:rPr>
          <w:rFonts w:ascii="Avenir Next" w:hAnsi="Avenir Next"/>
          <w:color w:val="000000" w:themeColor="text1"/>
          <w:sz w:val="24"/>
        </w:rPr>
      </w:pPr>
      <w:r w:rsidRPr="00B52EA4">
        <w:rPr>
          <w:rFonts w:ascii="Avenir Next" w:hAnsi="Avenir Next"/>
          <w:color w:val="000000" w:themeColor="text1"/>
          <w:sz w:val="24"/>
        </w:rPr>
        <w:t xml:space="preserve">La principal causa </w:t>
      </w:r>
      <w:r>
        <w:rPr>
          <w:rFonts w:ascii="Avenir Next" w:hAnsi="Avenir Next"/>
          <w:color w:val="000000" w:themeColor="text1"/>
          <w:sz w:val="24"/>
        </w:rPr>
        <w:t xml:space="preserve">de la evolución negativa </w:t>
      </w:r>
      <w:r w:rsidRPr="00B52EA4">
        <w:rPr>
          <w:rFonts w:ascii="Avenir Next" w:hAnsi="Avenir Next"/>
          <w:color w:val="000000" w:themeColor="text1"/>
          <w:sz w:val="24"/>
        </w:rPr>
        <w:t xml:space="preserve">del consumo de las familias es la inflación. A pesar de la moderación de los precios desde el verano, el importante aumento de </w:t>
      </w:r>
      <w:r>
        <w:rPr>
          <w:rFonts w:ascii="Avenir Next" w:hAnsi="Avenir Next"/>
          <w:color w:val="000000" w:themeColor="text1"/>
          <w:sz w:val="24"/>
        </w:rPr>
        <w:t xml:space="preserve">los precios </w:t>
      </w:r>
      <w:r w:rsidRPr="00B52EA4">
        <w:rPr>
          <w:rFonts w:ascii="Avenir Next" w:hAnsi="Avenir Next"/>
          <w:color w:val="000000" w:themeColor="text1"/>
          <w:sz w:val="24"/>
        </w:rPr>
        <w:t>en el último año ha erosionado la capacidad de gasto de las familias y de inversión de las empresas</w:t>
      </w:r>
      <w:r>
        <w:rPr>
          <w:rFonts w:ascii="Avenir Next" w:hAnsi="Avenir Next"/>
          <w:color w:val="000000" w:themeColor="text1"/>
          <w:sz w:val="24"/>
        </w:rPr>
        <w:t xml:space="preserve"> y</w:t>
      </w:r>
      <w:r w:rsidRPr="00B52EA4">
        <w:rPr>
          <w:rFonts w:ascii="Avenir Next" w:hAnsi="Avenir Next"/>
          <w:color w:val="000000" w:themeColor="text1"/>
          <w:sz w:val="24"/>
        </w:rPr>
        <w:t xml:space="preserve"> ha endurecido las condiciones financieras. El </w:t>
      </w:r>
      <w:r>
        <w:rPr>
          <w:rFonts w:ascii="Avenir Next" w:hAnsi="Avenir Next"/>
          <w:color w:val="000000" w:themeColor="text1"/>
          <w:sz w:val="24"/>
        </w:rPr>
        <w:t xml:space="preserve">moderado </w:t>
      </w:r>
      <w:r w:rsidRPr="00B52EA4">
        <w:rPr>
          <w:rFonts w:ascii="Avenir Next" w:hAnsi="Avenir Next"/>
          <w:color w:val="000000" w:themeColor="text1"/>
          <w:sz w:val="24"/>
        </w:rPr>
        <w:t>crecimiento de los salarios implicaría una reducción de la renta de los consumidores en términos reales superior al 5% de media para el año.</w:t>
      </w:r>
    </w:p>
    <w:p w14:paraId="71481470"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Sin embargo, </w:t>
      </w:r>
      <w:r>
        <w:rPr>
          <w:rFonts w:ascii="Avenir Next" w:hAnsi="Avenir Next"/>
          <w:color w:val="auto"/>
          <w:sz w:val="24"/>
        </w:rPr>
        <w:t xml:space="preserve">y a pesar de lo anterior, </w:t>
      </w:r>
      <w:r w:rsidRPr="004C24DA">
        <w:rPr>
          <w:rFonts w:ascii="Avenir Next" w:hAnsi="Avenir Next"/>
          <w:color w:val="auto"/>
          <w:sz w:val="24"/>
        </w:rPr>
        <w:t xml:space="preserve">no es menos cierto que tanto en España como en Andalucía, la evolución de los precios ha </w:t>
      </w:r>
      <w:r>
        <w:rPr>
          <w:rFonts w:ascii="Avenir Next" w:hAnsi="Avenir Next"/>
          <w:color w:val="auto"/>
          <w:sz w:val="24"/>
        </w:rPr>
        <w:t>experimentado</w:t>
      </w:r>
      <w:r w:rsidRPr="004C24DA">
        <w:rPr>
          <w:rFonts w:ascii="Avenir Next" w:hAnsi="Avenir Next"/>
          <w:color w:val="auto"/>
          <w:sz w:val="24"/>
        </w:rPr>
        <w:t xml:space="preserve"> una moderación </w:t>
      </w:r>
      <w:r>
        <w:rPr>
          <w:rFonts w:ascii="Avenir Next" w:hAnsi="Avenir Next"/>
          <w:color w:val="auto"/>
          <w:sz w:val="24"/>
        </w:rPr>
        <w:t xml:space="preserve">durante la segunda mitad de 2022, gracias a la corrección </w:t>
      </w:r>
      <w:r w:rsidRPr="004C24DA">
        <w:rPr>
          <w:rFonts w:ascii="Avenir Next" w:hAnsi="Avenir Next"/>
          <w:color w:val="auto"/>
          <w:sz w:val="24"/>
        </w:rPr>
        <w:t xml:space="preserve">de los precios relativos de la energía y de ciertas materias primas. En consecuencia, la inflación en el mes de </w:t>
      </w:r>
      <w:r>
        <w:rPr>
          <w:rFonts w:ascii="Avenir Next" w:hAnsi="Avenir Next"/>
          <w:color w:val="auto"/>
          <w:sz w:val="24"/>
        </w:rPr>
        <w:t>diciembre</w:t>
      </w:r>
      <w:r w:rsidRPr="004C24DA">
        <w:rPr>
          <w:rFonts w:ascii="Avenir Next" w:hAnsi="Avenir Next"/>
          <w:color w:val="auto"/>
          <w:sz w:val="24"/>
        </w:rPr>
        <w:t xml:space="preserve"> cayó hasta el </w:t>
      </w:r>
      <w:r>
        <w:rPr>
          <w:rFonts w:ascii="Avenir Next" w:hAnsi="Avenir Next"/>
          <w:color w:val="auto"/>
          <w:sz w:val="24"/>
        </w:rPr>
        <w:t>6,2</w:t>
      </w:r>
      <w:r w:rsidRPr="004C24DA">
        <w:rPr>
          <w:rFonts w:ascii="Avenir Next" w:hAnsi="Avenir Next"/>
          <w:color w:val="auto"/>
          <w:sz w:val="24"/>
        </w:rPr>
        <w:t xml:space="preserve"> %, </w:t>
      </w:r>
      <w:r>
        <w:rPr>
          <w:rFonts w:ascii="Avenir Next" w:hAnsi="Avenir Next"/>
          <w:color w:val="auto"/>
          <w:sz w:val="24"/>
        </w:rPr>
        <w:t>frente a</w:t>
      </w:r>
      <w:r w:rsidRPr="004C24DA">
        <w:rPr>
          <w:rFonts w:ascii="Avenir Next" w:hAnsi="Avenir Next"/>
          <w:color w:val="auto"/>
          <w:sz w:val="24"/>
        </w:rPr>
        <w:t>l 9,2 %</w:t>
      </w:r>
      <w:r>
        <w:rPr>
          <w:rFonts w:ascii="Avenir Next" w:hAnsi="Avenir Next"/>
          <w:color w:val="auto"/>
          <w:sz w:val="24"/>
        </w:rPr>
        <w:t xml:space="preserve"> del mes de septiembre</w:t>
      </w:r>
      <w:r w:rsidRPr="004C24DA">
        <w:rPr>
          <w:rFonts w:ascii="Avenir Next" w:hAnsi="Avenir Next"/>
          <w:color w:val="auto"/>
          <w:sz w:val="24"/>
        </w:rPr>
        <w:t>.</w:t>
      </w:r>
    </w:p>
    <w:p w14:paraId="7545083E" w14:textId="77777777" w:rsidR="00F73706" w:rsidRPr="004C24DA" w:rsidRDefault="00F73706" w:rsidP="00F73706">
      <w:pPr>
        <w:pStyle w:val="BodyA"/>
        <w:spacing w:before="100" w:after="100"/>
        <w:jc w:val="both"/>
        <w:rPr>
          <w:rFonts w:ascii="Avenir Next" w:hAnsi="Avenir Next"/>
          <w:color w:val="auto"/>
          <w:sz w:val="24"/>
        </w:rPr>
      </w:pPr>
      <w:r>
        <w:rPr>
          <w:rFonts w:ascii="Avenir Next" w:hAnsi="Avenir Next"/>
          <w:color w:val="auto"/>
          <w:sz w:val="24"/>
        </w:rPr>
        <w:t>En todo caso, desde diciembre se ha observado un cambio significativo en el patrón de la evolución de los precios. Mientras los productos energéticos han cedido su protagonismo, otros parecen haber recogido el testigo, como son principalmente los precios de alimentos elaborados, en concreto aceites y derivados lácteos, y de la hostelería. Además, el porcentaje de rúbricas del IPC que han crecido por encima del 2 % ha aumentado en estos últimos meses, lo que no supone una buena noticia. La consecuencia inmediata no es solo una reducción en el ritmo de moderación de la inflación en el mes de diciembre y enero sino, además, un claro aumento de la inflación subyacente.</w:t>
      </w:r>
    </w:p>
    <w:p w14:paraId="745A2097"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40A13A9D"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04527952" w14:textId="77777777" w:rsidR="00F73706" w:rsidRPr="004C24DA" w:rsidRDefault="00F73706" w:rsidP="00F73706">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w:t>
      </w:r>
      <w:r>
        <w:rPr>
          <w:rFonts w:ascii="Avenir Next" w:hAnsi="Avenir Next"/>
          <w:color w:val="auto"/>
          <w:sz w:val="24"/>
        </w:rPr>
        <w:t>cuarto</w:t>
      </w:r>
      <w:r w:rsidRPr="004C24DA">
        <w:rPr>
          <w:rFonts w:ascii="Avenir Next" w:hAnsi="Avenir Next"/>
          <w:color w:val="auto"/>
          <w:sz w:val="24"/>
        </w:rPr>
        <w:t xml:space="preserve"> trimestre de 2022, el mercado de trabajo en Andalucía </w:t>
      </w:r>
      <w:r>
        <w:rPr>
          <w:rFonts w:ascii="Avenir Next" w:hAnsi="Avenir Next"/>
          <w:color w:val="auto"/>
          <w:sz w:val="24"/>
        </w:rPr>
        <w:t>ha mantenido el buen tono que le ha caracterizado durante el año (si excluimos el sector agrario muy condicionado por la sequía), aunque con ciertos síntomas de agotamiento acompasando a la evolución de la actividad</w:t>
      </w:r>
      <w:r w:rsidRPr="004C24DA">
        <w:rPr>
          <w:rFonts w:ascii="Avenir Next" w:hAnsi="Avenir Next"/>
          <w:color w:val="auto"/>
          <w:sz w:val="24"/>
        </w:rPr>
        <w:t>.</w:t>
      </w:r>
      <w:r>
        <w:rPr>
          <w:rFonts w:ascii="Avenir Next" w:hAnsi="Avenir Next"/>
          <w:color w:val="auto"/>
          <w:sz w:val="24"/>
        </w:rPr>
        <w:t xml:space="preserve"> </w:t>
      </w:r>
      <w:r w:rsidRPr="004C24DA">
        <w:rPr>
          <w:rFonts w:ascii="Avenir Next" w:hAnsi="Avenir Next"/>
          <w:color w:val="auto"/>
          <w:sz w:val="24"/>
        </w:rPr>
        <w:t>Según la Encuesta de Población Activa (EPA)</w:t>
      </w:r>
      <w:r>
        <w:rPr>
          <w:rFonts w:ascii="Avenir Next" w:hAnsi="Avenir Next"/>
          <w:color w:val="auto"/>
          <w:sz w:val="24"/>
        </w:rPr>
        <w:t>,</w:t>
      </w:r>
      <w:r w:rsidRPr="004C24DA">
        <w:rPr>
          <w:rFonts w:ascii="Avenir Next" w:hAnsi="Avenir Next"/>
          <w:color w:val="auto"/>
          <w:sz w:val="24"/>
        </w:rPr>
        <w:t xml:space="preserve"> en términos </w:t>
      </w:r>
      <w:proofErr w:type="spellStart"/>
      <w:r w:rsidRPr="004C24DA">
        <w:rPr>
          <w:rFonts w:ascii="Avenir Next" w:hAnsi="Avenir Next"/>
          <w:color w:val="auto"/>
          <w:sz w:val="24"/>
        </w:rPr>
        <w:t>intertrimestrales</w:t>
      </w:r>
      <w:proofErr w:type="spellEnd"/>
      <w:r w:rsidRPr="004C24DA">
        <w:rPr>
          <w:rFonts w:ascii="Avenir Next" w:hAnsi="Avenir Next"/>
          <w:color w:val="auto"/>
          <w:sz w:val="24"/>
        </w:rPr>
        <w:t xml:space="preserve"> la ocupación </w:t>
      </w:r>
      <w:r>
        <w:rPr>
          <w:rFonts w:ascii="Avenir Next" w:hAnsi="Avenir Next"/>
          <w:color w:val="auto"/>
          <w:sz w:val="24"/>
        </w:rPr>
        <w:t>se redujo en Andalucía un 0,6</w:t>
      </w:r>
      <w:r w:rsidRPr="004C24DA">
        <w:rPr>
          <w:rFonts w:ascii="Avenir Next" w:hAnsi="Avenir Next"/>
          <w:color w:val="auto"/>
          <w:sz w:val="24"/>
        </w:rPr>
        <w:t xml:space="preserve"> % frente al 0,4 % nacional, </w:t>
      </w:r>
      <w:r>
        <w:rPr>
          <w:rFonts w:ascii="Avenir Next" w:hAnsi="Avenir Next"/>
          <w:color w:val="auto"/>
          <w:sz w:val="24"/>
        </w:rPr>
        <w:t xml:space="preserve">descensos </w:t>
      </w:r>
      <w:r w:rsidRPr="004C24DA">
        <w:rPr>
          <w:rFonts w:ascii="Avenir Next" w:hAnsi="Avenir Next"/>
          <w:color w:val="auto"/>
          <w:sz w:val="24"/>
        </w:rPr>
        <w:t>influenciad</w:t>
      </w:r>
      <w:r>
        <w:rPr>
          <w:rFonts w:ascii="Avenir Next" w:hAnsi="Avenir Next"/>
          <w:color w:val="auto"/>
          <w:sz w:val="24"/>
        </w:rPr>
        <w:t>os</w:t>
      </w:r>
      <w:r w:rsidRPr="004C24DA">
        <w:rPr>
          <w:rFonts w:ascii="Avenir Next" w:hAnsi="Avenir Next"/>
          <w:color w:val="auto"/>
          <w:sz w:val="24"/>
        </w:rPr>
        <w:t xml:space="preserve"> por la estacionalidad</w:t>
      </w:r>
      <w:r>
        <w:rPr>
          <w:rFonts w:ascii="Avenir Next" w:hAnsi="Avenir Next"/>
          <w:color w:val="auto"/>
          <w:sz w:val="24"/>
        </w:rPr>
        <w:t>. En términos interanuales, la ocupación en Andalucía registraba aún un crecimiento positivo del 0,4 %, aunque significativamente inferior al de España, que alcanzaba el 1,4 %</w:t>
      </w:r>
      <w:r w:rsidRPr="004C24DA">
        <w:rPr>
          <w:rFonts w:ascii="Avenir Next" w:hAnsi="Avenir Next"/>
          <w:color w:val="auto"/>
          <w:sz w:val="24"/>
        </w:rPr>
        <w:t>.</w:t>
      </w:r>
      <w:r>
        <w:rPr>
          <w:rFonts w:ascii="Avenir Next" w:hAnsi="Avenir Next"/>
          <w:color w:val="auto"/>
          <w:sz w:val="24"/>
        </w:rPr>
        <w:t xml:space="preserve"> Estas cifras suponen que en los últimos cuatro trimestres la ocupación aumentó en casi 70 mil en empleos no agrarios, aunque dicho aumento se reduce a 11 mil si incluimos la variación del empleo agrícola y ganadero. Esta última cifra, aunque aún es positiva, resulta insuficiente para la convergencia del mercado de trabajo andaluz con la media nacional.</w:t>
      </w:r>
    </w:p>
    <w:p w14:paraId="6B0501EC" w14:textId="77777777" w:rsidR="00F73706" w:rsidRPr="004C24DA" w:rsidRDefault="00F73706" w:rsidP="00F73706">
      <w:pPr>
        <w:pStyle w:val="BodyA"/>
        <w:spacing w:before="100" w:after="100"/>
        <w:jc w:val="both"/>
        <w:rPr>
          <w:rFonts w:ascii="Avenir Next" w:hAnsi="Avenir Next"/>
          <w:color w:val="auto"/>
          <w:sz w:val="24"/>
        </w:rPr>
      </w:pPr>
      <w:r>
        <w:rPr>
          <w:rFonts w:ascii="Avenir Next" w:hAnsi="Avenir Next"/>
          <w:color w:val="auto"/>
          <w:sz w:val="24"/>
        </w:rPr>
        <w:t>Los datos son algo mejores en l</w:t>
      </w:r>
      <w:r w:rsidRPr="004C24DA">
        <w:rPr>
          <w:rFonts w:ascii="Avenir Next" w:hAnsi="Avenir Next"/>
          <w:color w:val="auto"/>
          <w:sz w:val="24"/>
        </w:rPr>
        <w:t>a evolución del desempleo</w:t>
      </w:r>
      <w:r>
        <w:rPr>
          <w:rFonts w:ascii="Avenir Next" w:hAnsi="Avenir Next"/>
          <w:color w:val="auto"/>
          <w:sz w:val="24"/>
        </w:rPr>
        <w:t>, pues</w:t>
      </w:r>
      <w:r w:rsidRPr="004C24DA">
        <w:rPr>
          <w:rFonts w:ascii="Avenir Next" w:hAnsi="Avenir Next"/>
          <w:color w:val="auto"/>
          <w:sz w:val="24"/>
        </w:rPr>
        <w:t xml:space="preserve"> A</w:t>
      </w:r>
      <w:r>
        <w:rPr>
          <w:rFonts w:ascii="Avenir Next" w:hAnsi="Avenir Next"/>
          <w:color w:val="auto"/>
          <w:sz w:val="24"/>
        </w:rPr>
        <w:t>ndalucía se incluye en el escaso número de CC.AA. en las que el desempleo descendió durante el último trimestre de 2022, con 3,4 mil desempleados menos, frente a un claro aumento nacional, donde el número de desempleados aumentó en casi 44 mil. Estas cifras suponen una reducción de casi 57 mil desempleados en la región, frente a los 80 mil en España en el último año, lo que supone en términos porcentuales una reducción del 6,9 % y del 2,6 %, respectivamente. La tasa de paro al finalizar el año fue del 19,0 % frente al 12,9 % nacional, seis y tres puntos y medio respectivamente inferiores a las de un año antes</w:t>
      </w:r>
      <w:r w:rsidRPr="004C24DA">
        <w:rPr>
          <w:rFonts w:ascii="Avenir Next" w:hAnsi="Avenir Next"/>
          <w:color w:val="auto"/>
          <w:sz w:val="24"/>
        </w:rPr>
        <w:t xml:space="preserve">. </w:t>
      </w:r>
    </w:p>
    <w:p w14:paraId="3A27B159" w14:textId="77777777" w:rsidR="00F73706" w:rsidRPr="004C24DA" w:rsidRDefault="00F73706" w:rsidP="00F73706">
      <w:pPr>
        <w:pStyle w:val="BodyA"/>
        <w:spacing w:before="100" w:after="100"/>
        <w:jc w:val="both"/>
        <w:rPr>
          <w:rFonts w:ascii="Avenir Next" w:hAnsi="Avenir Next"/>
          <w:color w:val="auto"/>
          <w:sz w:val="24"/>
        </w:rPr>
      </w:pPr>
      <w:r>
        <w:rPr>
          <w:rFonts w:ascii="Avenir Next" w:hAnsi="Avenir Next"/>
          <w:color w:val="auto"/>
          <w:sz w:val="24"/>
        </w:rPr>
        <w:t>En cuanto a la afiliación, las cifras reproducen la misma</w:t>
      </w:r>
      <w:r w:rsidRPr="004C24DA">
        <w:rPr>
          <w:rFonts w:ascii="Avenir Next" w:hAnsi="Avenir Next"/>
          <w:color w:val="auto"/>
          <w:sz w:val="24"/>
        </w:rPr>
        <w:t xml:space="preserve"> dinámica </w:t>
      </w:r>
      <w:r>
        <w:rPr>
          <w:rFonts w:ascii="Avenir Next" w:hAnsi="Avenir Next"/>
          <w:color w:val="auto"/>
          <w:sz w:val="24"/>
        </w:rPr>
        <w:t>en términos de ocupación que los mostrados por la EPA</w:t>
      </w:r>
      <w:r w:rsidRPr="004C24DA">
        <w:rPr>
          <w:rFonts w:ascii="Avenir Next" w:hAnsi="Avenir Next"/>
          <w:color w:val="auto"/>
          <w:sz w:val="24"/>
        </w:rPr>
        <w:t xml:space="preserve">. En primer lugar, el número de afiliados medios en Andalucía para el </w:t>
      </w:r>
      <w:r>
        <w:rPr>
          <w:rFonts w:ascii="Avenir Next" w:hAnsi="Avenir Next"/>
          <w:color w:val="auto"/>
          <w:sz w:val="24"/>
        </w:rPr>
        <w:t>cuarto</w:t>
      </w:r>
      <w:r w:rsidRPr="004C24DA">
        <w:rPr>
          <w:rFonts w:ascii="Avenir Next" w:hAnsi="Avenir Next"/>
          <w:color w:val="auto"/>
          <w:sz w:val="24"/>
        </w:rPr>
        <w:t xml:space="preserve"> trimestre fue de </w:t>
      </w:r>
      <w:r w:rsidRPr="00A83BA1">
        <w:rPr>
          <w:rFonts w:ascii="Avenir Next" w:hAnsi="Avenir Next"/>
          <w:color w:val="auto"/>
          <w:sz w:val="24"/>
        </w:rPr>
        <w:t>3.2</w:t>
      </w:r>
      <w:r>
        <w:rPr>
          <w:rFonts w:ascii="Avenir Next" w:hAnsi="Avenir Next"/>
          <w:color w:val="auto"/>
          <w:sz w:val="24"/>
        </w:rPr>
        <w:t>91</w:t>
      </w:r>
      <w:r w:rsidRPr="00A83BA1">
        <w:rPr>
          <w:rFonts w:ascii="Avenir Next" w:hAnsi="Avenir Next"/>
          <w:color w:val="auto"/>
          <w:sz w:val="24"/>
        </w:rPr>
        <w:t>.</w:t>
      </w:r>
      <w:r>
        <w:rPr>
          <w:rFonts w:ascii="Avenir Next" w:hAnsi="Avenir Next"/>
          <w:color w:val="auto"/>
          <w:sz w:val="24"/>
        </w:rPr>
        <w:t>395</w:t>
      </w:r>
      <w:r w:rsidRPr="004C24DA">
        <w:rPr>
          <w:rFonts w:ascii="Avenir Next" w:hAnsi="Avenir Next"/>
          <w:color w:val="auto"/>
          <w:sz w:val="24"/>
        </w:rPr>
        <w:t xml:space="preserve">, </w:t>
      </w:r>
      <w:r>
        <w:rPr>
          <w:rFonts w:ascii="Avenir Next" w:hAnsi="Avenir Next"/>
          <w:color w:val="auto"/>
          <w:sz w:val="24"/>
        </w:rPr>
        <w:t>unos 27</w:t>
      </w:r>
      <w:r w:rsidRPr="004C24DA">
        <w:rPr>
          <w:rFonts w:ascii="Avenir Next" w:hAnsi="Avenir Next"/>
          <w:color w:val="auto"/>
          <w:sz w:val="24"/>
        </w:rPr>
        <w:t xml:space="preserve"> mil m</w:t>
      </w:r>
      <w:r>
        <w:rPr>
          <w:rFonts w:ascii="Avenir Next" w:hAnsi="Avenir Next"/>
          <w:color w:val="auto"/>
          <w:sz w:val="24"/>
        </w:rPr>
        <w:t>á</w:t>
      </w:r>
      <w:r w:rsidRPr="004C24DA">
        <w:rPr>
          <w:rFonts w:ascii="Avenir Next" w:hAnsi="Avenir Next"/>
          <w:color w:val="auto"/>
          <w:sz w:val="24"/>
        </w:rPr>
        <w:t>s que en el trimestre anterior</w:t>
      </w:r>
      <w:r>
        <w:rPr>
          <w:rFonts w:ascii="Avenir Next" w:hAnsi="Avenir Next"/>
          <w:color w:val="auto"/>
          <w:sz w:val="24"/>
        </w:rPr>
        <w:t xml:space="preserve">, </w:t>
      </w:r>
      <w:r w:rsidRPr="004C24DA">
        <w:rPr>
          <w:rFonts w:ascii="Avenir Next" w:hAnsi="Avenir Next"/>
          <w:color w:val="auto"/>
          <w:sz w:val="24"/>
        </w:rPr>
        <w:t>mientras</w:t>
      </w:r>
      <w:r>
        <w:rPr>
          <w:rFonts w:ascii="Avenir Next" w:hAnsi="Avenir Next"/>
          <w:color w:val="auto"/>
          <w:sz w:val="24"/>
        </w:rPr>
        <w:t xml:space="preserve"> que</w:t>
      </w:r>
      <w:r w:rsidRPr="004C24DA">
        <w:rPr>
          <w:rFonts w:ascii="Avenir Next" w:hAnsi="Avenir Next"/>
          <w:color w:val="auto"/>
          <w:sz w:val="24"/>
        </w:rPr>
        <w:t xml:space="preserve"> en España fue </w:t>
      </w:r>
      <w:r>
        <w:rPr>
          <w:rFonts w:ascii="Avenir Next" w:hAnsi="Avenir Next"/>
          <w:color w:val="auto"/>
          <w:sz w:val="24"/>
        </w:rPr>
        <w:t xml:space="preserve">de </w:t>
      </w:r>
      <w:r w:rsidRPr="00A83BA1">
        <w:rPr>
          <w:rFonts w:ascii="Avenir Next" w:hAnsi="Avenir Next"/>
          <w:color w:val="auto"/>
          <w:sz w:val="24"/>
        </w:rPr>
        <w:t>20.</w:t>
      </w:r>
      <w:r>
        <w:rPr>
          <w:rFonts w:ascii="Avenir Next" w:hAnsi="Avenir Next"/>
          <w:color w:val="auto"/>
          <w:sz w:val="24"/>
        </w:rPr>
        <w:t>287</w:t>
      </w:r>
      <w:r w:rsidRPr="00A83BA1">
        <w:rPr>
          <w:rFonts w:ascii="Avenir Next" w:hAnsi="Avenir Next"/>
          <w:color w:val="auto"/>
          <w:sz w:val="24"/>
        </w:rPr>
        <w:t>.</w:t>
      </w:r>
      <w:r>
        <w:rPr>
          <w:rFonts w:ascii="Avenir Next" w:hAnsi="Avenir Next"/>
          <w:color w:val="auto"/>
          <w:sz w:val="24"/>
        </w:rPr>
        <w:t>896</w:t>
      </w:r>
      <w:r w:rsidRPr="004C24DA">
        <w:rPr>
          <w:rFonts w:ascii="Avenir Next" w:hAnsi="Avenir Next"/>
          <w:color w:val="auto"/>
          <w:sz w:val="24"/>
        </w:rPr>
        <w:t xml:space="preserve">, algo más de </w:t>
      </w:r>
      <w:r>
        <w:rPr>
          <w:rFonts w:ascii="Avenir Next" w:hAnsi="Avenir Next"/>
          <w:color w:val="auto"/>
          <w:sz w:val="24"/>
        </w:rPr>
        <w:t>63</w:t>
      </w:r>
      <w:r w:rsidRPr="004C24DA">
        <w:rPr>
          <w:rFonts w:ascii="Avenir Next" w:hAnsi="Avenir Next"/>
          <w:color w:val="auto"/>
          <w:sz w:val="24"/>
        </w:rPr>
        <w:t xml:space="preserve"> mil </w:t>
      </w:r>
      <w:r>
        <w:rPr>
          <w:rFonts w:ascii="Avenir Next" w:hAnsi="Avenir Next"/>
          <w:color w:val="auto"/>
          <w:sz w:val="24"/>
        </w:rPr>
        <w:t>por encima de la media del tercer trimestre</w:t>
      </w:r>
      <w:r w:rsidRPr="004C24DA">
        <w:rPr>
          <w:rFonts w:ascii="Avenir Next" w:hAnsi="Avenir Next"/>
          <w:color w:val="auto"/>
          <w:sz w:val="24"/>
        </w:rPr>
        <w:t xml:space="preserve">. </w:t>
      </w:r>
      <w:r>
        <w:rPr>
          <w:rFonts w:ascii="Avenir Next" w:hAnsi="Avenir Next"/>
          <w:color w:val="auto"/>
          <w:sz w:val="24"/>
        </w:rPr>
        <w:t xml:space="preserve">El crecimiento </w:t>
      </w:r>
      <w:proofErr w:type="spellStart"/>
      <w:r>
        <w:rPr>
          <w:rFonts w:ascii="Avenir Next" w:hAnsi="Avenir Next"/>
          <w:color w:val="auto"/>
          <w:sz w:val="24"/>
        </w:rPr>
        <w:t>intertrimestral</w:t>
      </w:r>
      <w:proofErr w:type="spellEnd"/>
      <w:r>
        <w:rPr>
          <w:rFonts w:ascii="Avenir Next" w:hAnsi="Avenir Next"/>
          <w:color w:val="auto"/>
          <w:sz w:val="24"/>
        </w:rPr>
        <w:t xml:space="preserve"> fue, así, del 0,8 y 0,3 %, respectivamente. Sin embargo, a pesar de este mejor comportamiento entre ambos trimestres, en términos interanuales, España mantiene una ventaja, ya que </w:t>
      </w:r>
      <w:r w:rsidRPr="004C24DA">
        <w:rPr>
          <w:rFonts w:ascii="Avenir Next" w:hAnsi="Avenir Next"/>
          <w:color w:val="auto"/>
          <w:sz w:val="24"/>
        </w:rPr>
        <w:t>la tasa de crecimiento</w:t>
      </w:r>
      <w:r>
        <w:rPr>
          <w:rFonts w:ascii="Avenir Next" w:hAnsi="Avenir Next"/>
          <w:color w:val="auto"/>
          <w:sz w:val="24"/>
        </w:rPr>
        <w:t xml:space="preserve"> interanual </w:t>
      </w:r>
      <w:r w:rsidRPr="004C24DA">
        <w:rPr>
          <w:rFonts w:ascii="Avenir Next" w:hAnsi="Avenir Next"/>
          <w:color w:val="auto"/>
          <w:sz w:val="24"/>
        </w:rPr>
        <w:t>en Andalucía de los afiliados medios fue de</w:t>
      </w:r>
      <w:r>
        <w:rPr>
          <w:rFonts w:ascii="Avenir Next" w:hAnsi="Avenir Next"/>
          <w:color w:val="auto"/>
          <w:sz w:val="24"/>
        </w:rPr>
        <w:t>l 2,2</w:t>
      </w:r>
      <w:r w:rsidRPr="004C24DA">
        <w:rPr>
          <w:rFonts w:ascii="Avenir Next" w:hAnsi="Avenir Next"/>
          <w:color w:val="auto"/>
          <w:sz w:val="24"/>
        </w:rPr>
        <w:t xml:space="preserve"> % mientras que en España </w:t>
      </w:r>
      <w:r>
        <w:rPr>
          <w:rFonts w:ascii="Avenir Next" w:hAnsi="Avenir Next"/>
          <w:color w:val="auto"/>
          <w:sz w:val="24"/>
        </w:rPr>
        <w:t>seguía siendo superior, situándose en el 2,7</w:t>
      </w:r>
      <w:r w:rsidRPr="004C24DA">
        <w:rPr>
          <w:rFonts w:ascii="Avenir Next" w:hAnsi="Avenir Next"/>
          <w:color w:val="auto"/>
          <w:sz w:val="24"/>
        </w:rPr>
        <w:t xml:space="preserve"> %. </w:t>
      </w:r>
    </w:p>
    <w:p w14:paraId="1FCB6B7E" w14:textId="77777777" w:rsidR="00F73706" w:rsidRPr="004C24DA" w:rsidRDefault="00F73706" w:rsidP="00F73706">
      <w:pPr>
        <w:pStyle w:val="BodyA"/>
        <w:spacing w:before="100" w:after="100"/>
        <w:jc w:val="both"/>
        <w:rPr>
          <w:rFonts w:ascii="Avenir Next" w:hAnsi="Avenir Next"/>
          <w:color w:val="auto"/>
          <w:sz w:val="24"/>
        </w:rPr>
      </w:pPr>
      <w:r>
        <w:rPr>
          <w:rFonts w:ascii="Avenir Next" w:hAnsi="Avenir Next"/>
          <w:color w:val="auto"/>
          <w:sz w:val="24"/>
        </w:rP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lugar, esta evolución es cada vez más coherente con la de la actividad, que muestra un comportamiento algo más débil en la región. En cuanto a la caída del desempleo y la más intensa reducción de la tasa de paro en Andalucía vienen más motivadas por la reducción de la población activa que por la mejora de la ocupación. La salida del mercado de trabajo de un mayor número de personas en Andalucía que en España motivaría en parte este comportamiento diferencial. Finalmente, el relativo peor comportamiento del mercado podría explicarse, aunque no en su totalidad, por el negativo comportamiento en el año de la agricultura</w:t>
      </w:r>
      <w:r w:rsidRPr="004C24DA">
        <w:rPr>
          <w:rFonts w:ascii="Avenir Next" w:hAnsi="Avenir Next"/>
          <w:color w:val="auto"/>
          <w:sz w:val="24"/>
        </w:rPr>
        <w:t>.</w:t>
      </w:r>
    </w:p>
    <w:p w14:paraId="59E7712D" w14:textId="77777777" w:rsidR="00F73706" w:rsidRPr="000C662E" w:rsidRDefault="00F73706" w:rsidP="00F73706">
      <w:pPr>
        <w:pStyle w:val="BodyA"/>
        <w:spacing w:before="100" w:after="100"/>
        <w:jc w:val="both"/>
        <w:rPr>
          <w:rFonts w:ascii="Avenir Next" w:hAnsi="Avenir Next"/>
          <w:color w:val="FF0000"/>
          <w:sz w:val="24"/>
        </w:rPr>
      </w:pPr>
    </w:p>
    <w:p w14:paraId="1EEDB23A" w14:textId="77777777" w:rsidR="00F73706" w:rsidRPr="005E3106" w:rsidRDefault="00F73706" w:rsidP="00F73706">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1FDB1D9C" w14:textId="77777777" w:rsidR="00F73706" w:rsidRPr="005E3106" w:rsidRDefault="00F73706" w:rsidP="00F73706">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La mayor debilidad de la actividad económica, la caída de las exportaciones y de la renta en términos reales está profundamente relacionada con la evolución de algunos de los componentes de la demanda. Desde el tercer trimestre, los indicadores asociados a la demanda, en particular a los del consumo, han mantenido una evolución débil que se ha traducido en una contracción de</w:t>
      </w:r>
      <w:r>
        <w:rPr>
          <w:rFonts w:ascii="Avenir Next" w:hAnsi="Avenir Next"/>
          <w:color w:val="000000" w:themeColor="text1"/>
          <w:sz w:val="24"/>
        </w:rPr>
        <w:t>l agregado correspondiente (consumo de los hogares)</w:t>
      </w:r>
      <w:r w:rsidRPr="005E3106">
        <w:rPr>
          <w:rFonts w:ascii="Avenir Next" w:hAnsi="Avenir Next"/>
          <w:color w:val="000000" w:themeColor="text1"/>
          <w:sz w:val="24"/>
        </w:rPr>
        <w:t xml:space="preserve">. </w:t>
      </w:r>
    </w:p>
    <w:p w14:paraId="340BA88A" w14:textId="77777777" w:rsidR="00F73706" w:rsidRPr="005E3106" w:rsidRDefault="00F73706" w:rsidP="00F73706">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 xml:space="preserve">Así, el índice del comercio </w:t>
      </w:r>
      <w:r>
        <w:rPr>
          <w:rFonts w:ascii="Avenir Next" w:hAnsi="Avenir Next"/>
          <w:color w:val="000000" w:themeColor="text1"/>
          <w:sz w:val="24"/>
        </w:rPr>
        <w:t>minorista</w:t>
      </w:r>
      <w:r w:rsidRPr="005E3106">
        <w:rPr>
          <w:rFonts w:ascii="Avenir Next" w:hAnsi="Avenir Next"/>
          <w:color w:val="000000" w:themeColor="text1"/>
          <w:sz w:val="24"/>
        </w:rPr>
        <w:t xml:space="preserve">, que durante el tercer trimestre </w:t>
      </w:r>
      <w:r>
        <w:rPr>
          <w:rFonts w:ascii="Avenir Next" w:hAnsi="Avenir Next"/>
          <w:color w:val="000000" w:themeColor="text1"/>
          <w:sz w:val="24"/>
        </w:rPr>
        <w:t xml:space="preserve">cayó en términos </w:t>
      </w:r>
      <w:proofErr w:type="spellStart"/>
      <w:r>
        <w:rPr>
          <w:rFonts w:ascii="Avenir Next" w:hAnsi="Avenir Next"/>
          <w:color w:val="000000" w:themeColor="text1"/>
          <w:sz w:val="24"/>
        </w:rPr>
        <w:t>intertrimestrales</w:t>
      </w:r>
      <w:proofErr w:type="spellEnd"/>
      <w:r>
        <w:rPr>
          <w:rFonts w:ascii="Avenir Next" w:hAnsi="Avenir Next"/>
          <w:color w:val="000000" w:themeColor="text1"/>
          <w:sz w:val="24"/>
        </w:rPr>
        <w:t xml:space="preserve">, </w:t>
      </w:r>
      <w:r w:rsidRPr="005E3106">
        <w:rPr>
          <w:rFonts w:ascii="Avenir Next" w:hAnsi="Avenir Next"/>
          <w:color w:val="000000" w:themeColor="text1"/>
          <w:sz w:val="24"/>
        </w:rPr>
        <w:t>ha mostrado un crecimiento débil durante el último trimestre del año, inferior a la media española. Esta caída es especialmente intensa en alimentación</w:t>
      </w:r>
      <w:r>
        <w:rPr>
          <w:rFonts w:ascii="Avenir Next" w:hAnsi="Avenir Next"/>
          <w:color w:val="000000" w:themeColor="text1"/>
          <w:sz w:val="24"/>
        </w:rPr>
        <w:t xml:space="preserve"> (más del</w:t>
      </w:r>
      <w:r w:rsidRPr="005E3106">
        <w:rPr>
          <w:rFonts w:ascii="Avenir Next" w:hAnsi="Avenir Next"/>
          <w:color w:val="000000" w:themeColor="text1"/>
          <w:sz w:val="24"/>
        </w:rPr>
        <w:t xml:space="preserve"> -4 %</w:t>
      </w:r>
      <w:r>
        <w:rPr>
          <w:rFonts w:ascii="Avenir Next" w:hAnsi="Avenir Next"/>
          <w:color w:val="000000" w:themeColor="text1"/>
          <w:sz w:val="24"/>
        </w:rPr>
        <w:t>)</w:t>
      </w:r>
      <w:r w:rsidRPr="005E3106">
        <w:rPr>
          <w:rFonts w:ascii="Avenir Next" w:hAnsi="Avenir Next"/>
          <w:color w:val="000000" w:themeColor="text1"/>
          <w:sz w:val="24"/>
        </w:rPr>
        <w:t xml:space="preserve">, y solo compensada por las ventas de no alimentación, posiblemente gracias a una buena campaña de navidad. </w:t>
      </w:r>
      <w:r>
        <w:rPr>
          <w:rFonts w:ascii="Avenir Next" w:hAnsi="Avenir Next"/>
          <w:color w:val="000000" w:themeColor="text1"/>
          <w:sz w:val="24"/>
        </w:rPr>
        <w:t>E</w:t>
      </w:r>
      <w:r w:rsidRPr="005E3106">
        <w:rPr>
          <w:rFonts w:ascii="Avenir Next" w:hAnsi="Avenir Next"/>
          <w:color w:val="000000" w:themeColor="text1"/>
          <w:sz w:val="24"/>
        </w:rPr>
        <w:t>n términos deflactados y corregido de calendario</w:t>
      </w:r>
      <w:r>
        <w:rPr>
          <w:rFonts w:ascii="Avenir Next" w:hAnsi="Avenir Next"/>
          <w:color w:val="000000" w:themeColor="text1"/>
          <w:sz w:val="24"/>
        </w:rPr>
        <w:t xml:space="preserve"> y</w:t>
      </w:r>
      <w:r w:rsidRPr="005E3106">
        <w:rPr>
          <w:rFonts w:ascii="Avenir Next" w:hAnsi="Avenir Next"/>
          <w:color w:val="000000" w:themeColor="text1"/>
          <w:sz w:val="24"/>
        </w:rPr>
        <w:t xml:space="preserve"> en tasas interanuales</w:t>
      </w:r>
      <w:r>
        <w:rPr>
          <w:rFonts w:ascii="Avenir Next" w:hAnsi="Avenir Next"/>
          <w:color w:val="000000" w:themeColor="text1"/>
          <w:sz w:val="24"/>
        </w:rPr>
        <w:t>,</w:t>
      </w:r>
      <w:r w:rsidRPr="005E3106">
        <w:rPr>
          <w:rFonts w:ascii="Avenir Next" w:hAnsi="Avenir Next"/>
          <w:color w:val="000000" w:themeColor="text1"/>
          <w:sz w:val="24"/>
        </w:rPr>
        <w:t xml:space="preserve"> el índice de comercio </w:t>
      </w:r>
      <w:r>
        <w:rPr>
          <w:rFonts w:ascii="Avenir Next" w:hAnsi="Avenir Next"/>
          <w:color w:val="000000" w:themeColor="text1"/>
          <w:sz w:val="24"/>
        </w:rPr>
        <w:t xml:space="preserve">minorista aumentó </w:t>
      </w:r>
      <w:r w:rsidRPr="005E3106">
        <w:rPr>
          <w:rFonts w:ascii="Avenir Next" w:hAnsi="Avenir Next"/>
          <w:color w:val="000000" w:themeColor="text1"/>
          <w:sz w:val="24"/>
        </w:rPr>
        <w:t>un 0,1 %,</w:t>
      </w:r>
      <w:r>
        <w:rPr>
          <w:rFonts w:ascii="Avenir Next" w:hAnsi="Avenir Next"/>
          <w:color w:val="000000" w:themeColor="text1"/>
          <w:sz w:val="24"/>
        </w:rPr>
        <w:t xml:space="preserve"> </w:t>
      </w:r>
      <w:r w:rsidRPr="005E3106">
        <w:rPr>
          <w:rFonts w:ascii="Avenir Next" w:hAnsi="Avenir Next"/>
          <w:color w:val="000000" w:themeColor="text1"/>
          <w:sz w:val="24"/>
        </w:rPr>
        <w:t>pero cay</w:t>
      </w:r>
      <w:r>
        <w:rPr>
          <w:rFonts w:ascii="Avenir Next" w:hAnsi="Avenir Next"/>
          <w:color w:val="000000" w:themeColor="text1"/>
          <w:sz w:val="24"/>
        </w:rPr>
        <w:t xml:space="preserve">ó </w:t>
      </w:r>
      <w:r w:rsidRPr="005E3106">
        <w:rPr>
          <w:rFonts w:ascii="Avenir Next" w:hAnsi="Avenir Next"/>
          <w:color w:val="000000" w:themeColor="text1"/>
          <w:sz w:val="24"/>
        </w:rPr>
        <w:t xml:space="preserve">un -4,5 % en alimentación y </w:t>
      </w:r>
      <w:r>
        <w:rPr>
          <w:rFonts w:ascii="Avenir Next" w:hAnsi="Avenir Next"/>
          <w:color w:val="000000" w:themeColor="text1"/>
          <w:sz w:val="24"/>
        </w:rPr>
        <w:t xml:space="preserve">que fue </w:t>
      </w:r>
      <w:r w:rsidRPr="005E3106">
        <w:rPr>
          <w:rFonts w:ascii="Avenir Next" w:hAnsi="Avenir Next"/>
          <w:color w:val="000000" w:themeColor="text1"/>
          <w:sz w:val="24"/>
        </w:rPr>
        <w:t xml:space="preserve">compensado parcialmente por </w:t>
      </w:r>
      <w:r>
        <w:rPr>
          <w:rFonts w:ascii="Avenir Next" w:hAnsi="Avenir Next"/>
          <w:color w:val="000000" w:themeColor="text1"/>
          <w:sz w:val="24"/>
        </w:rPr>
        <w:t xml:space="preserve">las </w:t>
      </w:r>
      <w:r w:rsidRPr="005E3106">
        <w:rPr>
          <w:rFonts w:ascii="Avenir Next" w:hAnsi="Avenir Next"/>
          <w:color w:val="000000" w:themeColor="text1"/>
          <w:sz w:val="24"/>
        </w:rPr>
        <w:t>ventas de no alimentación, con un crecimiento del 3,9 %</w:t>
      </w:r>
      <w:r>
        <w:rPr>
          <w:rFonts w:ascii="Avenir Next" w:hAnsi="Avenir Next"/>
          <w:color w:val="000000" w:themeColor="text1"/>
          <w:sz w:val="24"/>
        </w:rPr>
        <w:t xml:space="preserve">, de donde se deriva que </w:t>
      </w:r>
      <w:r w:rsidRPr="005E3106">
        <w:rPr>
          <w:rFonts w:ascii="Avenir Next" w:hAnsi="Avenir Next"/>
          <w:color w:val="000000" w:themeColor="text1"/>
          <w:sz w:val="24"/>
        </w:rPr>
        <w:t xml:space="preserve">existe una clara tendencia a ajustar </w:t>
      </w:r>
      <w:r>
        <w:rPr>
          <w:rFonts w:ascii="Avenir Next" w:hAnsi="Avenir Next"/>
          <w:color w:val="000000" w:themeColor="text1"/>
          <w:sz w:val="24"/>
        </w:rPr>
        <w:t xml:space="preserve">el </w:t>
      </w:r>
      <w:r w:rsidRPr="005E3106">
        <w:rPr>
          <w:rFonts w:ascii="Avenir Next" w:hAnsi="Avenir Next"/>
          <w:color w:val="000000" w:themeColor="text1"/>
          <w:sz w:val="24"/>
        </w:rPr>
        <w:t xml:space="preserve">consumo </w:t>
      </w:r>
      <w:r>
        <w:rPr>
          <w:rFonts w:ascii="Avenir Next" w:hAnsi="Avenir Next"/>
          <w:color w:val="000000" w:themeColor="text1"/>
          <w:sz w:val="24"/>
        </w:rPr>
        <w:t xml:space="preserve">de los </w:t>
      </w:r>
      <w:r w:rsidRPr="005E3106">
        <w:rPr>
          <w:rFonts w:ascii="Avenir Next" w:hAnsi="Avenir Next"/>
          <w:color w:val="000000" w:themeColor="text1"/>
          <w:sz w:val="24"/>
        </w:rPr>
        <w:t>productos cuyos precios han sufrido un mayor incremento en los últimos meses. De igual modo, otros indicadores como son el índice de ventas de grandes superficies y la matriculación de vehículos repiten una contracción ya observada en los meses anteriores.</w:t>
      </w:r>
    </w:p>
    <w:p w14:paraId="3E4D78D2" w14:textId="77777777" w:rsidR="00F73706" w:rsidRPr="005E3106" w:rsidRDefault="00F73706" w:rsidP="00F73706">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Aunque la aportación del consumo de los no residentes ha seguido siendo positiv</w:t>
      </w:r>
      <w:r>
        <w:rPr>
          <w:rFonts w:ascii="Avenir Next" w:hAnsi="Avenir Next"/>
          <w:color w:val="000000" w:themeColor="text1"/>
          <w:sz w:val="24"/>
        </w:rPr>
        <w:t>a</w:t>
      </w:r>
      <w:r w:rsidRPr="005E3106">
        <w:rPr>
          <w:rFonts w:ascii="Avenir Next" w:hAnsi="Avenir Next"/>
          <w:color w:val="000000" w:themeColor="text1"/>
          <w:sz w:val="24"/>
        </w:rPr>
        <w:t xml:space="preserve"> en términos interanuales, </w:t>
      </w:r>
      <w:r>
        <w:rPr>
          <w:rFonts w:ascii="Avenir Next" w:hAnsi="Avenir Next"/>
          <w:color w:val="000000" w:themeColor="text1"/>
          <w:sz w:val="24"/>
        </w:rPr>
        <w:t>va perdiendo la capacidad de</w:t>
      </w:r>
      <w:r w:rsidRPr="005E3106">
        <w:rPr>
          <w:rFonts w:ascii="Avenir Next" w:hAnsi="Avenir Next"/>
          <w:color w:val="000000" w:themeColor="text1"/>
          <w:sz w:val="24"/>
        </w:rPr>
        <w:t xml:space="preserve"> compensar </w:t>
      </w:r>
      <w:r>
        <w:rPr>
          <w:rFonts w:ascii="Avenir Next" w:hAnsi="Avenir Next"/>
          <w:color w:val="000000" w:themeColor="text1"/>
          <w:sz w:val="24"/>
        </w:rPr>
        <w:t>la evolución del</w:t>
      </w:r>
      <w:r w:rsidRPr="005E3106">
        <w:rPr>
          <w:rFonts w:ascii="Avenir Next" w:hAnsi="Avenir Next"/>
          <w:color w:val="000000" w:themeColor="text1"/>
          <w:sz w:val="24"/>
        </w:rPr>
        <w:t xml:space="preserve"> consumo de las familias andaluzas.</w:t>
      </w:r>
      <w:r>
        <w:rPr>
          <w:rFonts w:ascii="Avenir Next" w:hAnsi="Avenir Next"/>
          <w:color w:val="000000" w:themeColor="text1"/>
          <w:sz w:val="24"/>
        </w:rPr>
        <w:t xml:space="preserve"> </w:t>
      </w:r>
      <w:r w:rsidRPr="005E3106">
        <w:rPr>
          <w:rFonts w:ascii="Avenir Next" w:hAnsi="Avenir Next"/>
          <w:color w:val="000000" w:themeColor="text1"/>
          <w:sz w:val="24"/>
        </w:rPr>
        <w:t>No obstante, los indicadores del turismo mantienen su recuperación desde el inicio de la pandemia con aumentos significativos en pernoctaciones y gasto medio, aunque con una reducción en las estancias medias</w:t>
      </w:r>
      <w:r>
        <w:rPr>
          <w:rFonts w:ascii="Avenir Next" w:hAnsi="Avenir Next"/>
          <w:color w:val="000000" w:themeColor="text1"/>
          <w:sz w:val="24"/>
        </w:rPr>
        <w:t xml:space="preserve">, aunque crecen en menor medida que los indicadores nacionales, lo que se explica </w:t>
      </w:r>
      <w:r w:rsidRPr="005E3106">
        <w:rPr>
          <w:rFonts w:ascii="Avenir Next" w:hAnsi="Avenir Next"/>
          <w:color w:val="000000" w:themeColor="text1"/>
          <w:sz w:val="24"/>
        </w:rPr>
        <w:t>por el</w:t>
      </w:r>
      <w:r>
        <w:rPr>
          <w:rFonts w:ascii="Avenir Next" w:hAnsi="Avenir Next"/>
          <w:color w:val="000000" w:themeColor="text1"/>
          <w:sz w:val="24"/>
        </w:rPr>
        <w:t xml:space="preserve"> mayor </w:t>
      </w:r>
      <w:r w:rsidRPr="005E3106">
        <w:rPr>
          <w:rFonts w:ascii="Avenir Next" w:hAnsi="Avenir Next"/>
          <w:color w:val="000000" w:themeColor="text1"/>
          <w:sz w:val="24"/>
        </w:rPr>
        <w:t xml:space="preserve">peso </w:t>
      </w:r>
      <w:r>
        <w:rPr>
          <w:rFonts w:ascii="Avenir Next" w:hAnsi="Avenir Next"/>
          <w:color w:val="000000" w:themeColor="text1"/>
          <w:sz w:val="24"/>
        </w:rPr>
        <w:t xml:space="preserve">del turismo en </w:t>
      </w:r>
      <w:r w:rsidRPr="005E3106">
        <w:rPr>
          <w:rFonts w:ascii="Avenir Next" w:hAnsi="Avenir Next"/>
          <w:color w:val="000000" w:themeColor="text1"/>
          <w:sz w:val="24"/>
        </w:rPr>
        <w:t xml:space="preserve">algunas regiones </w:t>
      </w:r>
      <w:r>
        <w:rPr>
          <w:rFonts w:ascii="Avenir Next" w:hAnsi="Avenir Next"/>
          <w:color w:val="000000" w:themeColor="text1"/>
          <w:sz w:val="24"/>
        </w:rPr>
        <w:t>españolas, como las insulares</w:t>
      </w:r>
      <w:r w:rsidRPr="005E3106">
        <w:rPr>
          <w:rFonts w:ascii="Avenir Next" w:hAnsi="Avenir Next"/>
          <w:color w:val="000000" w:themeColor="text1"/>
          <w:sz w:val="24"/>
        </w:rPr>
        <w:t>.</w:t>
      </w:r>
    </w:p>
    <w:p w14:paraId="3D20DD17" w14:textId="77777777" w:rsidR="00F73706" w:rsidRPr="00B316C0" w:rsidRDefault="00F73706" w:rsidP="00F73706">
      <w:pPr>
        <w:pStyle w:val="BodyA"/>
        <w:spacing w:before="100" w:after="100"/>
        <w:jc w:val="both"/>
        <w:rPr>
          <w:rFonts w:ascii="Avenir Next" w:hAnsi="Avenir Next"/>
          <w:color w:val="000000" w:themeColor="text1"/>
          <w:sz w:val="24"/>
        </w:rPr>
      </w:pPr>
      <w:r w:rsidRPr="00B316C0">
        <w:rPr>
          <w:rFonts w:ascii="Avenir Next" w:hAnsi="Avenir Next"/>
          <w:color w:val="000000" w:themeColor="text1"/>
          <w:sz w:val="24"/>
        </w:rPr>
        <w:t xml:space="preserve">En cuanto a la inversión, existe una clara diferencia entre la </w:t>
      </w:r>
      <w:r>
        <w:rPr>
          <w:rFonts w:ascii="Avenir Next" w:hAnsi="Avenir Next"/>
          <w:color w:val="000000" w:themeColor="text1"/>
          <w:sz w:val="24"/>
        </w:rPr>
        <w:t>inmobiliaria</w:t>
      </w:r>
      <w:r w:rsidRPr="00B316C0">
        <w:rPr>
          <w:rFonts w:ascii="Avenir Next" w:hAnsi="Avenir Next"/>
          <w:color w:val="000000" w:themeColor="text1"/>
          <w:sz w:val="24"/>
        </w:rPr>
        <w:t xml:space="preserve">, con una evolución </w:t>
      </w:r>
      <w:r>
        <w:rPr>
          <w:rFonts w:ascii="Avenir Next" w:hAnsi="Avenir Next"/>
          <w:color w:val="000000" w:themeColor="text1"/>
          <w:sz w:val="24"/>
        </w:rPr>
        <w:t xml:space="preserve">negativa </w:t>
      </w:r>
      <w:r w:rsidRPr="00B316C0">
        <w:rPr>
          <w:rFonts w:ascii="Avenir Next" w:hAnsi="Avenir Next"/>
          <w:color w:val="000000" w:themeColor="text1"/>
          <w:sz w:val="24"/>
        </w:rPr>
        <w:t xml:space="preserve">que demuestra el posible efecto del aumento de los tipos sobre el sector, y la inversión pública y en equipos, donde, sobre todo la primera, parecen </w:t>
      </w:r>
      <w:r>
        <w:rPr>
          <w:rFonts w:ascii="Avenir Next" w:hAnsi="Avenir Next"/>
          <w:color w:val="000000" w:themeColor="text1"/>
          <w:sz w:val="24"/>
        </w:rPr>
        <w:t xml:space="preserve">aumentar </w:t>
      </w:r>
      <w:r w:rsidRPr="00B316C0">
        <w:rPr>
          <w:rFonts w:ascii="Avenir Next" w:hAnsi="Avenir Next"/>
          <w:color w:val="000000" w:themeColor="text1"/>
          <w:sz w:val="24"/>
        </w:rPr>
        <w:t>el ritmo con claridad.</w:t>
      </w:r>
    </w:p>
    <w:p w14:paraId="30CE9C2A" w14:textId="77777777" w:rsidR="00F73706" w:rsidRPr="001900C5" w:rsidRDefault="00F73706" w:rsidP="00F73706">
      <w:pPr>
        <w:pStyle w:val="BodyA"/>
        <w:spacing w:before="100" w:after="100"/>
        <w:jc w:val="both"/>
        <w:rPr>
          <w:rFonts w:ascii="Avenir Next" w:hAnsi="Avenir Next"/>
          <w:color w:val="000000" w:themeColor="text1"/>
          <w:sz w:val="24"/>
        </w:rPr>
      </w:pPr>
      <w:r w:rsidRPr="00B316C0">
        <w:rPr>
          <w:rFonts w:ascii="Avenir Next" w:hAnsi="Avenir Next"/>
          <w:color w:val="000000" w:themeColor="text1"/>
          <w:sz w:val="24"/>
        </w:rPr>
        <w:t xml:space="preserve">Por último, el sector exterior muestra un comportamiento negativo en clara sintonía con lo ya experimentado en el trimestre anterior. Por un lado, las importaciones, en términos nominales, aumentaron a un ritmo del 16,9 % durante los meses </w:t>
      </w:r>
      <w:r w:rsidRPr="001900C5">
        <w:rPr>
          <w:rFonts w:ascii="Avenir Next" w:hAnsi="Avenir Next"/>
          <w:color w:val="000000" w:themeColor="text1"/>
          <w:sz w:val="24"/>
        </w:rPr>
        <w:t>de octubre y noviembre comparados con la media del trimestre anterior. En términos reales lo hicieron en un 19 %. Mientras, las exportaciones cayeron un trimestre más, en esta ocasión en un 4,9 % en cifras nominales y un 4,3 % en términos reales. Estas cifras, por lo tanto, identifican a un sector exterior que sigue aportando crecimiento negativo al PIB andaluz.</w:t>
      </w:r>
    </w:p>
    <w:p w14:paraId="0149C4D0" w14:textId="77777777" w:rsidR="00F73706" w:rsidRPr="001900C5" w:rsidRDefault="00F73706" w:rsidP="00F73706">
      <w:pPr>
        <w:pStyle w:val="BodyA"/>
        <w:spacing w:before="100" w:after="100"/>
        <w:jc w:val="both"/>
        <w:rPr>
          <w:rFonts w:ascii="Avenir Next" w:hAnsi="Avenir Next"/>
          <w:color w:val="000000" w:themeColor="text1"/>
          <w:sz w:val="24"/>
        </w:rPr>
      </w:pPr>
      <w:r w:rsidRPr="001900C5">
        <w:rPr>
          <w:rFonts w:ascii="Avenir Next" w:hAnsi="Avenir Next"/>
          <w:color w:val="000000" w:themeColor="text1"/>
          <w:sz w:val="24"/>
        </w:rPr>
        <w:t>Respecto a las exportaciones, en esta ocasión la caída se concentra en productos asociados, principalmente, a la industria y a la energía, y que toman el testigo de los alimentos, razón principal de la reducción de las exportaciones andaluzas en el cuarto trimestre.</w:t>
      </w:r>
    </w:p>
    <w:p w14:paraId="061012F8" w14:textId="77777777" w:rsidR="00F73706" w:rsidRPr="00712FCB" w:rsidRDefault="00F73706" w:rsidP="00F73706">
      <w:pPr>
        <w:pStyle w:val="BodyA"/>
        <w:spacing w:before="100" w:after="100"/>
        <w:jc w:val="both"/>
        <w:rPr>
          <w:rFonts w:ascii="Avenir Next Demi Bold" w:hAnsi="Avenir Next Demi Bold"/>
          <w:b/>
          <w:bCs/>
          <w:color w:val="000000" w:themeColor="text1"/>
          <w:sz w:val="28"/>
          <w:szCs w:val="28"/>
          <w:u w:color="022ED3"/>
        </w:rPr>
      </w:pPr>
    </w:p>
    <w:p w14:paraId="31B45870" w14:textId="77777777" w:rsidR="00F73706" w:rsidRPr="00712FCB" w:rsidRDefault="00F73706" w:rsidP="00F73706">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6EB18354" w14:textId="77777777" w:rsidR="00F73706" w:rsidRPr="00712FCB" w:rsidRDefault="00F73706" w:rsidP="00F73706">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w:t>
      </w:r>
      <w:r>
        <w:rPr>
          <w:rFonts w:ascii="Avenir Next" w:hAnsi="Avenir Next"/>
          <w:color w:val="000000" w:themeColor="text1"/>
          <w:sz w:val="24"/>
        </w:rPr>
        <w:t xml:space="preserve">las </w:t>
      </w:r>
      <w:r w:rsidRPr="00712FCB">
        <w:rPr>
          <w:rFonts w:ascii="Avenir Next" w:hAnsi="Avenir Next"/>
          <w:color w:val="000000" w:themeColor="text1"/>
          <w:sz w:val="24"/>
        </w:rPr>
        <w:t>economías del centro de Europa. En esta ocasión</w:t>
      </w:r>
      <w:r>
        <w:rPr>
          <w:rFonts w:ascii="Avenir Next" w:hAnsi="Avenir Next"/>
          <w:color w:val="000000" w:themeColor="text1"/>
          <w:sz w:val="24"/>
        </w:rPr>
        <w:t>,</w:t>
      </w:r>
      <w:r w:rsidRPr="00712FCB">
        <w:rPr>
          <w:rFonts w:ascii="Avenir Next" w:hAnsi="Avenir Next"/>
          <w:color w:val="000000" w:themeColor="text1"/>
          <w:sz w:val="24"/>
        </w:rPr>
        <w:t xml:space="preserve"> ni las industrias asociadas al sector energético han posibilitado un saldo positivo de crecimiento al final del trimestre. </w:t>
      </w:r>
    </w:p>
    <w:p w14:paraId="2B0828BD" w14:textId="77777777" w:rsidR="00F73706" w:rsidRPr="00712FCB" w:rsidRDefault="00F73706" w:rsidP="00F73706">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En cuanto a la construcción, los indicadores asociados al sector residencial no son positivos, manteniendo la tendencia negativa </w:t>
      </w:r>
      <w:r>
        <w:rPr>
          <w:rFonts w:ascii="Avenir Next" w:hAnsi="Avenir Next"/>
          <w:color w:val="000000" w:themeColor="text1"/>
          <w:sz w:val="24"/>
        </w:rPr>
        <w:t>d</w:t>
      </w:r>
      <w:r w:rsidRPr="00712FCB">
        <w:rPr>
          <w:rFonts w:ascii="Avenir Next" w:hAnsi="Avenir Next"/>
          <w:color w:val="000000" w:themeColor="text1"/>
          <w:sz w:val="24"/>
        </w:rPr>
        <w:t>el anterior trimestre. Los datos de afiliación del sector muestran un</w:t>
      </w:r>
      <w:r>
        <w:rPr>
          <w:rFonts w:ascii="Avenir Next" w:hAnsi="Avenir Next"/>
          <w:color w:val="000000" w:themeColor="text1"/>
          <w:sz w:val="24"/>
        </w:rPr>
        <w:t xml:space="preserve">a reducción </w:t>
      </w:r>
      <w:proofErr w:type="spellStart"/>
      <w:r>
        <w:rPr>
          <w:rFonts w:ascii="Avenir Next" w:hAnsi="Avenir Next"/>
          <w:color w:val="000000" w:themeColor="text1"/>
          <w:sz w:val="24"/>
        </w:rPr>
        <w:t>intertrimestral</w:t>
      </w:r>
      <w:proofErr w:type="spellEnd"/>
      <w:r>
        <w:rPr>
          <w:rFonts w:ascii="Avenir Next" w:hAnsi="Avenir Next"/>
          <w:color w:val="000000" w:themeColor="text1"/>
          <w:sz w:val="24"/>
        </w:rPr>
        <w:t xml:space="preserve"> </w:t>
      </w:r>
      <w:r w:rsidRPr="00712FCB">
        <w:rPr>
          <w:rFonts w:ascii="Avenir Next" w:hAnsi="Avenir Next"/>
          <w:color w:val="000000" w:themeColor="text1"/>
          <w:sz w:val="24"/>
        </w:rPr>
        <w:t xml:space="preserve">superior </w:t>
      </w:r>
      <w:r>
        <w:rPr>
          <w:rFonts w:ascii="Avenir Next" w:hAnsi="Avenir Next"/>
          <w:color w:val="000000" w:themeColor="text1"/>
          <w:sz w:val="24"/>
        </w:rPr>
        <w:t>al 3</w:t>
      </w:r>
      <w:r w:rsidRPr="00712FCB">
        <w:rPr>
          <w:rFonts w:ascii="Avenir Next" w:hAnsi="Avenir Next"/>
          <w:color w:val="000000" w:themeColor="text1"/>
          <w:sz w:val="24"/>
        </w:rPr>
        <w:t xml:space="preserve"> %, </w:t>
      </w:r>
      <w:r>
        <w:rPr>
          <w:rFonts w:ascii="Avenir Next" w:hAnsi="Avenir Next"/>
          <w:color w:val="000000" w:themeColor="text1"/>
          <w:sz w:val="24"/>
        </w:rPr>
        <w:t>y que se suma al 5 % del anterior trimestre</w:t>
      </w:r>
      <w:r w:rsidRPr="00712FCB">
        <w:rPr>
          <w:rFonts w:ascii="Avenir Next" w:hAnsi="Avenir Next"/>
          <w:color w:val="000000" w:themeColor="text1"/>
          <w:sz w:val="24"/>
        </w:rPr>
        <w:t>.</w:t>
      </w:r>
    </w:p>
    <w:p w14:paraId="730F963A" w14:textId="77777777" w:rsidR="00F73706" w:rsidRDefault="00F73706" w:rsidP="00F73706">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Finalmente, la evolución de los servicios </w:t>
      </w:r>
      <w:r>
        <w:rPr>
          <w:rFonts w:ascii="Avenir Next" w:hAnsi="Avenir Next"/>
          <w:color w:val="000000" w:themeColor="text1"/>
          <w:sz w:val="24"/>
        </w:rPr>
        <w:t>posee</w:t>
      </w:r>
      <w:r w:rsidRPr="00712FCB">
        <w:rPr>
          <w:rFonts w:ascii="Avenir Next" w:hAnsi="Avenir Next"/>
          <w:color w:val="000000" w:themeColor="text1"/>
          <w:sz w:val="24"/>
        </w:rPr>
        <w:t xml:space="preserv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w:t>
      </w:r>
      <w:r>
        <w:rPr>
          <w:rFonts w:ascii="Avenir Next" w:hAnsi="Avenir Next"/>
          <w:color w:val="000000" w:themeColor="text1"/>
          <w:sz w:val="24"/>
        </w:rPr>
        <w:t xml:space="preserve">por otro, a las </w:t>
      </w:r>
      <w:r w:rsidRPr="00712FCB">
        <w:rPr>
          <w:rFonts w:ascii="Avenir Next" w:hAnsi="Avenir Next"/>
          <w:color w:val="000000" w:themeColor="text1"/>
          <w:sz w:val="24"/>
        </w:rPr>
        <w:t>del sector de la información y comunicación y servicios públicos.</w:t>
      </w:r>
    </w:p>
    <w:p w14:paraId="3803186C" w14:textId="77777777" w:rsidR="00F73706" w:rsidRDefault="00F73706" w:rsidP="00F73706">
      <w:pPr>
        <w:pStyle w:val="BodyA"/>
        <w:spacing w:before="100" w:after="100"/>
        <w:jc w:val="both"/>
        <w:rPr>
          <w:rFonts w:ascii="Avenir Next" w:hAnsi="Avenir Next"/>
          <w:color w:val="000000" w:themeColor="text1"/>
          <w:sz w:val="24"/>
        </w:rPr>
      </w:pPr>
      <w:r>
        <w:rPr>
          <w:rFonts w:ascii="Avenir Next" w:hAnsi="Avenir Next"/>
          <w:color w:val="000000" w:themeColor="text1"/>
          <w:sz w:val="24"/>
        </w:rP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p>
    <w:p w14:paraId="727DDC0C"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tab/>
      </w: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88960" behindDoc="0" locked="0" layoutInCell="1" allowOverlap="1" wp14:anchorId="73B3F7D6" wp14:editId="5A37B497">
                <wp:simplePos x="0" y="0"/>
                <wp:positionH relativeFrom="page">
                  <wp:posOffset>685800</wp:posOffset>
                </wp:positionH>
                <wp:positionV relativeFrom="page">
                  <wp:posOffset>838200</wp:posOffset>
                </wp:positionV>
                <wp:extent cx="6184900" cy="1638300"/>
                <wp:effectExtent l="0" t="0" r="0" b="0"/>
                <wp:wrapSquare wrapText="bothSides"/>
                <wp:docPr id="336982662"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78279945"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222FE215" w14:textId="77777777" w:rsidR="00F73706" w:rsidRPr="008506D8" w:rsidRDefault="00F73706" w:rsidP="00F73706">
                            <w:pPr>
                              <w:pStyle w:val="Ttulo"/>
                              <w:rPr>
                                <w:b/>
                              </w:rPr>
                            </w:pPr>
                            <w:r>
                              <w:rPr>
                                <w:rFonts w:ascii="Avenir Next Demi Bold" w:hAnsi="Avenir Next Demi Bold"/>
                                <w:b/>
                                <w:sz w:val="60"/>
                                <w:szCs w:val="60"/>
                                <w:lang w:val="es-ES_tradnl"/>
                              </w:rPr>
                              <w:t>PRIMER TRIMESTRE</w:t>
                            </w:r>
                            <w:r w:rsidRPr="008506D8">
                              <w:rPr>
                                <w:rFonts w:ascii="Avenir Next Demi Bold" w:hAnsi="Avenir Next Demi Bold"/>
                                <w:b/>
                                <w:sz w:val="60"/>
                                <w:szCs w:val="60"/>
                              </w:rPr>
                              <w:t>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19F99ECB" wp14:editId="184D8F44">
                                  <wp:extent cx="6002020" cy="27940"/>
                                  <wp:effectExtent l="0" t="0" r="0" b="0"/>
                                  <wp:docPr id="1189359546" name="Imagen 11893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3F7D6" id="Rectángulo 1" o:spid="_x0000_s1030" style="position:absolute;left:0;text-align:left;margin-left:54pt;margin-top:66pt;width:487pt;height:129pt;z-index:2516889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I3faPfkAQAAsgMAAA4AAAAAAAAAAAAAAAAALgIAAGRycy9lMm9Eb2MueG1sUEsB&#10;Ai0AFAAGAAgAAAAhABZGXIvfAAAADAEAAA8AAAAAAAAAAAAAAAAAPgQAAGRycy9kb3ducmV2Lnht&#10;bFBLBQYAAAAABAAEAPMAAABKBQAAAAA=&#10;" filled="f" stroked="f">
                <o:lock v:ext="edit" aspectratio="t"/>
                <v:textbox>
                  <w:txbxContent>
                    <w:p w14:paraId="78279945"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222FE215" w14:textId="77777777" w:rsidR="00F73706" w:rsidRPr="008506D8" w:rsidRDefault="00F73706" w:rsidP="00F73706">
                      <w:pPr>
                        <w:pStyle w:val="Ttulo"/>
                        <w:rPr>
                          <w:b/>
                        </w:rPr>
                      </w:pPr>
                      <w:r>
                        <w:rPr>
                          <w:rFonts w:ascii="Avenir Next Demi Bold" w:hAnsi="Avenir Next Demi Bold"/>
                          <w:b/>
                          <w:sz w:val="60"/>
                          <w:szCs w:val="60"/>
                          <w:lang w:val="es-ES_tradnl"/>
                        </w:rPr>
                        <w:t>PRIMER TRIMESTRE</w:t>
                      </w:r>
                      <w:r w:rsidRPr="008506D8">
                        <w:rPr>
                          <w:rFonts w:ascii="Avenir Next Demi Bold" w:hAnsi="Avenir Next Demi Bold"/>
                          <w:b/>
                          <w:sz w:val="60"/>
                          <w:szCs w:val="60"/>
                        </w:rPr>
                        <w:t>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19F99ECB" wp14:editId="184D8F44">
                            <wp:extent cx="6002020" cy="27940"/>
                            <wp:effectExtent l="0" t="0" r="0" b="0"/>
                            <wp:docPr id="1189359546" name="Imagen 11893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616FA8FA" w14:textId="77777777" w:rsidR="00F73706" w:rsidRPr="00E24202" w:rsidRDefault="00F73706" w:rsidP="00F73706">
      <w:pPr>
        <w:pStyle w:val="BodyA"/>
        <w:spacing w:before="100" w:after="100"/>
        <w:jc w:val="both"/>
        <w:rPr>
          <w:rFonts w:ascii="Avenir Next" w:hAnsi="Avenir Next"/>
          <w:color w:val="auto"/>
        </w:rPr>
      </w:pPr>
      <w:r w:rsidRPr="009C0B48">
        <w:rPr>
          <w:rFonts w:ascii="Avenir Next" w:hAnsi="Avenir Next"/>
          <w:color w:val="auto"/>
          <w:sz w:val="24"/>
        </w:rPr>
        <w:t xml:space="preserve">Según el Indicador Sintético de Actividad de Andalucía del Observatorio Económico de Andalucía, la economía andaluza experimentó un crecimiento </w:t>
      </w:r>
      <w:proofErr w:type="spellStart"/>
      <w:r w:rsidRPr="009C0B48">
        <w:rPr>
          <w:rFonts w:ascii="Avenir Next" w:hAnsi="Avenir Next"/>
          <w:color w:val="auto"/>
          <w:sz w:val="24"/>
        </w:rPr>
        <w:t>intertrimestral</w:t>
      </w:r>
      <w:proofErr w:type="spellEnd"/>
      <w:r w:rsidRPr="009C0B48">
        <w:rPr>
          <w:rFonts w:ascii="Avenir Next" w:hAnsi="Avenir Next"/>
          <w:color w:val="auto"/>
          <w:sz w:val="24"/>
        </w:rPr>
        <w:t xml:space="preserve"> del Producto Interior Bruto (PIB) del 0,7 % en el primer trimestre de 2023, crecimiento superior en </w:t>
      </w:r>
      <w:r>
        <w:rPr>
          <w:rFonts w:ascii="Avenir Next" w:hAnsi="Avenir Next"/>
          <w:color w:val="auto"/>
          <w:sz w:val="24"/>
        </w:rPr>
        <w:t>dos</w:t>
      </w:r>
      <w:r w:rsidRPr="009C0B48">
        <w:rPr>
          <w:rFonts w:ascii="Avenir Next" w:hAnsi="Avenir Next"/>
          <w:color w:val="auto"/>
          <w:sz w:val="24"/>
        </w:rPr>
        <w:t xml:space="preserve"> décima</w:t>
      </w:r>
      <w:r>
        <w:rPr>
          <w:rFonts w:ascii="Avenir Next" w:hAnsi="Avenir Next"/>
          <w:color w:val="auto"/>
          <w:sz w:val="24"/>
        </w:rPr>
        <w:t>s</w:t>
      </w:r>
      <w:r w:rsidRPr="009C0B48">
        <w:rPr>
          <w:rFonts w:ascii="Avenir Next" w:hAnsi="Avenir Next"/>
          <w:color w:val="auto"/>
          <w:sz w:val="24"/>
        </w:rPr>
        <w:t xml:space="preserve"> al estimado por el Instituto Nacional de Estadística (INE) para el PIB español. Con esta tasa, el crecimiento interanual del indicador estimado para el primer trimestre de 2023</w:t>
      </w:r>
      <w:r>
        <w:rPr>
          <w:rFonts w:ascii="Avenir Next" w:hAnsi="Avenir Next"/>
          <w:color w:val="auto"/>
          <w:sz w:val="24"/>
        </w:rPr>
        <w:t xml:space="preserve"> </w:t>
      </w:r>
      <w:r w:rsidRPr="009C0B48">
        <w:rPr>
          <w:rFonts w:ascii="Avenir Next" w:hAnsi="Avenir Next"/>
          <w:color w:val="auto"/>
          <w:sz w:val="24"/>
        </w:rPr>
        <w:t>es del 3,</w:t>
      </w:r>
      <w:r>
        <w:rPr>
          <w:rFonts w:ascii="Avenir Next" w:hAnsi="Avenir Next"/>
          <w:color w:val="auto"/>
          <w:sz w:val="24"/>
        </w:rPr>
        <w:t>4</w:t>
      </w:r>
      <w:r w:rsidRPr="009C0B48">
        <w:rPr>
          <w:rFonts w:ascii="Avenir Next" w:hAnsi="Avenir Next"/>
          <w:color w:val="auto"/>
          <w:sz w:val="24"/>
        </w:rPr>
        <w:t xml:space="preserve"> %, cuatro </w:t>
      </w:r>
      <w:proofErr w:type="gramStart"/>
      <w:r w:rsidRPr="009C0B48">
        <w:rPr>
          <w:rFonts w:ascii="Avenir Next" w:hAnsi="Avenir Next"/>
          <w:color w:val="auto"/>
          <w:sz w:val="24"/>
        </w:rPr>
        <w:t>décimas inferior</w:t>
      </w:r>
      <w:proofErr w:type="gramEnd"/>
      <w:r w:rsidRPr="009C0B48">
        <w:rPr>
          <w:rFonts w:ascii="Avenir Next" w:hAnsi="Avenir Next"/>
          <w:color w:val="auto"/>
          <w:sz w:val="24"/>
        </w:rPr>
        <w:t xml:space="preserve"> al estimado en la Contabilidad Nacional Trimestral del INE para España.</w:t>
      </w:r>
      <w:r>
        <w:rPr>
          <w:rFonts w:ascii="Avenir Next" w:hAnsi="Avenir Next"/>
          <w:color w:val="auto"/>
          <w:sz w:val="24"/>
        </w:rPr>
        <w:t xml:space="preserve"> Con este crecimiento la actividad regional consolidaría una recuperación que ya durante el año 2022 le permitió superar el nivel de PIB perdido durante la pandemia.</w:t>
      </w:r>
    </w:p>
    <w:p w14:paraId="13B258F6" w14:textId="77777777" w:rsidR="00F73706" w:rsidRPr="00FE1ECF" w:rsidRDefault="00F73706" w:rsidP="00F73706">
      <w:pPr>
        <w:jc w:val="center"/>
        <w:rPr>
          <w:color w:val="000000" w:themeColor="text1"/>
          <w:lang w:val="es-ES"/>
        </w:rPr>
      </w:pPr>
      <w:r w:rsidRPr="00FE1ECF">
        <w:rPr>
          <w:noProof/>
          <w:lang w:val="es-ES" w:eastAsia="es-ES"/>
        </w:rPr>
        <w:drawing>
          <wp:inline distT="0" distB="0" distL="0" distR="0" wp14:anchorId="2617FBC5" wp14:editId="01227229">
            <wp:extent cx="5172075" cy="5001616"/>
            <wp:effectExtent l="19050" t="0" r="9525" b="0"/>
            <wp:docPr id="1128502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554" cy="5003046"/>
                    </a:xfrm>
                    <a:prstGeom prst="rect">
                      <a:avLst/>
                    </a:prstGeom>
                    <a:noFill/>
                    <a:ln>
                      <a:noFill/>
                    </a:ln>
                  </pic:spPr>
                </pic:pic>
              </a:graphicData>
            </a:graphic>
          </wp:inline>
        </w:drawing>
      </w:r>
    </w:p>
    <w:p w14:paraId="3C0B9C8D" w14:textId="77777777" w:rsidR="00F73706" w:rsidRPr="004F0ECA" w:rsidRDefault="00F73706" w:rsidP="00F73706">
      <w:pPr>
        <w:pStyle w:val="BodyA"/>
        <w:spacing w:before="100" w:after="100"/>
        <w:jc w:val="center"/>
        <w:rPr>
          <w:rFonts w:ascii="Avenir Next" w:hAnsi="Avenir Next"/>
          <w:color w:val="auto"/>
          <w:sz w:val="20"/>
          <w:szCs w:val="18"/>
        </w:rPr>
      </w:pPr>
    </w:p>
    <w:p w14:paraId="24819621" w14:textId="77777777" w:rsidR="00F73706" w:rsidRPr="004F0ECA" w:rsidRDefault="00F73706" w:rsidP="00F73706">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1A693FB7" w14:textId="77777777" w:rsidR="00F73706" w:rsidRPr="009C0B48" w:rsidRDefault="00F73706" w:rsidP="00F73706">
      <w:pPr>
        <w:pStyle w:val="BodyA"/>
        <w:spacing w:before="100" w:after="100"/>
        <w:jc w:val="both"/>
        <w:rPr>
          <w:rFonts w:ascii="Avenir Next" w:hAnsi="Avenir Next"/>
          <w:color w:val="auto"/>
          <w:sz w:val="24"/>
        </w:rPr>
      </w:pPr>
      <w:r w:rsidRPr="009C0B48">
        <w:rPr>
          <w:rFonts w:ascii="Avenir Next" w:hAnsi="Avenir Next"/>
          <w:color w:val="auto"/>
          <w:sz w:val="24"/>
        </w:rPr>
        <w:t>Durante el primer trimestre de 2023, el crecimiento económico andaluz ha acelerado el ritmo respecto a</w:t>
      </w:r>
      <w:r>
        <w:rPr>
          <w:rFonts w:ascii="Avenir Next" w:hAnsi="Avenir Next"/>
          <w:color w:val="auto"/>
          <w:sz w:val="24"/>
        </w:rPr>
        <w:t>l</w:t>
      </w:r>
      <w:r w:rsidRPr="009C0B48">
        <w:rPr>
          <w:rFonts w:ascii="Avenir Next" w:hAnsi="Avenir Next"/>
          <w:color w:val="auto"/>
          <w:sz w:val="24"/>
        </w:rPr>
        <w:t xml:space="preserve"> tercer y cuarto trimestre de 2022,</w:t>
      </w:r>
      <w:r>
        <w:rPr>
          <w:rFonts w:ascii="Avenir Next" w:hAnsi="Avenir Next"/>
          <w:color w:val="auto"/>
          <w:sz w:val="24"/>
        </w:rPr>
        <w:t xml:space="preserve"> que han sido, además,</w:t>
      </w:r>
      <w:r w:rsidRPr="009C0B48">
        <w:rPr>
          <w:rFonts w:ascii="Avenir Next" w:hAnsi="Avenir Next"/>
          <w:color w:val="auto"/>
          <w:sz w:val="24"/>
        </w:rPr>
        <w:t xml:space="preserve"> revisados al alza con la nueva información disponible a la fecha. Esta aceleración es consecuencia, principalmente, de una evolución positiva del consumo</w:t>
      </w:r>
      <w:r>
        <w:rPr>
          <w:rFonts w:ascii="Avenir Next" w:hAnsi="Avenir Next"/>
          <w:color w:val="auto"/>
          <w:sz w:val="24"/>
        </w:rPr>
        <w:t>, tanto de los residentes como de los</w:t>
      </w:r>
      <w:r w:rsidRPr="009C0B48">
        <w:rPr>
          <w:rFonts w:ascii="Avenir Next" w:hAnsi="Avenir Next"/>
          <w:color w:val="auto"/>
          <w:sz w:val="24"/>
        </w:rPr>
        <w:t xml:space="preserve"> no residentes,</w:t>
      </w:r>
      <w:r>
        <w:rPr>
          <w:rFonts w:ascii="Avenir Next" w:hAnsi="Avenir Next"/>
          <w:color w:val="auto"/>
          <w:sz w:val="24"/>
        </w:rPr>
        <w:t xml:space="preserve"> así como </w:t>
      </w:r>
      <w:r w:rsidRPr="009C0B48">
        <w:rPr>
          <w:rFonts w:ascii="Avenir Next" w:hAnsi="Avenir Next"/>
          <w:color w:val="auto"/>
          <w:sz w:val="24"/>
        </w:rPr>
        <w:t>de las exportaciones</w:t>
      </w:r>
      <w:r>
        <w:rPr>
          <w:rFonts w:ascii="Avenir Next" w:hAnsi="Avenir Next"/>
          <w:color w:val="auto"/>
          <w:sz w:val="24"/>
        </w:rPr>
        <w:t xml:space="preserve"> y</w:t>
      </w:r>
      <w:r w:rsidRPr="009C0B48">
        <w:rPr>
          <w:rFonts w:ascii="Avenir Next" w:hAnsi="Avenir Next"/>
          <w:color w:val="auto"/>
          <w:sz w:val="24"/>
        </w:rPr>
        <w:t xml:space="preserve"> la inversión, que han compensa</w:t>
      </w:r>
      <w:r>
        <w:rPr>
          <w:rFonts w:ascii="Avenir Next" w:hAnsi="Avenir Next"/>
          <w:color w:val="auto"/>
          <w:sz w:val="24"/>
        </w:rPr>
        <w:t>do el comportamiento menos positivo</w:t>
      </w:r>
      <w:r w:rsidRPr="009C0B48">
        <w:rPr>
          <w:rFonts w:ascii="Avenir Next" w:hAnsi="Avenir Next"/>
          <w:color w:val="auto"/>
          <w:sz w:val="24"/>
        </w:rPr>
        <w:t xml:space="preserve"> del consumo </w:t>
      </w:r>
      <w:r>
        <w:rPr>
          <w:rFonts w:ascii="Avenir Next" w:hAnsi="Avenir Next"/>
          <w:color w:val="auto"/>
          <w:sz w:val="24"/>
        </w:rPr>
        <w:t>público</w:t>
      </w:r>
      <w:r w:rsidRPr="009C0B48">
        <w:rPr>
          <w:rFonts w:ascii="Avenir Next" w:hAnsi="Avenir Next"/>
          <w:color w:val="auto"/>
          <w:sz w:val="24"/>
        </w:rPr>
        <w:t>.</w:t>
      </w:r>
    </w:p>
    <w:p w14:paraId="52BE0D25" w14:textId="77777777" w:rsidR="00F73706" w:rsidRPr="009C0B48" w:rsidRDefault="00F73706" w:rsidP="00F73706">
      <w:pPr>
        <w:pStyle w:val="BodyA"/>
        <w:spacing w:before="100" w:after="100"/>
        <w:jc w:val="both"/>
        <w:rPr>
          <w:rFonts w:ascii="Avenir Next" w:hAnsi="Avenir Next"/>
          <w:color w:val="auto"/>
          <w:sz w:val="24"/>
        </w:rPr>
      </w:pPr>
      <w:r>
        <w:rPr>
          <w:rFonts w:ascii="Avenir Next" w:hAnsi="Avenir Next"/>
          <w:color w:val="auto"/>
          <w:sz w:val="24"/>
        </w:rPr>
        <w:t>A diferencia de l</w:t>
      </w:r>
      <w:r w:rsidRPr="009C0B48">
        <w:rPr>
          <w:rFonts w:ascii="Avenir Next" w:hAnsi="Avenir Next"/>
          <w:color w:val="auto"/>
          <w:sz w:val="24"/>
        </w:rPr>
        <w:t>o que ocurriera en los trimestres anteriores,</w:t>
      </w:r>
      <w:r>
        <w:rPr>
          <w:rFonts w:ascii="Avenir Next" w:hAnsi="Avenir Next"/>
          <w:color w:val="auto"/>
          <w:sz w:val="24"/>
        </w:rPr>
        <w:t xml:space="preserve"> hay que destacar</w:t>
      </w:r>
      <w:r w:rsidRPr="009C0B48">
        <w:rPr>
          <w:rFonts w:ascii="Avenir Next" w:hAnsi="Avenir Next"/>
          <w:color w:val="auto"/>
          <w:sz w:val="24"/>
        </w:rPr>
        <w:t xml:space="preserve"> la evolución del consumo de l</w:t>
      </w:r>
      <w:r>
        <w:rPr>
          <w:rFonts w:ascii="Avenir Next" w:hAnsi="Avenir Next"/>
          <w:color w:val="auto"/>
          <w:sz w:val="24"/>
        </w:rPr>
        <w:t>os residentes por su crecimiento, superior al de otras partidas de la demanda. Este comportamiento tiene su origen en el aumento del consumo de bienes duraderos en los meses de febrero y marzo. Y todo ello a pesar de la</w:t>
      </w:r>
      <w:r w:rsidRPr="009C0B48">
        <w:rPr>
          <w:rFonts w:ascii="Avenir Next" w:hAnsi="Avenir Next"/>
          <w:color w:val="auto"/>
          <w:sz w:val="24"/>
        </w:rPr>
        <w:t xml:space="preserve"> erosión </w:t>
      </w:r>
      <w:r>
        <w:rPr>
          <w:rFonts w:ascii="Avenir Next" w:hAnsi="Avenir Next"/>
          <w:color w:val="auto"/>
          <w:sz w:val="24"/>
        </w:rPr>
        <w:t>d</w:t>
      </w:r>
      <w:r w:rsidRPr="009C0B48">
        <w:rPr>
          <w:rFonts w:ascii="Avenir Next" w:hAnsi="Avenir Next"/>
          <w:color w:val="auto"/>
          <w:sz w:val="24"/>
        </w:rPr>
        <w:t xml:space="preserve">e los ingresos de las familias </w:t>
      </w:r>
      <w:r>
        <w:rPr>
          <w:rFonts w:ascii="Avenir Next" w:hAnsi="Avenir Next"/>
          <w:color w:val="auto"/>
          <w:sz w:val="24"/>
        </w:rPr>
        <w:t>por la inflación. La moderación de dicha inflación, así como la excepcional evolución de la ocupación en este primer trimestre podrían ser las causas de este buen comportamiento.</w:t>
      </w:r>
    </w:p>
    <w:p w14:paraId="600B3116" w14:textId="77777777" w:rsidR="00F73706" w:rsidRDefault="00F73706" w:rsidP="00F73706">
      <w:pPr>
        <w:pStyle w:val="BodyA"/>
        <w:spacing w:before="100" w:after="100"/>
        <w:jc w:val="both"/>
        <w:rPr>
          <w:rFonts w:ascii="Avenir Next" w:hAnsi="Avenir Next"/>
          <w:color w:val="auto"/>
          <w:sz w:val="24"/>
        </w:rPr>
      </w:pPr>
    </w:p>
    <w:p w14:paraId="2867015E"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 xml:space="preserve">Inflación y </w:t>
      </w:r>
      <w:r>
        <w:rPr>
          <w:rFonts w:ascii="Avenir Next Demi Bold" w:hAnsi="Avenir Next Demi Bold"/>
          <w:b/>
          <w:bCs/>
          <w:color w:val="022ED3"/>
          <w:sz w:val="28"/>
          <w:szCs w:val="28"/>
          <w:u w:color="022ED3"/>
        </w:rPr>
        <w:t>rentas</w:t>
      </w:r>
    </w:p>
    <w:p w14:paraId="12AC4DF7" w14:textId="77777777" w:rsidR="00F73706" w:rsidRPr="009C0B48"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w:t>
      </w:r>
      <w:r>
        <w:rPr>
          <w:rFonts w:ascii="Avenir Next" w:hAnsi="Avenir Next"/>
          <w:color w:val="000000" w:themeColor="text1"/>
          <w:sz w:val="24"/>
        </w:rPr>
        <w:t xml:space="preserve">de alimentos, </w:t>
      </w:r>
      <w:r w:rsidRPr="009C0B48">
        <w:rPr>
          <w:rFonts w:ascii="Avenir Next" w:hAnsi="Avenir Next"/>
          <w:color w:val="000000" w:themeColor="text1"/>
          <w:sz w:val="24"/>
        </w:rPr>
        <w:t>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w:t>
      </w:r>
      <w:r>
        <w:rPr>
          <w:rFonts w:ascii="Avenir Next" w:hAnsi="Avenir Next"/>
          <w:color w:val="000000" w:themeColor="text1"/>
          <w:sz w:val="24"/>
        </w:rPr>
        <w:t xml:space="preserve">o. </w:t>
      </w:r>
      <w:r w:rsidRPr="009C0B48">
        <w:rPr>
          <w:rFonts w:ascii="Avenir Next" w:hAnsi="Avenir Next"/>
          <w:color w:val="000000" w:themeColor="text1"/>
          <w:sz w:val="24"/>
        </w:rPr>
        <w:t>Además, la incorporación de los alimentos elaborados en el grupo especial de la inflación subyacente llevó a esta a un máximo en</w:t>
      </w:r>
      <w:r>
        <w:rPr>
          <w:rFonts w:ascii="Avenir Next" w:hAnsi="Avenir Next"/>
          <w:color w:val="000000" w:themeColor="text1"/>
          <w:sz w:val="24"/>
        </w:rPr>
        <w:t xml:space="preserve"> febrero y marzo, alcanzando</w:t>
      </w:r>
      <w:r w:rsidRPr="009C0B48">
        <w:rPr>
          <w:rFonts w:ascii="Avenir Next" w:hAnsi="Avenir Next"/>
          <w:color w:val="000000" w:themeColor="text1"/>
          <w:sz w:val="24"/>
        </w:rPr>
        <w:t xml:space="preserve"> el </w:t>
      </w:r>
      <w:r>
        <w:rPr>
          <w:rFonts w:ascii="Avenir Next" w:hAnsi="Avenir Next"/>
          <w:color w:val="000000" w:themeColor="text1"/>
          <w:sz w:val="24"/>
        </w:rPr>
        <w:t>8,4</w:t>
      </w:r>
      <w:r w:rsidRPr="009C0B48">
        <w:rPr>
          <w:rFonts w:ascii="Avenir Next" w:hAnsi="Avenir Next"/>
          <w:color w:val="000000" w:themeColor="text1"/>
          <w:sz w:val="24"/>
        </w:rPr>
        <w:t xml:space="preserve"> %. </w:t>
      </w:r>
      <w:r>
        <w:rPr>
          <w:rFonts w:ascii="Avenir Next" w:hAnsi="Avenir Next"/>
          <w:color w:val="000000" w:themeColor="text1"/>
          <w:sz w:val="24"/>
        </w:rPr>
        <w:t>El mayor peso de estas rúbricas en el IPC andaluz en comparación con el de España explicaría buena parte del diferencial en inflación respecto a la media nacional.</w:t>
      </w:r>
      <w:r w:rsidRPr="009C0B48">
        <w:rPr>
          <w:rFonts w:ascii="Avenir Next" w:hAnsi="Avenir Next"/>
          <w:color w:val="000000" w:themeColor="text1"/>
          <w:sz w:val="24"/>
        </w:rPr>
        <w:t xml:space="preserve"> Todo ello impidió que, a pesar de la fuerte caída de los precios energéticos, la tasa de inflación </w:t>
      </w:r>
      <w:r>
        <w:rPr>
          <w:rFonts w:ascii="Avenir Next" w:hAnsi="Avenir Next"/>
          <w:color w:val="000000" w:themeColor="text1"/>
          <w:sz w:val="24"/>
        </w:rPr>
        <w:t>no se recortase</w:t>
      </w:r>
      <w:r w:rsidRPr="009C0B48">
        <w:rPr>
          <w:rFonts w:ascii="Avenir Next" w:hAnsi="Avenir Next"/>
          <w:color w:val="000000" w:themeColor="text1"/>
          <w:sz w:val="24"/>
        </w:rPr>
        <w:t xml:space="preserve"> en mayor medida. En todo caso, ya en marzo</w:t>
      </w:r>
      <w:r>
        <w:rPr>
          <w:rFonts w:ascii="Avenir Next" w:hAnsi="Avenir Next"/>
          <w:color w:val="000000" w:themeColor="text1"/>
          <w:sz w:val="24"/>
        </w:rPr>
        <w:t xml:space="preserve">, </w:t>
      </w:r>
      <w:r w:rsidRPr="009C0B48">
        <w:rPr>
          <w:rFonts w:ascii="Avenir Next" w:hAnsi="Avenir Next"/>
          <w:color w:val="000000" w:themeColor="text1"/>
          <w:sz w:val="24"/>
        </w:rPr>
        <w:t>la inflación v</w:t>
      </w:r>
      <w:r>
        <w:rPr>
          <w:rFonts w:ascii="Avenir Next" w:hAnsi="Avenir Next"/>
          <w:color w:val="000000" w:themeColor="text1"/>
          <w:sz w:val="24"/>
        </w:rPr>
        <w:t>olvió</w:t>
      </w:r>
      <w:r w:rsidRPr="009C0B48">
        <w:rPr>
          <w:rFonts w:ascii="Avenir Next" w:hAnsi="Avenir Next"/>
          <w:color w:val="000000" w:themeColor="text1"/>
          <w:sz w:val="24"/>
        </w:rPr>
        <w:t xml:space="preserve"> a moderar</w:t>
      </w:r>
      <w:r>
        <w:rPr>
          <w:rFonts w:ascii="Avenir Next" w:hAnsi="Avenir Next"/>
          <w:color w:val="000000" w:themeColor="text1"/>
          <w:sz w:val="24"/>
        </w:rPr>
        <w:t>se</w:t>
      </w:r>
      <w:r w:rsidRPr="009C0B48">
        <w:rPr>
          <w:rFonts w:ascii="Avenir Next" w:hAnsi="Avenir Next"/>
          <w:color w:val="000000" w:themeColor="text1"/>
          <w:sz w:val="24"/>
        </w:rPr>
        <w:t xml:space="preserve"> sensiblemente, a lo que se ha sumado el efecto base de</w:t>
      </w:r>
      <w:r>
        <w:rPr>
          <w:rFonts w:ascii="Avenir Next" w:hAnsi="Avenir Next"/>
          <w:color w:val="000000" w:themeColor="text1"/>
          <w:sz w:val="24"/>
        </w:rPr>
        <w:t xml:space="preserve"> dicho mes</w:t>
      </w:r>
      <w:r w:rsidRPr="009C0B48">
        <w:rPr>
          <w:rFonts w:ascii="Avenir Next" w:hAnsi="Avenir Next"/>
          <w:color w:val="000000" w:themeColor="text1"/>
          <w:sz w:val="24"/>
        </w:rPr>
        <w:t xml:space="preserve">, dejando a la inflación andaluza en el </w:t>
      </w:r>
      <w:r>
        <w:rPr>
          <w:rFonts w:ascii="Avenir Next" w:hAnsi="Avenir Next"/>
          <w:color w:val="000000" w:themeColor="text1"/>
          <w:sz w:val="24"/>
        </w:rPr>
        <w:t>3,9 %</w:t>
      </w:r>
      <w:r w:rsidRPr="009C0B48">
        <w:rPr>
          <w:rFonts w:ascii="Avenir Next" w:hAnsi="Avenir Next"/>
          <w:color w:val="000000" w:themeColor="text1"/>
          <w:sz w:val="24"/>
        </w:rPr>
        <w:t>.</w:t>
      </w:r>
    </w:p>
    <w:p w14:paraId="7737B5E6" w14:textId="77777777" w:rsidR="00F73706" w:rsidRPr="00B52EA4"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La evolución de la inflación ha seguido sin verse reflejada en un aumento de los salarios, al menos al mismo ritmo. Ni las cifras de aumentos salariales pactados del Ministerio de </w:t>
      </w:r>
      <w:r>
        <w:rPr>
          <w:rFonts w:ascii="Avenir Next" w:hAnsi="Avenir Next"/>
          <w:color w:val="000000" w:themeColor="text1"/>
          <w:sz w:val="24"/>
        </w:rPr>
        <w:t>Trabajo y Economía Social</w:t>
      </w:r>
      <w:r w:rsidRPr="009C0B48">
        <w:rPr>
          <w:rFonts w:ascii="Avenir Next" w:hAnsi="Avenir Next"/>
          <w:color w:val="000000" w:themeColor="text1"/>
          <w:sz w:val="24"/>
        </w:rPr>
        <w:t xml:space="preserve"> ni los datos de la Agencia Tributaria (AEAT) han mostrado aún aumentos significativos del coste salarial unitario en términos reales. No es el caso de los márgenes, para los que los datos disponibles </w:t>
      </w:r>
      <w:r>
        <w:rPr>
          <w:rFonts w:ascii="Avenir Next" w:hAnsi="Avenir Next"/>
          <w:color w:val="000000" w:themeColor="text1"/>
          <w:sz w:val="24"/>
        </w:rPr>
        <w:t xml:space="preserve">muestran </w:t>
      </w:r>
      <w:r w:rsidRPr="009C0B48">
        <w:rPr>
          <w:rFonts w:ascii="Avenir Next" w:hAnsi="Avenir Next"/>
          <w:color w:val="000000" w:themeColor="text1"/>
          <w:sz w:val="24"/>
        </w:rPr>
        <w:t xml:space="preserve">un aumento remarcable y muy superior al de los precios en estos últimos meses. No obstante, como reflejan los datos </w:t>
      </w:r>
      <w:r>
        <w:rPr>
          <w:rFonts w:ascii="Avenir Next" w:hAnsi="Avenir Next"/>
          <w:color w:val="000000" w:themeColor="text1"/>
          <w:sz w:val="24"/>
        </w:rPr>
        <w:t xml:space="preserve">de la </w:t>
      </w:r>
      <w:r w:rsidRPr="009C0B48">
        <w:rPr>
          <w:rFonts w:ascii="Avenir Next" w:hAnsi="Avenir Next"/>
          <w:color w:val="000000" w:themeColor="text1"/>
          <w:sz w:val="24"/>
        </w:rPr>
        <w:t xml:space="preserve">Central de Balances del Banco de España </w:t>
      </w:r>
      <w:r>
        <w:rPr>
          <w:rFonts w:ascii="Avenir Next" w:hAnsi="Avenir Next"/>
          <w:color w:val="000000" w:themeColor="text1"/>
          <w:sz w:val="24"/>
        </w:rPr>
        <w:t xml:space="preserve">y los </w:t>
      </w:r>
      <w:r w:rsidRPr="009C0B48">
        <w:rPr>
          <w:rFonts w:ascii="Avenir Next" w:hAnsi="Avenir Next"/>
          <w:color w:val="000000" w:themeColor="text1"/>
          <w:sz w:val="24"/>
        </w:rPr>
        <w:t>de la AEAT, dicho</w:t>
      </w:r>
      <w:r>
        <w:rPr>
          <w:rFonts w:ascii="Avenir Next" w:hAnsi="Avenir Next"/>
          <w:color w:val="000000" w:themeColor="text1"/>
          <w:sz w:val="24"/>
        </w:rPr>
        <w:t>s</w:t>
      </w:r>
      <w:r w:rsidRPr="009C0B48">
        <w:rPr>
          <w:rFonts w:ascii="Avenir Next" w:hAnsi="Avenir Next"/>
          <w:color w:val="000000" w:themeColor="text1"/>
          <w:sz w:val="24"/>
        </w:rPr>
        <w:t xml:space="preserve"> aumento</w:t>
      </w:r>
      <w:r>
        <w:rPr>
          <w:rFonts w:ascii="Avenir Next" w:hAnsi="Avenir Next"/>
          <w:color w:val="000000" w:themeColor="text1"/>
          <w:sz w:val="24"/>
        </w:rPr>
        <w:t>s</w:t>
      </w:r>
      <w:r w:rsidRPr="009C0B48">
        <w:rPr>
          <w:rFonts w:ascii="Avenir Next" w:hAnsi="Avenir Next"/>
          <w:color w:val="000000" w:themeColor="text1"/>
          <w:sz w:val="24"/>
        </w:rPr>
        <w:t xml:space="preserve"> están muy concentrado</w:t>
      </w:r>
      <w:r>
        <w:rPr>
          <w:rFonts w:ascii="Avenir Next" w:hAnsi="Avenir Next"/>
          <w:color w:val="000000" w:themeColor="text1"/>
          <w:sz w:val="24"/>
        </w:rPr>
        <w:t>s</w:t>
      </w:r>
      <w:r w:rsidRPr="009C0B48">
        <w:rPr>
          <w:rFonts w:ascii="Avenir Next" w:hAnsi="Avenir Next"/>
          <w:color w:val="000000" w:themeColor="text1"/>
          <w:sz w:val="24"/>
        </w:rPr>
        <w:t xml:space="preserve"> en ciertos sectores (refino, electricidad y</w:t>
      </w:r>
      <w:r>
        <w:rPr>
          <w:rFonts w:ascii="Avenir Next" w:hAnsi="Avenir Next"/>
          <w:color w:val="000000" w:themeColor="text1"/>
          <w:sz w:val="24"/>
        </w:rPr>
        <w:t>,</w:t>
      </w:r>
      <w:r w:rsidRPr="009C0B48">
        <w:rPr>
          <w:rFonts w:ascii="Avenir Next" w:hAnsi="Avenir Next"/>
          <w:color w:val="000000" w:themeColor="text1"/>
          <w:sz w:val="24"/>
        </w:rPr>
        <w:t xml:space="preserve"> más recientemente</w:t>
      </w:r>
      <w:r>
        <w:rPr>
          <w:rFonts w:ascii="Avenir Next" w:hAnsi="Avenir Next"/>
          <w:color w:val="000000" w:themeColor="text1"/>
          <w:sz w:val="24"/>
        </w:rPr>
        <w:t>,</w:t>
      </w:r>
      <w:r w:rsidRPr="009C0B48">
        <w:rPr>
          <w:rFonts w:ascii="Avenir Next" w:hAnsi="Avenir Next"/>
          <w:color w:val="000000" w:themeColor="text1"/>
          <w:sz w:val="24"/>
        </w:rPr>
        <w:t xml:space="preserve"> agricultura y ganadería)</w:t>
      </w:r>
      <w:r>
        <w:rPr>
          <w:rFonts w:ascii="Avenir Next" w:hAnsi="Avenir Next"/>
          <w:color w:val="000000" w:themeColor="text1"/>
          <w:sz w:val="24"/>
        </w:rPr>
        <w:t>,</w:t>
      </w:r>
      <w:r w:rsidRPr="009C0B48">
        <w:rPr>
          <w:rFonts w:ascii="Avenir Next" w:hAnsi="Avenir Next"/>
          <w:color w:val="000000" w:themeColor="text1"/>
          <w:sz w:val="24"/>
        </w:rPr>
        <w:t xml:space="preserve"> y no corresponde</w:t>
      </w:r>
      <w:r>
        <w:rPr>
          <w:rFonts w:ascii="Avenir Next" w:hAnsi="Avenir Next"/>
          <w:color w:val="000000" w:themeColor="text1"/>
          <w:sz w:val="24"/>
        </w:rPr>
        <w:t>n</w:t>
      </w:r>
      <w:r w:rsidRPr="009C0B48">
        <w:rPr>
          <w:rFonts w:ascii="Avenir Next" w:hAnsi="Avenir Next"/>
          <w:color w:val="000000" w:themeColor="text1"/>
          <w:sz w:val="24"/>
        </w:rPr>
        <w:t xml:space="preserve"> de momento a un aumento generalizado para el conjunto de las economías españolas y andaluzas. </w:t>
      </w:r>
    </w:p>
    <w:p w14:paraId="2F4A2919"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4B177754"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5E49A3C9" w14:textId="77777777" w:rsidR="00F73706" w:rsidRPr="009C0B48" w:rsidRDefault="00F73706" w:rsidP="00F73706">
      <w:pPr>
        <w:pStyle w:val="BodyA"/>
        <w:spacing w:before="100" w:after="100"/>
        <w:jc w:val="both"/>
        <w:rPr>
          <w:rFonts w:ascii="Avenir Next" w:hAnsi="Avenir Next"/>
          <w:color w:val="auto"/>
          <w:sz w:val="24"/>
        </w:rPr>
      </w:pPr>
      <w:r w:rsidRPr="009C0B48">
        <w:rPr>
          <w:rFonts w:ascii="Avenir Next" w:hAnsi="Avenir Next"/>
          <w:color w:val="auto"/>
          <w:sz w:val="24"/>
        </w:rPr>
        <w:t xml:space="preserve">Durante el primer trimestre de 2023, el mercado de trabajo en Andalucía ha experimentado una aceleración de </w:t>
      </w:r>
      <w:r>
        <w:rPr>
          <w:rFonts w:ascii="Avenir Next" w:hAnsi="Avenir Next"/>
          <w:color w:val="auto"/>
          <w:sz w:val="24"/>
        </w:rPr>
        <w:t xml:space="preserve">la </w:t>
      </w:r>
      <w:r w:rsidRPr="009C0B48">
        <w:rPr>
          <w:rFonts w:ascii="Avenir Next" w:hAnsi="Avenir Next"/>
          <w:color w:val="auto"/>
          <w:sz w:val="24"/>
        </w:rPr>
        <w:t xml:space="preserve">afiliación, contratación y ocupación. A este buen comportamiento se unen los datos de desempleo y paro registrado, que han mantenido un tono más positivo que el experimentado a finales del año 2022. </w:t>
      </w:r>
    </w:p>
    <w:p w14:paraId="4A1D40CB" w14:textId="77777777" w:rsidR="00F73706" w:rsidRPr="009C0B48" w:rsidRDefault="00F73706" w:rsidP="00F73706">
      <w:pPr>
        <w:pStyle w:val="BodyA"/>
        <w:spacing w:before="100" w:after="100"/>
        <w:jc w:val="both"/>
        <w:rPr>
          <w:rFonts w:ascii="Avenir Next" w:hAnsi="Avenir Next"/>
          <w:color w:val="auto"/>
          <w:sz w:val="24"/>
        </w:rPr>
      </w:pPr>
      <w:r w:rsidRPr="009C0B48">
        <w:rPr>
          <w:rFonts w:ascii="Avenir Next" w:hAnsi="Avenir Next"/>
          <w:color w:val="auto"/>
          <w:sz w:val="24"/>
        </w:rPr>
        <w:t xml:space="preserve">Según la Encuesta de Población Activa (EPA), en términos </w:t>
      </w:r>
      <w:proofErr w:type="spellStart"/>
      <w:r w:rsidRPr="009C0B48">
        <w:rPr>
          <w:rFonts w:ascii="Avenir Next" w:hAnsi="Avenir Next"/>
          <w:color w:val="auto"/>
          <w:sz w:val="24"/>
        </w:rPr>
        <w:t>intertrimestrales</w:t>
      </w:r>
      <w:proofErr w:type="spellEnd"/>
      <w:r w:rsidRPr="009C0B48">
        <w:rPr>
          <w:rFonts w:ascii="Avenir Next" w:hAnsi="Avenir Next"/>
          <w:color w:val="auto"/>
          <w:sz w:val="24"/>
        </w:rPr>
        <w:t xml:space="preserve">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w:t>
      </w:r>
      <w:r>
        <w:rPr>
          <w:rFonts w:ascii="Avenir Next" w:hAnsi="Avenir Next"/>
          <w:color w:val="auto"/>
          <w:sz w:val="24"/>
        </w:rPr>
        <w:t xml:space="preserve"> la </w:t>
      </w:r>
      <w:r w:rsidRPr="009C0B48">
        <w:rPr>
          <w:rFonts w:ascii="Avenir Next" w:hAnsi="Avenir Next"/>
          <w:color w:val="auto"/>
          <w:sz w:val="24"/>
        </w:rPr>
        <w:t xml:space="preserve">de España </w:t>
      </w:r>
      <w:r>
        <w:rPr>
          <w:rFonts w:ascii="Avenir Next" w:hAnsi="Avenir Next"/>
          <w:color w:val="auto"/>
          <w:sz w:val="24"/>
        </w:rPr>
        <w:t>(</w:t>
      </w:r>
      <w:r w:rsidRPr="009C0B48">
        <w:rPr>
          <w:rFonts w:ascii="Avenir Next" w:hAnsi="Avenir Next"/>
          <w:color w:val="auto"/>
          <w:sz w:val="24"/>
        </w:rPr>
        <w:t>1,8 %</w:t>
      </w:r>
      <w:r>
        <w:rPr>
          <w:rFonts w:ascii="Avenir Next" w:hAnsi="Avenir Next"/>
          <w:color w:val="auto"/>
          <w:sz w:val="24"/>
        </w:rPr>
        <w:t>)</w:t>
      </w:r>
      <w:r w:rsidRPr="009C0B48">
        <w:rPr>
          <w:rFonts w:ascii="Avenir Next" w:hAnsi="Avenir Next"/>
          <w:color w:val="auto"/>
          <w:sz w:val="24"/>
        </w:rPr>
        <w:t>. Estas cifras suponen que en los últimos cuatro trimestres la ocupación aumentó en 109</w:t>
      </w:r>
      <w:r>
        <w:rPr>
          <w:rFonts w:ascii="Avenir Next" w:hAnsi="Avenir Next"/>
          <w:color w:val="auto"/>
          <w:sz w:val="24"/>
        </w:rPr>
        <w:t>.</w:t>
      </w:r>
      <w:r w:rsidRPr="009C0B48">
        <w:rPr>
          <w:rFonts w:ascii="Avenir Next" w:hAnsi="Avenir Next"/>
          <w:color w:val="auto"/>
          <w:sz w:val="24"/>
        </w:rPr>
        <w:t>7</w:t>
      </w:r>
      <w:r>
        <w:rPr>
          <w:rFonts w:ascii="Avenir Next" w:hAnsi="Avenir Next"/>
          <w:color w:val="auto"/>
          <w:sz w:val="24"/>
        </w:rPr>
        <w:t>00</w:t>
      </w:r>
      <w:r w:rsidRPr="009C0B48">
        <w:rPr>
          <w:rFonts w:ascii="Avenir Next" w:hAnsi="Avenir Next"/>
          <w:color w:val="auto"/>
          <w:sz w:val="24"/>
        </w:rPr>
        <w:t xml:space="preserve"> empleos, de un total de 368</w:t>
      </w:r>
      <w:r>
        <w:rPr>
          <w:rFonts w:ascii="Avenir Next" w:hAnsi="Avenir Next"/>
          <w:color w:val="auto"/>
          <w:sz w:val="24"/>
        </w:rPr>
        <w:t>.000</w:t>
      </w:r>
      <w:r w:rsidRPr="009C0B48">
        <w:rPr>
          <w:rFonts w:ascii="Avenir Next" w:hAnsi="Avenir Next"/>
          <w:color w:val="auto"/>
          <w:sz w:val="24"/>
        </w:rPr>
        <w:t xml:space="preserve"> para el conjunto de España. </w:t>
      </w:r>
    </w:p>
    <w:p w14:paraId="5F4B7F5D" w14:textId="77777777" w:rsidR="00F73706" w:rsidRPr="009C0B48" w:rsidRDefault="00F73706" w:rsidP="00F73706">
      <w:pPr>
        <w:pStyle w:val="BodyA"/>
        <w:spacing w:before="100" w:after="100"/>
        <w:jc w:val="both"/>
        <w:rPr>
          <w:rFonts w:ascii="Avenir Next" w:hAnsi="Avenir Next"/>
          <w:color w:val="auto"/>
          <w:sz w:val="24"/>
        </w:rPr>
      </w:pPr>
      <w:r w:rsidRPr="009C0B48">
        <w:rPr>
          <w:rFonts w:ascii="Avenir Next" w:hAnsi="Avenir Next"/>
          <w:color w:val="auto"/>
          <w:sz w:val="24"/>
        </w:rPr>
        <w:t>Los datos son igualmente positivos para el desempleo. Durante el primer trimestre</w:t>
      </w:r>
      <w:r>
        <w:rPr>
          <w:rFonts w:ascii="Avenir Next" w:hAnsi="Avenir Next"/>
          <w:color w:val="auto"/>
          <w:sz w:val="24"/>
        </w:rPr>
        <w:t>,</w:t>
      </w:r>
      <w:r w:rsidRPr="009C0B48">
        <w:rPr>
          <w:rFonts w:ascii="Avenir Next" w:hAnsi="Avenir Next"/>
          <w:color w:val="auto"/>
          <w:sz w:val="24"/>
        </w:rPr>
        <w:t xml:space="preserve"> el desempleo andaluz descendió en 19</w:t>
      </w:r>
      <w:r>
        <w:rPr>
          <w:rFonts w:ascii="Avenir Next" w:hAnsi="Avenir Next"/>
          <w:color w:val="auto"/>
          <w:sz w:val="24"/>
        </w:rPr>
        <w:t xml:space="preserve">.100 </w:t>
      </w:r>
      <w:r w:rsidRPr="009C0B48">
        <w:rPr>
          <w:rFonts w:ascii="Avenir Next" w:hAnsi="Avenir Next"/>
          <w:color w:val="auto"/>
          <w:sz w:val="24"/>
        </w:rPr>
        <w:t>personas (-2,4 %), mientras aumentaba en España en 103</w:t>
      </w:r>
      <w:r>
        <w:rPr>
          <w:rFonts w:ascii="Avenir Next" w:hAnsi="Avenir Next"/>
          <w:color w:val="auto"/>
          <w:sz w:val="24"/>
        </w:rPr>
        <w:t>.</w:t>
      </w:r>
      <w:r w:rsidRPr="009C0B48">
        <w:rPr>
          <w:rFonts w:ascii="Avenir Next" w:hAnsi="Avenir Next"/>
          <w:color w:val="auto"/>
          <w:sz w:val="24"/>
        </w:rPr>
        <w:t>8</w:t>
      </w:r>
      <w:r>
        <w:rPr>
          <w:rFonts w:ascii="Avenir Next" w:hAnsi="Avenir Next"/>
          <w:color w:val="auto"/>
          <w:sz w:val="24"/>
        </w:rPr>
        <w:t>00</w:t>
      </w:r>
      <w:r w:rsidRPr="009C0B48">
        <w:rPr>
          <w:rFonts w:ascii="Avenir Next" w:hAnsi="Avenir Next"/>
          <w:color w:val="auto"/>
          <w:sz w:val="24"/>
        </w:rPr>
        <w:t>, diferencia entre ambas cifras muy condicionadas por la evolución diferencia</w:t>
      </w:r>
      <w:r>
        <w:rPr>
          <w:rFonts w:ascii="Avenir Next" w:hAnsi="Avenir Next"/>
          <w:color w:val="auto"/>
          <w:sz w:val="24"/>
        </w:rPr>
        <w:t>l</w:t>
      </w:r>
      <w:r w:rsidRPr="009C0B48">
        <w:rPr>
          <w:rFonts w:ascii="Avenir Next" w:hAnsi="Avenir Next"/>
          <w:color w:val="auto"/>
          <w:sz w:val="24"/>
        </w:rPr>
        <w:t xml:space="preserve">, a su vez, de la población activa. En términos interanuales, estos descensos en el desempleo </w:t>
      </w:r>
      <w:r>
        <w:rPr>
          <w:rFonts w:ascii="Avenir Next" w:hAnsi="Avenir Next"/>
          <w:color w:val="auto"/>
          <w:sz w:val="24"/>
        </w:rPr>
        <w:t>se</w:t>
      </w:r>
      <w:r w:rsidRPr="009C0B48">
        <w:rPr>
          <w:rFonts w:ascii="Avenir Next" w:hAnsi="Avenir Next"/>
          <w:color w:val="auto"/>
          <w:sz w:val="24"/>
        </w:rPr>
        <w:t xml:space="preserve"> traducían en caídas de 30</w:t>
      </w:r>
      <w:r>
        <w:rPr>
          <w:rFonts w:ascii="Avenir Next" w:hAnsi="Avenir Next"/>
          <w:color w:val="auto"/>
          <w:sz w:val="24"/>
        </w:rPr>
        <w:t>.</w:t>
      </w:r>
      <w:r w:rsidRPr="009C0B48">
        <w:rPr>
          <w:rFonts w:ascii="Avenir Next" w:hAnsi="Avenir Next"/>
          <w:color w:val="auto"/>
          <w:sz w:val="24"/>
        </w:rPr>
        <w:t>1</w:t>
      </w:r>
      <w:r>
        <w:rPr>
          <w:rFonts w:ascii="Avenir Next" w:hAnsi="Avenir Next"/>
          <w:color w:val="auto"/>
          <w:sz w:val="24"/>
        </w:rPr>
        <w:t>00</w:t>
      </w:r>
      <w:r w:rsidRPr="009C0B48">
        <w:rPr>
          <w:rFonts w:ascii="Avenir Next" w:hAnsi="Avenir Next"/>
          <w:color w:val="auto"/>
          <w:sz w:val="24"/>
        </w:rPr>
        <w:t xml:space="preserve"> y 46</w:t>
      </w:r>
      <w:r>
        <w:rPr>
          <w:rFonts w:ascii="Avenir Next" w:hAnsi="Avenir Next"/>
          <w:color w:val="auto"/>
          <w:sz w:val="24"/>
        </w:rPr>
        <w:t>.</w:t>
      </w:r>
      <w:r w:rsidRPr="009C0B48">
        <w:rPr>
          <w:rFonts w:ascii="Avenir Next" w:hAnsi="Avenir Next"/>
          <w:color w:val="auto"/>
          <w:sz w:val="24"/>
        </w:rPr>
        <w:t>9</w:t>
      </w:r>
      <w:r>
        <w:rPr>
          <w:rFonts w:ascii="Avenir Next" w:hAnsi="Avenir Next"/>
          <w:color w:val="auto"/>
          <w:sz w:val="24"/>
        </w:rPr>
        <w:t>00</w:t>
      </w:r>
      <w:r w:rsidRPr="009C0B48">
        <w:rPr>
          <w:rFonts w:ascii="Avenir Next" w:hAnsi="Avenir Next"/>
          <w:color w:val="auto"/>
          <w:sz w:val="24"/>
        </w:rPr>
        <w:t xml:space="preserve"> para Andalucía y España</w:t>
      </w:r>
      <w:r>
        <w:rPr>
          <w:rFonts w:ascii="Avenir Next" w:hAnsi="Avenir Next"/>
          <w:color w:val="auto"/>
          <w:sz w:val="24"/>
        </w:rPr>
        <w:t>,</w:t>
      </w:r>
      <w:r w:rsidRPr="009C0B48">
        <w:rPr>
          <w:rFonts w:ascii="Avenir Next" w:hAnsi="Avenir Next"/>
          <w:color w:val="auto"/>
          <w:sz w:val="24"/>
        </w:rPr>
        <w:t xml:space="preserve"> respectivamente (-3,8 % y -1,4 %). La tasa de paro, al finalizar el trimestre, se situó en el 18,3 % frente al 13,3 nacional. </w:t>
      </w:r>
    </w:p>
    <w:p w14:paraId="6E6207E5" w14:textId="77777777" w:rsidR="00F73706" w:rsidRPr="004C24DA" w:rsidRDefault="00F73706" w:rsidP="00F73706">
      <w:pPr>
        <w:pStyle w:val="BodyA"/>
        <w:spacing w:before="100" w:after="100"/>
        <w:jc w:val="both"/>
        <w:rPr>
          <w:rFonts w:ascii="Avenir Next" w:hAnsi="Avenir Next"/>
          <w:color w:val="auto"/>
          <w:sz w:val="24"/>
        </w:rPr>
      </w:pPr>
      <w:r w:rsidRPr="009C0B48">
        <w:rPr>
          <w:rFonts w:ascii="Avenir Next" w:hAnsi="Avenir Next"/>
          <w:color w:val="auto"/>
          <w:sz w:val="24"/>
        </w:rPr>
        <w:t xml:space="preserve">En cuanto a la afiliación, las cifras reproducen la misma dinámica en términos de ocupación que los mostrados por la EPA. En primer lugar, el número de afiliados medios en Andalucía hasta el mes de abril fue de 3.386.504, un 3,0 % mayor que en </w:t>
      </w:r>
      <w:r>
        <w:rPr>
          <w:rFonts w:ascii="Avenir Next" w:hAnsi="Avenir Next"/>
          <w:color w:val="auto"/>
          <w:sz w:val="24"/>
        </w:rPr>
        <w:t>abril de 2022</w:t>
      </w:r>
      <w:r w:rsidRPr="009C0B48">
        <w:rPr>
          <w:rFonts w:ascii="Avenir Next" w:hAnsi="Avenir Next"/>
          <w:color w:val="auto"/>
          <w:sz w:val="24"/>
        </w:rPr>
        <w:t>. Para España</w:t>
      </w:r>
      <w:r>
        <w:rPr>
          <w:rFonts w:ascii="Avenir Next" w:hAnsi="Avenir Next"/>
          <w:color w:val="auto"/>
          <w:sz w:val="24"/>
        </w:rPr>
        <w:t>,</w:t>
      </w:r>
      <w:r w:rsidRPr="009C0B48">
        <w:rPr>
          <w:rFonts w:ascii="Avenir Next" w:hAnsi="Avenir Next"/>
          <w:color w:val="auto"/>
          <w:sz w:val="24"/>
        </w:rPr>
        <w:t xml:space="preserve"> las cifras son de 20.614.989, un 2,9 % superior en términos interanuales. </w:t>
      </w:r>
    </w:p>
    <w:p w14:paraId="41D5D8B9" w14:textId="77777777" w:rsidR="00F73706" w:rsidRPr="000C662E" w:rsidRDefault="00F73706" w:rsidP="00F73706">
      <w:pPr>
        <w:pStyle w:val="BodyA"/>
        <w:spacing w:before="100" w:after="100"/>
        <w:jc w:val="both"/>
        <w:rPr>
          <w:rFonts w:ascii="Avenir Next" w:hAnsi="Avenir Next"/>
          <w:color w:val="FF0000"/>
          <w:sz w:val="24"/>
        </w:rPr>
      </w:pPr>
    </w:p>
    <w:p w14:paraId="43E806DA" w14:textId="77777777" w:rsidR="00F73706" w:rsidRPr="005E3106" w:rsidRDefault="00F73706" w:rsidP="00F73706">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375BA446" w14:textId="77777777" w:rsidR="00F73706" w:rsidRPr="009C0B48"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Durante el primer trimestre de 2023</w:t>
      </w:r>
      <w:r>
        <w:rPr>
          <w:rFonts w:ascii="Avenir Next" w:hAnsi="Avenir Next"/>
          <w:color w:val="000000" w:themeColor="text1"/>
          <w:sz w:val="24"/>
        </w:rPr>
        <w:t>, la aportación del comercio exterior mejoró respecto a la observada para el trimestre anterior, dado el mayor crecimiento de las exportaciones en términos reales que de las importaciones. Destaca, sobre todo el aumento de las exportaciones</w:t>
      </w:r>
      <w:r w:rsidRPr="003365A6">
        <w:rPr>
          <w:rFonts w:ascii="Avenir Next" w:hAnsi="Avenir Next"/>
          <w:color w:val="000000" w:themeColor="text1"/>
          <w:sz w:val="24"/>
        </w:rPr>
        <w:t xml:space="preserve"> industriales, </w:t>
      </w:r>
      <w:r>
        <w:rPr>
          <w:rFonts w:ascii="Avenir Next" w:hAnsi="Avenir Next"/>
          <w:color w:val="000000" w:themeColor="text1"/>
          <w:sz w:val="24"/>
        </w:rPr>
        <w:t>en particular</w:t>
      </w:r>
      <w:r w:rsidRPr="003365A6">
        <w:rPr>
          <w:rFonts w:ascii="Avenir Next" w:hAnsi="Avenir Next"/>
          <w:color w:val="000000" w:themeColor="text1"/>
          <w:sz w:val="24"/>
        </w:rPr>
        <w:t xml:space="preserve"> cobre </w:t>
      </w:r>
      <w:r>
        <w:rPr>
          <w:rFonts w:ascii="Avenir Next" w:hAnsi="Avenir Next"/>
          <w:color w:val="000000" w:themeColor="text1"/>
          <w:sz w:val="24"/>
        </w:rPr>
        <w:t xml:space="preserve">y </w:t>
      </w:r>
      <w:r w:rsidRPr="003365A6">
        <w:rPr>
          <w:rFonts w:ascii="Avenir Next" w:hAnsi="Avenir Next"/>
          <w:color w:val="000000" w:themeColor="text1"/>
          <w:sz w:val="24"/>
        </w:rPr>
        <w:t xml:space="preserve">químicos, </w:t>
      </w:r>
      <w:r>
        <w:rPr>
          <w:rFonts w:ascii="Avenir Next" w:hAnsi="Avenir Next"/>
          <w:color w:val="000000" w:themeColor="text1"/>
          <w:sz w:val="24"/>
        </w:rPr>
        <w:t xml:space="preserve">aunque también en partidas </w:t>
      </w:r>
      <w:r w:rsidRPr="003365A6">
        <w:rPr>
          <w:rFonts w:ascii="Avenir Next" w:hAnsi="Avenir Next"/>
          <w:color w:val="000000" w:themeColor="text1"/>
          <w:sz w:val="24"/>
        </w:rPr>
        <w:t>agroalimentari</w:t>
      </w:r>
      <w:r>
        <w:rPr>
          <w:rFonts w:ascii="Avenir Next" w:hAnsi="Avenir Next"/>
          <w:color w:val="000000" w:themeColor="text1"/>
          <w:sz w:val="24"/>
        </w:rPr>
        <w:t>as</w:t>
      </w:r>
      <w:r w:rsidRPr="003365A6">
        <w:rPr>
          <w:rFonts w:ascii="Avenir Next" w:hAnsi="Avenir Next"/>
          <w:color w:val="000000" w:themeColor="text1"/>
          <w:sz w:val="24"/>
        </w:rPr>
        <w:t xml:space="preserve">, </w:t>
      </w:r>
      <w:r>
        <w:rPr>
          <w:rFonts w:ascii="Avenir Next" w:hAnsi="Avenir Next"/>
          <w:color w:val="000000" w:themeColor="text1"/>
          <w:sz w:val="24"/>
        </w:rPr>
        <w:t>en especial</w:t>
      </w:r>
      <w:r w:rsidRPr="003365A6">
        <w:rPr>
          <w:rFonts w:ascii="Avenir Next" w:hAnsi="Avenir Next"/>
          <w:color w:val="000000" w:themeColor="text1"/>
          <w:sz w:val="24"/>
        </w:rPr>
        <w:t xml:space="preserve"> las hortalizas</w:t>
      </w:r>
      <w:r>
        <w:rPr>
          <w:rFonts w:ascii="Avenir Next" w:hAnsi="Avenir Next"/>
          <w:color w:val="000000" w:themeColor="text1"/>
          <w:sz w:val="24"/>
        </w:rPr>
        <w:t>, que mantiene el impulso de ventas a pesar de la sequía</w:t>
      </w:r>
      <w:r w:rsidRPr="009C0B48">
        <w:rPr>
          <w:rFonts w:ascii="Avenir Next" w:hAnsi="Avenir Next"/>
          <w:color w:val="000000" w:themeColor="text1"/>
          <w:sz w:val="24"/>
        </w:rPr>
        <w:t xml:space="preserve">. </w:t>
      </w:r>
    </w:p>
    <w:p w14:paraId="51B9EB6B" w14:textId="77777777" w:rsidR="00F73706" w:rsidRPr="009C0B48" w:rsidRDefault="00F73706" w:rsidP="00F73706">
      <w:pPr>
        <w:pStyle w:val="BodyA"/>
        <w:spacing w:before="100" w:after="100"/>
        <w:jc w:val="both"/>
        <w:rPr>
          <w:rFonts w:ascii="Avenir Next" w:hAnsi="Avenir Next"/>
          <w:color w:val="000000" w:themeColor="text1"/>
          <w:sz w:val="24"/>
        </w:rPr>
      </w:pPr>
      <w:r>
        <w:rPr>
          <w:rFonts w:ascii="Avenir Next" w:hAnsi="Avenir Next"/>
          <w:color w:val="000000" w:themeColor="text1"/>
          <w:sz w:val="24"/>
        </w:rPr>
        <w:t xml:space="preserve">Particular mención merece </w:t>
      </w:r>
      <w:r w:rsidRPr="009C0B48">
        <w:rPr>
          <w:rFonts w:ascii="Avenir Next" w:hAnsi="Avenir Next"/>
          <w:color w:val="000000" w:themeColor="text1"/>
          <w:sz w:val="24"/>
        </w:rPr>
        <w:t xml:space="preserve">el consumo </w:t>
      </w:r>
      <w:r>
        <w:rPr>
          <w:rFonts w:ascii="Avenir Next" w:hAnsi="Avenir Next"/>
          <w:color w:val="000000" w:themeColor="text1"/>
          <w:sz w:val="24"/>
        </w:rPr>
        <w:t xml:space="preserve">de los residentes para el que la aceleración de los indicadores observados en el final de trimestre da como resultado un incremento </w:t>
      </w:r>
      <w:proofErr w:type="spellStart"/>
      <w:r>
        <w:rPr>
          <w:rFonts w:ascii="Avenir Next" w:hAnsi="Avenir Next"/>
          <w:color w:val="000000" w:themeColor="text1"/>
          <w:sz w:val="24"/>
        </w:rPr>
        <w:t>intertrimestral</w:t>
      </w:r>
      <w:proofErr w:type="spellEnd"/>
      <w:r>
        <w:rPr>
          <w:rFonts w:ascii="Avenir Next" w:hAnsi="Avenir Next"/>
          <w:color w:val="000000" w:themeColor="text1"/>
          <w:sz w:val="24"/>
        </w:rPr>
        <w:t xml:space="preserve"> superior al esperado</w:t>
      </w:r>
      <w:r w:rsidRPr="009C0B48">
        <w:rPr>
          <w:rFonts w:ascii="Avenir Next" w:hAnsi="Avenir Next"/>
          <w:color w:val="000000" w:themeColor="text1"/>
          <w:sz w:val="24"/>
        </w:rPr>
        <w:t>. Así, el índice del comercio minorista, que durante el cuarto trimestre mostró una importante debilidad</w:t>
      </w:r>
      <w:r>
        <w:rPr>
          <w:rFonts w:ascii="Avenir Next" w:hAnsi="Avenir Next"/>
          <w:color w:val="000000" w:themeColor="text1"/>
          <w:sz w:val="24"/>
        </w:rPr>
        <w:t>, se aceleró en</w:t>
      </w:r>
      <w:r w:rsidRPr="009C0B48">
        <w:rPr>
          <w:rFonts w:ascii="Avenir Next" w:hAnsi="Avenir Next"/>
          <w:color w:val="000000" w:themeColor="text1"/>
          <w:sz w:val="24"/>
        </w:rPr>
        <w:t xml:space="preserve"> los meses de febrero y marzo</w:t>
      </w:r>
      <w:r>
        <w:rPr>
          <w:rFonts w:ascii="Avenir Next" w:hAnsi="Avenir Next"/>
          <w:color w:val="000000" w:themeColor="text1"/>
          <w:sz w:val="24"/>
        </w:rPr>
        <w:t>,</w:t>
      </w:r>
      <w:r w:rsidRPr="009C0B48">
        <w:rPr>
          <w:rFonts w:ascii="Avenir Next" w:hAnsi="Avenir Next"/>
          <w:color w:val="000000" w:themeColor="text1"/>
          <w:sz w:val="24"/>
        </w:rPr>
        <w:t xml:space="preserve"> recuper</w:t>
      </w:r>
      <w:r>
        <w:rPr>
          <w:rFonts w:ascii="Avenir Next" w:hAnsi="Avenir Next"/>
          <w:color w:val="000000" w:themeColor="text1"/>
          <w:sz w:val="24"/>
        </w:rPr>
        <w:t>ando un</w:t>
      </w:r>
      <w:r w:rsidRPr="009C0B48">
        <w:rPr>
          <w:rFonts w:ascii="Avenir Next" w:hAnsi="Avenir Next"/>
          <w:color w:val="000000" w:themeColor="text1"/>
          <w:sz w:val="24"/>
        </w:rPr>
        <w:t xml:space="preserve"> comportamiento positivo, con crecimientos </w:t>
      </w:r>
      <w:r>
        <w:rPr>
          <w:rFonts w:ascii="Avenir Next" w:hAnsi="Avenir Next"/>
          <w:color w:val="000000" w:themeColor="text1"/>
          <w:sz w:val="24"/>
        </w:rPr>
        <w:t xml:space="preserve">significativos para marzo, </w:t>
      </w:r>
      <w:r w:rsidRPr="009C0B48">
        <w:rPr>
          <w:rFonts w:ascii="Avenir Next" w:hAnsi="Avenir Next"/>
          <w:color w:val="000000" w:themeColor="text1"/>
          <w:sz w:val="24"/>
        </w:rPr>
        <w:t xml:space="preserve">superiores al 8 %, evolución muy similar a </w:t>
      </w:r>
      <w:r>
        <w:rPr>
          <w:rFonts w:ascii="Avenir Next" w:hAnsi="Avenir Next"/>
          <w:color w:val="000000" w:themeColor="text1"/>
          <w:sz w:val="24"/>
        </w:rPr>
        <w:t xml:space="preserve">la de </w:t>
      </w:r>
      <w:r w:rsidRPr="009C0B48">
        <w:rPr>
          <w:rFonts w:ascii="Avenir Next" w:hAnsi="Avenir Next"/>
          <w:color w:val="000000" w:themeColor="text1"/>
          <w:sz w:val="24"/>
        </w:rPr>
        <w:t xml:space="preserve">España. Como ocurriera en el anterior trimestre, y una vez corregidos de efecto calendario y deflactadas las series nos indican que el consumo de los andaluces se redujo significativamente en alimentación, muy posiblemente debido al aumento de los precios de estos productos, pero fue más que compensado por el aumento del consumo en el resto de los productos, que con un </w:t>
      </w:r>
      <w:r>
        <w:rPr>
          <w:rFonts w:ascii="Avenir Next" w:hAnsi="Avenir Next"/>
          <w:color w:val="000000" w:themeColor="text1"/>
          <w:sz w:val="24"/>
        </w:rPr>
        <w:t xml:space="preserve">crecimiento del </w:t>
      </w:r>
      <w:r w:rsidRPr="009C0B48">
        <w:rPr>
          <w:rFonts w:ascii="Avenir Next" w:hAnsi="Avenir Next"/>
          <w:color w:val="000000" w:themeColor="text1"/>
          <w:sz w:val="24"/>
        </w:rPr>
        <w:t>20,5 % interanual</w:t>
      </w:r>
      <w:r>
        <w:rPr>
          <w:rFonts w:ascii="Avenir Next" w:hAnsi="Avenir Next"/>
          <w:color w:val="000000" w:themeColor="text1"/>
          <w:sz w:val="24"/>
        </w:rPr>
        <w:t xml:space="preserve">, más que </w:t>
      </w:r>
      <w:r w:rsidRPr="009C0B48">
        <w:rPr>
          <w:rFonts w:ascii="Avenir Next" w:hAnsi="Avenir Next"/>
          <w:color w:val="000000" w:themeColor="text1"/>
          <w:sz w:val="24"/>
        </w:rPr>
        <w:t>duplicaba al crecimiento medio del indicador. De igual modo, otros indicadores</w:t>
      </w:r>
      <w:r>
        <w:rPr>
          <w:rFonts w:ascii="Avenir Next" w:hAnsi="Avenir Next"/>
          <w:color w:val="000000" w:themeColor="text1"/>
          <w:sz w:val="24"/>
        </w:rPr>
        <w:t>,</w:t>
      </w:r>
      <w:r w:rsidRPr="009C0B48">
        <w:rPr>
          <w:rFonts w:ascii="Avenir Next" w:hAnsi="Avenir Next"/>
          <w:color w:val="000000" w:themeColor="text1"/>
          <w:sz w:val="24"/>
        </w:rPr>
        <w:t xml:space="preserve"> como son el índice de ventas de grandes superficies </w:t>
      </w:r>
      <w:r>
        <w:rPr>
          <w:rFonts w:ascii="Avenir Next" w:hAnsi="Avenir Next"/>
          <w:color w:val="000000" w:themeColor="text1"/>
          <w:sz w:val="24"/>
        </w:rPr>
        <w:t xml:space="preserve">y las matriculaciones, mostraron </w:t>
      </w:r>
      <w:r w:rsidRPr="009C0B48">
        <w:rPr>
          <w:rFonts w:ascii="Avenir Next" w:hAnsi="Avenir Next"/>
          <w:color w:val="000000" w:themeColor="text1"/>
          <w:sz w:val="24"/>
        </w:rPr>
        <w:t xml:space="preserve">aumentos significativos </w:t>
      </w:r>
      <w:r>
        <w:rPr>
          <w:rFonts w:ascii="Avenir Next" w:hAnsi="Avenir Next"/>
          <w:color w:val="000000" w:themeColor="text1"/>
          <w:sz w:val="24"/>
        </w:rPr>
        <w:t>en los tres primeros meses del año</w:t>
      </w:r>
      <w:r w:rsidRPr="009C0B48">
        <w:rPr>
          <w:rFonts w:ascii="Avenir Next" w:hAnsi="Avenir Next"/>
          <w:color w:val="000000" w:themeColor="text1"/>
          <w:sz w:val="24"/>
        </w:rPr>
        <w:t>.</w:t>
      </w:r>
    </w:p>
    <w:p w14:paraId="6489477A" w14:textId="77777777" w:rsidR="00F73706" w:rsidRPr="009C0B48"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El consumo de los no residentes </w:t>
      </w:r>
      <w:r>
        <w:rPr>
          <w:rFonts w:ascii="Avenir Next" w:hAnsi="Avenir Next"/>
          <w:color w:val="000000" w:themeColor="text1"/>
          <w:sz w:val="24"/>
        </w:rPr>
        <w:t xml:space="preserve">apunta a </w:t>
      </w:r>
      <w:r w:rsidRPr="009C0B48">
        <w:rPr>
          <w:rFonts w:ascii="Avenir Next" w:hAnsi="Avenir Next"/>
          <w:color w:val="000000" w:themeColor="text1"/>
          <w:sz w:val="24"/>
        </w:rPr>
        <w:t xml:space="preserve">que el proceso de normalización del sector tras la pandemia </w:t>
      </w:r>
      <w:r>
        <w:rPr>
          <w:rFonts w:ascii="Avenir Next" w:hAnsi="Avenir Next"/>
          <w:color w:val="000000" w:themeColor="text1"/>
          <w:sz w:val="24"/>
        </w:rPr>
        <w:t xml:space="preserve">ha seguido </w:t>
      </w:r>
      <w:r w:rsidRPr="009C0B48">
        <w:rPr>
          <w:rFonts w:ascii="Avenir Next" w:hAnsi="Avenir Next"/>
          <w:color w:val="000000" w:themeColor="text1"/>
          <w:sz w:val="24"/>
        </w:rPr>
        <w:t xml:space="preserve">su curso, acercándose </w:t>
      </w:r>
      <w:r>
        <w:rPr>
          <w:rFonts w:ascii="Avenir Next" w:hAnsi="Avenir Next"/>
          <w:color w:val="000000" w:themeColor="text1"/>
          <w:sz w:val="24"/>
        </w:rPr>
        <w:t xml:space="preserve">durante estos últimos meses </w:t>
      </w:r>
      <w:r w:rsidRPr="009C0B48">
        <w:rPr>
          <w:rFonts w:ascii="Avenir Next" w:hAnsi="Avenir Next"/>
          <w:color w:val="000000" w:themeColor="text1"/>
          <w:sz w:val="24"/>
        </w:rPr>
        <w:t xml:space="preserve">a la completa recuperación de las cifras </w:t>
      </w:r>
      <w:r>
        <w:rPr>
          <w:rFonts w:ascii="Avenir Next" w:hAnsi="Avenir Next"/>
          <w:color w:val="000000" w:themeColor="text1"/>
          <w:sz w:val="24"/>
        </w:rPr>
        <w:t xml:space="preserve">de visitantes </w:t>
      </w:r>
      <w:proofErr w:type="spellStart"/>
      <w:r>
        <w:rPr>
          <w:rFonts w:ascii="Avenir Next" w:hAnsi="Avenir Next"/>
          <w:color w:val="000000" w:themeColor="text1"/>
          <w:sz w:val="24"/>
        </w:rPr>
        <w:t>pre-pandemia</w:t>
      </w:r>
      <w:proofErr w:type="spellEnd"/>
      <w:r>
        <w:rPr>
          <w:rFonts w:ascii="Avenir Next" w:hAnsi="Avenir Next"/>
          <w:color w:val="000000" w:themeColor="text1"/>
          <w:sz w:val="24"/>
        </w:rPr>
        <w:t xml:space="preserve"> y superando las de gasto</w:t>
      </w:r>
      <w:r w:rsidRPr="009C0B48">
        <w:rPr>
          <w:rFonts w:ascii="Avenir Next" w:hAnsi="Avenir Next"/>
          <w:color w:val="000000" w:themeColor="text1"/>
          <w:sz w:val="24"/>
        </w:rPr>
        <w:t>. Así, durante el primer trimestre de 2023 visitaron Andalucía</w:t>
      </w:r>
      <w:r>
        <w:rPr>
          <w:rFonts w:ascii="Avenir Next" w:hAnsi="Avenir Next"/>
          <w:color w:val="000000" w:themeColor="text1"/>
          <w:sz w:val="24"/>
        </w:rPr>
        <w:t xml:space="preserve"> </w:t>
      </w:r>
      <w:r w:rsidRPr="009C0B48">
        <w:rPr>
          <w:rFonts w:ascii="Avenir Next" w:hAnsi="Avenir Next"/>
          <w:color w:val="000000" w:themeColor="text1"/>
          <w:sz w:val="24"/>
        </w:rPr>
        <w:t xml:space="preserve">5.801.969 turistas. Esto supone un aumento del 26,5 % interanual. </w:t>
      </w:r>
      <w:r>
        <w:rPr>
          <w:rFonts w:ascii="Avenir Next" w:hAnsi="Avenir Next"/>
          <w:color w:val="000000" w:themeColor="text1"/>
          <w:sz w:val="24"/>
        </w:rPr>
        <w:t xml:space="preserve">El </w:t>
      </w:r>
      <w:r w:rsidRPr="009C0B48">
        <w:rPr>
          <w:rFonts w:ascii="Avenir Next" w:hAnsi="Avenir Next"/>
          <w:color w:val="000000" w:themeColor="text1"/>
          <w:sz w:val="24"/>
        </w:rPr>
        <w:t>gasto</w:t>
      </w:r>
      <w:r>
        <w:rPr>
          <w:rFonts w:ascii="Avenir Next" w:hAnsi="Avenir Next"/>
          <w:color w:val="000000" w:themeColor="text1"/>
          <w:sz w:val="24"/>
        </w:rPr>
        <w:t xml:space="preserve"> </w:t>
      </w:r>
      <w:r w:rsidRPr="009C0B48">
        <w:rPr>
          <w:rFonts w:ascii="Avenir Next" w:hAnsi="Avenir Next"/>
          <w:color w:val="000000" w:themeColor="text1"/>
          <w:sz w:val="24"/>
        </w:rPr>
        <w:t>fue superior en un 9,5 % interanual</w:t>
      </w:r>
      <w:r>
        <w:rPr>
          <w:rFonts w:ascii="Avenir Next" w:hAnsi="Avenir Next"/>
          <w:color w:val="000000" w:themeColor="text1"/>
          <w:sz w:val="24"/>
        </w:rPr>
        <w:t>,</w:t>
      </w:r>
      <w:r w:rsidRPr="009C0B48">
        <w:rPr>
          <w:rFonts w:ascii="Avenir Next" w:hAnsi="Avenir Next"/>
          <w:color w:val="000000" w:themeColor="text1"/>
          <w:sz w:val="24"/>
        </w:rPr>
        <w:t xml:space="preserve"> mientras que la estancia media aumentaba </w:t>
      </w:r>
      <w:r>
        <w:rPr>
          <w:rFonts w:ascii="Avenir Next" w:hAnsi="Avenir Next"/>
          <w:color w:val="000000" w:themeColor="text1"/>
          <w:sz w:val="24"/>
        </w:rPr>
        <w:t>un</w:t>
      </w:r>
      <w:r w:rsidRPr="009C0B48">
        <w:rPr>
          <w:rFonts w:ascii="Avenir Next" w:hAnsi="Avenir Next"/>
          <w:color w:val="000000" w:themeColor="text1"/>
          <w:sz w:val="24"/>
        </w:rPr>
        <w:t xml:space="preserve">7,1 %. </w:t>
      </w:r>
    </w:p>
    <w:p w14:paraId="01880AD6" w14:textId="77777777" w:rsidR="00F73706" w:rsidRDefault="00F73706" w:rsidP="00F73706">
      <w:pPr>
        <w:pStyle w:val="BodyA"/>
        <w:spacing w:before="100" w:after="100"/>
        <w:jc w:val="both"/>
        <w:rPr>
          <w:rFonts w:ascii="Avenir Next" w:hAnsi="Avenir Next"/>
          <w:color w:val="000000" w:themeColor="text1"/>
          <w:sz w:val="24"/>
        </w:rPr>
      </w:pPr>
      <w:r>
        <w:rPr>
          <w:rFonts w:ascii="Avenir Next" w:hAnsi="Avenir Next"/>
          <w:color w:val="000000" w:themeColor="text1"/>
          <w:sz w:val="24"/>
        </w:rPr>
        <w:t>Finalmente, otro componente de</w:t>
      </w:r>
      <w:r w:rsidRPr="009C0B48">
        <w:rPr>
          <w:rFonts w:ascii="Avenir Next" w:hAnsi="Avenir Next"/>
          <w:color w:val="000000" w:themeColor="text1"/>
          <w:sz w:val="24"/>
        </w:rPr>
        <w:t xml:space="preserve"> la demanda </w:t>
      </w:r>
      <w:r>
        <w:rPr>
          <w:rFonts w:ascii="Avenir Next" w:hAnsi="Avenir Next"/>
          <w:color w:val="000000" w:themeColor="text1"/>
          <w:sz w:val="24"/>
        </w:rPr>
        <w:t xml:space="preserve">que mostró un buen comportamiento fue </w:t>
      </w:r>
      <w:r w:rsidRPr="009C0B48">
        <w:rPr>
          <w:rFonts w:ascii="Avenir Next" w:hAnsi="Avenir Next"/>
          <w:color w:val="000000" w:themeColor="text1"/>
          <w:sz w:val="24"/>
        </w:rPr>
        <w:t xml:space="preserve">la inversión. Por un lado, la construcción recupera </w:t>
      </w:r>
      <w:r>
        <w:rPr>
          <w:rFonts w:ascii="Avenir Next" w:hAnsi="Avenir Next"/>
          <w:color w:val="000000" w:themeColor="text1"/>
          <w:sz w:val="24"/>
        </w:rPr>
        <w:t xml:space="preserve">ligeramente </w:t>
      </w:r>
      <w:r w:rsidRPr="009C0B48">
        <w:rPr>
          <w:rFonts w:ascii="Avenir Next" w:hAnsi="Avenir Next"/>
          <w:color w:val="000000" w:themeColor="text1"/>
          <w:sz w:val="24"/>
        </w:rPr>
        <w:t>el ritmo de crecimiento previo a</w:t>
      </w:r>
      <w:r>
        <w:rPr>
          <w:rFonts w:ascii="Avenir Next" w:hAnsi="Avenir Next"/>
          <w:color w:val="000000" w:themeColor="text1"/>
          <w:sz w:val="24"/>
        </w:rPr>
        <w:t xml:space="preserve">l último </w:t>
      </w:r>
      <w:r w:rsidRPr="009C0B48">
        <w:rPr>
          <w:rFonts w:ascii="Avenir Next" w:hAnsi="Avenir Next"/>
          <w:color w:val="000000" w:themeColor="text1"/>
          <w:sz w:val="24"/>
        </w:rPr>
        <w:t>trimestre</w:t>
      </w:r>
      <w:r>
        <w:rPr>
          <w:rFonts w:ascii="Avenir Next" w:hAnsi="Avenir Next"/>
          <w:color w:val="000000" w:themeColor="text1"/>
          <w:sz w:val="24"/>
        </w:rPr>
        <w:t xml:space="preserve"> y, p</w:t>
      </w:r>
      <w:r w:rsidRPr="009C0B48">
        <w:rPr>
          <w:rFonts w:ascii="Avenir Next" w:hAnsi="Avenir Next"/>
          <w:color w:val="000000" w:themeColor="text1"/>
          <w:sz w:val="24"/>
        </w:rPr>
        <w:t xml:space="preserve">or otro lado, la inversión de las empresas en maquinaria y otro tipo de capital muestra una tendencia positiva, reflejando una mejora en las expectativas de los empresarios. No </w:t>
      </w:r>
      <w:r>
        <w:rPr>
          <w:rFonts w:ascii="Avenir Next" w:hAnsi="Avenir Next"/>
          <w:color w:val="000000" w:themeColor="text1"/>
          <w:sz w:val="24"/>
        </w:rPr>
        <w:t xml:space="preserve">obstante, el posible impulso que los </w:t>
      </w:r>
      <w:r w:rsidRPr="009C0B48">
        <w:rPr>
          <w:rFonts w:ascii="Avenir Next" w:hAnsi="Avenir Next"/>
          <w:color w:val="000000" w:themeColor="text1"/>
          <w:sz w:val="24"/>
        </w:rPr>
        <w:t>fondos Next-</w:t>
      </w:r>
      <w:proofErr w:type="spellStart"/>
      <w:r w:rsidRPr="009C0B48">
        <w:rPr>
          <w:rFonts w:ascii="Avenir Next" w:hAnsi="Avenir Next"/>
          <w:color w:val="000000" w:themeColor="text1"/>
          <w:sz w:val="24"/>
        </w:rPr>
        <w:t>Generation</w:t>
      </w:r>
      <w:proofErr w:type="spellEnd"/>
      <w:r>
        <w:rPr>
          <w:rFonts w:ascii="Avenir Next" w:hAnsi="Avenir Next"/>
          <w:color w:val="000000" w:themeColor="text1"/>
          <w:sz w:val="24"/>
        </w:rPr>
        <w:t xml:space="preserve"> puedan estar provocando en la evolución de la inversión parece ser inferior al del resto de España, explicado, principalmente, por un ritmo de ejecución menor en Andalucía.</w:t>
      </w:r>
    </w:p>
    <w:p w14:paraId="5B145C5A" w14:textId="77777777" w:rsidR="00F73706" w:rsidRPr="005E3106" w:rsidRDefault="00F73706" w:rsidP="00F73706">
      <w:pPr>
        <w:pStyle w:val="BodyA"/>
        <w:spacing w:before="100" w:after="100"/>
        <w:jc w:val="both"/>
        <w:rPr>
          <w:rFonts w:ascii="Avenir Next" w:hAnsi="Avenir Next"/>
          <w:color w:val="000000" w:themeColor="text1"/>
          <w:sz w:val="24"/>
        </w:rPr>
      </w:pPr>
    </w:p>
    <w:p w14:paraId="3727D3C5" w14:textId="77777777" w:rsidR="00F73706" w:rsidRPr="00712FCB" w:rsidRDefault="00F73706" w:rsidP="00F73706">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0DF4012A" w14:textId="77777777" w:rsidR="00F73706"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En cuanto a los sectores, la evolución ha sido algo desigual durante este trimestre, aunque la tónica</w:t>
      </w:r>
      <w:r>
        <w:rPr>
          <w:rFonts w:ascii="Avenir Next" w:hAnsi="Avenir Next"/>
          <w:color w:val="000000" w:themeColor="text1"/>
          <w:sz w:val="24"/>
        </w:rPr>
        <w:t xml:space="preserve"> </w:t>
      </w:r>
      <w:r w:rsidRPr="009C0B48">
        <w:rPr>
          <w:rFonts w:ascii="Avenir Next" w:hAnsi="Avenir Next"/>
          <w:color w:val="000000" w:themeColor="text1"/>
          <w:sz w:val="24"/>
        </w:rPr>
        <w:t xml:space="preserve">es relativamente positiva. </w:t>
      </w:r>
    </w:p>
    <w:p w14:paraId="64DD5E81" w14:textId="77777777" w:rsidR="00F73706" w:rsidRPr="009C0B48" w:rsidRDefault="00F73706" w:rsidP="00F73706">
      <w:pPr>
        <w:pStyle w:val="BodyA"/>
        <w:spacing w:before="100" w:after="100"/>
        <w:jc w:val="both"/>
        <w:rPr>
          <w:rFonts w:ascii="Avenir Next" w:hAnsi="Avenir Next"/>
          <w:color w:val="000000" w:themeColor="text1"/>
          <w:sz w:val="24"/>
        </w:rPr>
      </w:pPr>
      <w:r>
        <w:rPr>
          <w:rFonts w:ascii="Avenir Next" w:hAnsi="Avenir Next"/>
          <w:color w:val="000000" w:themeColor="text1"/>
          <w:sz w:val="24"/>
        </w:rPr>
        <w:t>L</w:t>
      </w:r>
      <w:r w:rsidRPr="009C0B48">
        <w:rPr>
          <w:rFonts w:ascii="Avenir Next" w:hAnsi="Avenir Next"/>
          <w:color w:val="000000" w:themeColor="text1"/>
          <w:sz w:val="24"/>
        </w:rPr>
        <w:t>a industria</w:t>
      </w:r>
      <w:r>
        <w:rPr>
          <w:rFonts w:ascii="Avenir Next" w:hAnsi="Avenir Next"/>
          <w:color w:val="000000" w:themeColor="text1"/>
          <w:sz w:val="24"/>
        </w:rPr>
        <w:t xml:space="preserve"> </w:t>
      </w:r>
      <w:r w:rsidRPr="009C0B48">
        <w:rPr>
          <w:rFonts w:ascii="Avenir Next" w:hAnsi="Avenir Next"/>
          <w:color w:val="000000" w:themeColor="text1"/>
          <w:sz w:val="24"/>
        </w:rPr>
        <w:t>muestra aumentos de la producción inferiores a la media nacional (0,9 % vs 1 %)</w:t>
      </w:r>
      <w:r>
        <w:rPr>
          <w:rFonts w:ascii="Avenir Next" w:hAnsi="Avenir Next"/>
          <w:color w:val="000000" w:themeColor="text1"/>
          <w:sz w:val="24"/>
        </w:rPr>
        <w:t xml:space="preserve"> según datos del IPI para el primer trimestre</w:t>
      </w:r>
      <w:r w:rsidRPr="009C0B48">
        <w:rPr>
          <w:rFonts w:ascii="Avenir Next" w:hAnsi="Avenir Next"/>
          <w:color w:val="000000" w:themeColor="text1"/>
          <w:sz w:val="24"/>
        </w:rPr>
        <w:t xml:space="preserve">, </w:t>
      </w:r>
      <w:r>
        <w:rPr>
          <w:rFonts w:ascii="Avenir Next" w:hAnsi="Avenir Next"/>
          <w:color w:val="000000" w:themeColor="text1"/>
          <w:sz w:val="24"/>
        </w:rPr>
        <w:t>aunque con un</w:t>
      </w:r>
      <w:r w:rsidRPr="009C0B48">
        <w:rPr>
          <w:rFonts w:ascii="Avenir Next" w:hAnsi="Avenir Next"/>
          <w:color w:val="000000" w:themeColor="text1"/>
          <w:sz w:val="24"/>
        </w:rPr>
        <w:t xml:space="preserve"> comportamiento </w:t>
      </w:r>
      <w:r>
        <w:rPr>
          <w:rFonts w:ascii="Avenir Next" w:hAnsi="Avenir Next"/>
          <w:color w:val="000000" w:themeColor="text1"/>
          <w:sz w:val="24"/>
        </w:rPr>
        <w:t>que ha ido a más hacia e</w:t>
      </w:r>
      <w:r w:rsidRPr="009C0B48">
        <w:rPr>
          <w:rFonts w:ascii="Avenir Next" w:hAnsi="Avenir Next"/>
          <w:color w:val="000000" w:themeColor="text1"/>
          <w:sz w:val="24"/>
        </w:rPr>
        <w:t xml:space="preserve">l final del trimestre. </w:t>
      </w:r>
      <w:r>
        <w:rPr>
          <w:rFonts w:ascii="Avenir Next" w:hAnsi="Avenir Next"/>
          <w:color w:val="000000" w:themeColor="text1"/>
          <w:sz w:val="24"/>
        </w:rPr>
        <w:t xml:space="preserve">Sin embargo, para el conjunto del trimestre la industria andaluza ha sufrido una caída de actividad, principalmente explicada por la evolución de la industria agroalimentaria, que sufre las consecuencias de una sequía que se ha agravado durante el inicio de la primavera. En segundo lugar, el refino de petróleo, cuyo ajuste viene derivado de las consecuencias del choque de precios del año 2022, unido a una relativa normalización de la producción global, muestra tasas de crecimiento negativas desde inicios de año. Compensa, aunque no lo suficiente, los aumentos de las </w:t>
      </w:r>
      <w:r w:rsidRPr="009C0B48">
        <w:rPr>
          <w:rFonts w:ascii="Avenir Next" w:hAnsi="Avenir Next"/>
          <w:color w:val="000000" w:themeColor="text1"/>
          <w:sz w:val="24"/>
        </w:rPr>
        <w:t>industrias extractivas y de suministro de energía.</w:t>
      </w:r>
    </w:p>
    <w:p w14:paraId="1B7F6830" w14:textId="77777777" w:rsidR="00F73706" w:rsidRPr="009C0B48"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Coincidiendo con los datos de la demanda, el sector de la construcción vuelve a mostrar crecimientos </w:t>
      </w:r>
      <w:r>
        <w:rPr>
          <w:rFonts w:ascii="Avenir Next" w:hAnsi="Avenir Next"/>
          <w:color w:val="000000" w:themeColor="text1"/>
          <w:sz w:val="24"/>
        </w:rPr>
        <w:t xml:space="preserve">moderados </w:t>
      </w:r>
      <w:r w:rsidRPr="009C0B48">
        <w:rPr>
          <w:rFonts w:ascii="Avenir Next" w:hAnsi="Avenir Next"/>
          <w:color w:val="000000" w:themeColor="text1"/>
          <w:sz w:val="24"/>
        </w:rPr>
        <w:t>durante este primer trimestre</w:t>
      </w:r>
      <w:r>
        <w:rPr>
          <w:rFonts w:ascii="Avenir Next" w:hAnsi="Avenir Next"/>
          <w:color w:val="000000" w:themeColor="text1"/>
          <w:sz w:val="24"/>
        </w:rPr>
        <w:t xml:space="preserve"> después de un final de año contractivo</w:t>
      </w:r>
      <w:r w:rsidRPr="009C0B48">
        <w:rPr>
          <w:rFonts w:ascii="Avenir Next" w:hAnsi="Avenir Next"/>
          <w:color w:val="000000" w:themeColor="text1"/>
          <w:sz w:val="24"/>
        </w:rPr>
        <w:t xml:space="preserve">. </w:t>
      </w:r>
      <w:r>
        <w:rPr>
          <w:rFonts w:ascii="Avenir Next" w:hAnsi="Avenir Next"/>
          <w:color w:val="000000" w:themeColor="text1"/>
          <w:sz w:val="24"/>
        </w:rPr>
        <w:t>P</w:t>
      </w:r>
      <w:r w:rsidRPr="009C0B48">
        <w:rPr>
          <w:rFonts w:ascii="Avenir Next" w:hAnsi="Avenir Next"/>
          <w:color w:val="000000" w:themeColor="text1"/>
          <w:sz w:val="24"/>
        </w:rPr>
        <w:t>rácticamente todos los indicadores asociados al sector residencial son positivos, a diferencia del anterior trimestre, mostrando por ello una recuperación significativa en estos últimos meses. Para reforzar este argumento</w:t>
      </w:r>
      <w:r>
        <w:rPr>
          <w:rFonts w:ascii="Avenir Next" w:hAnsi="Avenir Next"/>
          <w:color w:val="000000" w:themeColor="text1"/>
          <w:sz w:val="24"/>
        </w:rPr>
        <w:t xml:space="preserve">, </w:t>
      </w:r>
      <w:r w:rsidRPr="009C0B48">
        <w:rPr>
          <w:rFonts w:ascii="Avenir Next" w:hAnsi="Avenir Next"/>
          <w:color w:val="000000" w:themeColor="text1"/>
          <w:sz w:val="24"/>
        </w:rPr>
        <w:t>l</w:t>
      </w:r>
      <w:r>
        <w:rPr>
          <w:rFonts w:ascii="Avenir Next" w:hAnsi="Avenir Next"/>
          <w:color w:val="000000" w:themeColor="text1"/>
          <w:sz w:val="24"/>
        </w:rPr>
        <w:t>a</w:t>
      </w:r>
      <w:r w:rsidRPr="009C0B48">
        <w:rPr>
          <w:rFonts w:ascii="Avenir Next" w:hAnsi="Avenir Next"/>
          <w:color w:val="000000" w:themeColor="text1"/>
          <w:sz w:val="24"/>
        </w:rPr>
        <w:t xml:space="preserve"> afiliación </w:t>
      </w:r>
      <w:r>
        <w:rPr>
          <w:rFonts w:ascii="Avenir Next" w:hAnsi="Avenir Next"/>
          <w:color w:val="000000" w:themeColor="text1"/>
          <w:sz w:val="24"/>
        </w:rPr>
        <w:t>en el sector presentó ritmos de crecimiento superiores al</w:t>
      </w:r>
      <w:r w:rsidRPr="009C0B48">
        <w:rPr>
          <w:rFonts w:ascii="Avenir Next" w:hAnsi="Avenir Next"/>
          <w:color w:val="000000" w:themeColor="text1"/>
          <w:sz w:val="24"/>
        </w:rPr>
        <w:t xml:space="preserve"> 10 % interanual.</w:t>
      </w:r>
    </w:p>
    <w:p w14:paraId="01CCAD71" w14:textId="77777777" w:rsidR="00F73706" w:rsidRDefault="00F73706" w:rsidP="00F73706">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Finalmente, la evolución de los servicios mantiene un tono positivo, aunque con una </w:t>
      </w:r>
      <w:r>
        <w:rPr>
          <w:rFonts w:ascii="Avenir Next" w:hAnsi="Avenir Next"/>
          <w:color w:val="000000" w:themeColor="text1"/>
          <w:sz w:val="24"/>
        </w:rPr>
        <w:t>elevada</w:t>
      </w:r>
      <w:r w:rsidRPr="009C0B48">
        <w:rPr>
          <w:rFonts w:ascii="Avenir Next" w:hAnsi="Avenir Next"/>
          <w:color w:val="000000" w:themeColor="text1"/>
          <w:sz w:val="24"/>
        </w:rPr>
        <w:t xml:space="preserve"> heterogeneidad. Destacan las actividades </w:t>
      </w:r>
      <w:r>
        <w:rPr>
          <w:rFonts w:ascii="Avenir Next" w:hAnsi="Avenir Next"/>
          <w:color w:val="000000" w:themeColor="text1"/>
          <w:sz w:val="24"/>
        </w:rPr>
        <w:t xml:space="preserve">de información y comunicaciones y, en especial y a mucha distancia del resto, comercio, transporte y </w:t>
      </w:r>
      <w:r w:rsidRPr="009C0B48">
        <w:rPr>
          <w:rFonts w:ascii="Avenir Next" w:hAnsi="Avenir Next"/>
          <w:color w:val="000000" w:themeColor="text1"/>
          <w:sz w:val="24"/>
        </w:rPr>
        <w:t xml:space="preserve">hostelería, con aumentos hasta el mes de febrero superiores al 20 % en su actividad. </w:t>
      </w:r>
      <w:r>
        <w:rPr>
          <w:rFonts w:ascii="Avenir Next" w:hAnsi="Avenir Next"/>
          <w:color w:val="000000" w:themeColor="text1"/>
          <w:sz w:val="24"/>
        </w:rPr>
        <w:t>No cabe duda de que el aumento del turismo en este inicio de año explica buena parte de este comportamiento.</w:t>
      </w:r>
    </w:p>
    <w:p w14:paraId="048D762E"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91008" behindDoc="0" locked="0" layoutInCell="1" allowOverlap="1" wp14:anchorId="445657D8" wp14:editId="3F74D029">
                <wp:simplePos x="0" y="0"/>
                <wp:positionH relativeFrom="page">
                  <wp:posOffset>685800</wp:posOffset>
                </wp:positionH>
                <wp:positionV relativeFrom="page">
                  <wp:posOffset>838200</wp:posOffset>
                </wp:positionV>
                <wp:extent cx="6184900" cy="1638300"/>
                <wp:effectExtent l="0" t="0" r="0" b="0"/>
                <wp:wrapSquare wrapText="bothSides"/>
                <wp:docPr id="606934897" name="Rectángulo 6069348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78F8E4AC"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7F698FD2" w14:textId="77777777" w:rsidR="00F73706" w:rsidRPr="008506D8" w:rsidRDefault="00F73706" w:rsidP="00F73706">
                            <w:pPr>
                              <w:pStyle w:val="Ttulo"/>
                              <w:rPr>
                                <w:b/>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rPr>
                              <w:t>trimestre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3A66B6BB" wp14:editId="117D074B">
                                  <wp:extent cx="6002020" cy="27940"/>
                                  <wp:effectExtent l="0" t="0" r="0" b="0"/>
                                  <wp:docPr id="1485693231" name="Imagen 148569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657D8" id="Rectángulo 606934897" o:spid="_x0000_s1031" style="position:absolute;left:0;text-align:left;margin-left:54pt;margin-top:66pt;width:487pt;height:129pt;z-index:2516910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C2RnRvkAQAAsgMAAA4AAAAAAAAAAAAAAAAALgIAAGRycy9lMm9Eb2MueG1sUEsB&#10;Ai0AFAAGAAgAAAAhABZGXIvfAAAADAEAAA8AAAAAAAAAAAAAAAAAPgQAAGRycy9kb3ducmV2Lnht&#10;bFBLBQYAAAAABAAEAPMAAABKBQAAAAA=&#10;" filled="f" stroked="f">
                <o:lock v:ext="edit" aspectratio="t"/>
                <v:textbox>
                  <w:txbxContent>
                    <w:p w14:paraId="78F8E4AC"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7F698FD2" w14:textId="77777777" w:rsidR="00F73706" w:rsidRPr="008506D8" w:rsidRDefault="00F73706" w:rsidP="00F73706">
                      <w:pPr>
                        <w:pStyle w:val="Ttulo"/>
                        <w:rPr>
                          <w:b/>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rPr>
                        <w:t>trimestre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3A66B6BB" wp14:editId="117D074B">
                            <wp:extent cx="6002020" cy="27940"/>
                            <wp:effectExtent l="0" t="0" r="0" b="0"/>
                            <wp:docPr id="1485693231" name="Imagen 148569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41FB8373"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p>
    <w:p w14:paraId="68EEAA37" w14:textId="77777777" w:rsidR="00F73706" w:rsidRPr="00B73B12" w:rsidRDefault="00F73706" w:rsidP="00F73706">
      <w:pPr>
        <w:pStyle w:val="s2"/>
        <w:spacing w:before="0" w:beforeAutospacing="0" w:after="0" w:afterAutospacing="0" w:line="324" w:lineRule="atLeast"/>
        <w:jc w:val="both"/>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 xml:space="preserve">Según el Indicador Sintético de Actividad de Andalucía del Observatorio Económico de Andalucía, la economía andaluza experimentó un crecimiento </w:t>
      </w:r>
      <w:proofErr w:type="spellStart"/>
      <w:r w:rsidRPr="00B73B12">
        <w:rPr>
          <w:rFonts w:ascii="Avenir Next" w:eastAsia="Hoefler Text" w:hAnsi="Avenir Next" w:cs="Hoefler Text"/>
          <w:color w:val="000000" w:themeColor="text1"/>
          <w:szCs w:val="22"/>
          <w:u w:color="000000"/>
          <w:bdr w:val="nil"/>
          <w:lang w:val="es-ES_tradnl"/>
        </w:rPr>
        <w:t>intertrimestral</w:t>
      </w:r>
      <w:proofErr w:type="spellEnd"/>
      <w:r w:rsidRPr="00B73B12">
        <w:rPr>
          <w:rFonts w:ascii="Avenir Next" w:eastAsia="Hoefler Text" w:hAnsi="Avenir Next" w:cs="Hoefler Text"/>
          <w:color w:val="000000" w:themeColor="text1"/>
          <w:szCs w:val="22"/>
          <w:u w:color="000000"/>
          <w:bdr w:val="nil"/>
          <w:lang w:val="es-ES_tradnl"/>
        </w:rPr>
        <w:t xml:space="preserve">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w:t>
      </w:r>
      <w:proofErr w:type="gramStart"/>
      <w:r w:rsidRPr="00B73B12">
        <w:rPr>
          <w:rFonts w:ascii="Avenir Next" w:eastAsia="Hoefler Text" w:hAnsi="Avenir Next" w:cs="Hoefler Text"/>
          <w:color w:val="000000" w:themeColor="text1"/>
          <w:szCs w:val="22"/>
          <w:u w:color="000000"/>
          <w:bdr w:val="nil"/>
          <w:lang w:val="es-ES_tradnl"/>
        </w:rPr>
        <w:t>décimas superior</w:t>
      </w:r>
      <w:proofErr w:type="gramEnd"/>
      <w:r w:rsidRPr="00B73B12">
        <w:rPr>
          <w:rFonts w:ascii="Avenir Next" w:eastAsia="Hoefler Text" w:hAnsi="Avenir Next" w:cs="Hoefler Text"/>
          <w:color w:val="000000" w:themeColor="text1"/>
          <w:szCs w:val="22"/>
          <w:u w:color="000000"/>
          <w:bdr w:val="nil"/>
          <w:lang w:val="es-ES_tradnl"/>
        </w:rPr>
        <w:t xml:space="preserve"> al estimado en la Contabilidad Nacional Trimestral del INE para España.   </w:t>
      </w:r>
    </w:p>
    <w:p w14:paraId="2704FF36" w14:textId="77777777" w:rsidR="00F73706" w:rsidRPr="00B73B12" w:rsidRDefault="00F73706" w:rsidP="00F73706">
      <w:pPr>
        <w:pStyle w:val="s2"/>
        <w:spacing w:before="0" w:beforeAutospacing="0" w:after="0" w:afterAutospacing="0" w:line="324" w:lineRule="atLeast"/>
        <w:jc w:val="both"/>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 </w:t>
      </w:r>
    </w:p>
    <w:p w14:paraId="05BF7E6E" w14:textId="77777777" w:rsidR="00F73706" w:rsidRDefault="00F73706" w:rsidP="00F73706">
      <w:pPr>
        <w:pStyle w:val="s2"/>
        <w:spacing w:before="0" w:beforeAutospacing="0" w:after="0" w:afterAutospacing="0" w:line="324" w:lineRule="atLeast"/>
        <w:jc w:val="both"/>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p>
    <w:p w14:paraId="1E620433" w14:textId="77777777" w:rsidR="00F73706" w:rsidRDefault="00F73706" w:rsidP="00F73706">
      <w:pPr>
        <w:pStyle w:val="s2"/>
        <w:spacing w:before="0" w:beforeAutospacing="0" w:after="0" w:afterAutospacing="0" w:line="324" w:lineRule="atLeast"/>
        <w:jc w:val="both"/>
        <w:rPr>
          <w:rFonts w:ascii="Avenir Next" w:eastAsia="Hoefler Text" w:hAnsi="Avenir Next" w:cs="Hoefler Text"/>
          <w:color w:val="000000" w:themeColor="text1"/>
          <w:szCs w:val="22"/>
          <w:u w:color="000000"/>
          <w:bdr w:val="nil"/>
          <w:lang w:val="es-ES_tradnl"/>
        </w:rPr>
      </w:pPr>
    </w:p>
    <w:p w14:paraId="3147E1E2"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2DB16E46"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w:t>
      </w:r>
      <w:proofErr w:type="gramStart"/>
      <w:r w:rsidRPr="00B73B12">
        <w:rPr>
          <w:rFonts w:ascii="Avenir Next" w:hAnsi="Avenir Next"/>
          <w:color w:val="000000" w:themeColor="text1"/>
          <w:sz w:val="24"/>
        </w:rPr>
        <w:t>décimas superior</w:t>
      </w:r>
      <w:proofErr w:type="gramEnd"/>
      <w:r w:rsidRPr="00B73B12">
        <w:rPr>
          <w:rFonts w:ascii="Avenir Next" w:hAnsi="Avenir Next"/>
          <w:color w:val="000000" w:themeColor="text1"/>
          <w:sz w:val="24"/>
        </w:rPr>
        <w:t xml:space="preserve">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p>
    <w:p w14:paraId="0AE03EBC" w14:textId="77777777" w:rsidR="00F73706" w:rsidRPr="00B73B12" w:rsidRDefault="00F73706" w:rsidP="00F73706">
      <w:pPr>
        <w:pStyle w:val="s2"/>
        <w:spacing w:before="0" w:beforeAutospacing="0" w:after="0" w:afterAutospacing="0" w:line="324" w:lineRule="atLeast"/>
        <w:jc w:val="both"/>
        <w:rPr>
          <w:rFonts w:ascii="Avenir Next" w:eastAsia="Hoefler Text" w:hAnsi="Avenir Next" w:cs="Hoefler Text"/>
          <w:color w:val="000000" w:themeColor="text1"/>
          <w:szCs w:val="22"/>
          <w:u w:color="000000"/>
          <w:bdr w:val="nil"/>
          <w:lang w:val="es-ES_tradnl"/>
        </w:rPr>
      </w:pPr>
    </w:p>
    <w:p w14:paraId="57D37AD4" w14:textId="77777777" w:rsidR="00F73706" w:rsidRPr="006C48E9" w:rsidRDefault="00F73706" w:rsidP="00F73706">
      <w:pPr>
        <w:jc w:val="center"/>
        <w:rPr>
          <w:color w:val="000000" w:themeColor="text1"/>
        </w:rPr>
      </w:pPr>
      <w:r w:rsidRPr="00956834">
        <w:rPr>
          <w:noProof/>
        </w:rPr>
        <w:drawing>
          <wp:inline distT="0" distB="0" distL="0" distR="0" wp14:anchorId="7F6294CD" wp14:editId="03F3697F">
            <wp:extent cx="6184900" cy="5767070"/>
            <wp:effectExtent l="0" t="0" r="0" b="0"/>
            <wp:docPr id="9435412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5767070"/>
                    </a:xfrm>
                    <a:prstGeom prst="rect">
                      <a:avLst/>
                    </a:prstGeom>
                    <a:noFill/>
                    <a:ln>
                      <a:noFill/>
                    </a:ln>
                  </pic:spPr>
                </pic:pic>
              </a:graphicData>
            </a:graphic>
          </wp:inline>
        </w:drawing>
      </w:r>
    </w:p>
    <w:p w14:paraId="671BEA42" w14:textId="77777777" w:rsidR="00F73706" w:rsidRPr="004F0ECA" w:rsidRDefault="00F73706" w:rsidP="00F73706">
      <w:pPr>
        <w:pStyle w:val="BodyA"/>
        <w:spacing w:before="100" w:after="100"/>
        <w:jc w:val="center"/>
        <w:rPr>
          <w:rFonts w:ascii="Avenir Next" w:hAnsi="Avenir Next"/>
          <w:color w:val="auto"/>
          <w:sz w:val="20"/>
          <w:szCs w:val="18"/>
        </w:rPr>
      </w:pPr>
    </w:p>
    <w:p w14:paraId="34F6DE9D" w14:textId="77777777" w:rsidR="00F73706" w:rsidRPr="004F0ECA" w:rsidRDefault="00F73706" w:rsidP="00F73706">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7DC6F171" w14:textId="77777777" w:rsidR="00F73706" w:rsidRDefault="00F73706" w:rsidP="00F73706">
      <w:pPr>
        <w:pStyle w:val="BodyA"/>
        <w:spacing w:before="100" w:after="100"/>
        <w:jc w:val="both"/>
        <w:rPr>
          <w:rFonts w:ascii="Avenir Next" w:hAnsi="Avenir Next"/>
          <w:color w:val="auto"/>
          <w:sz w:val="24"/>
        </w:rPr>
      </w:pPr>
    </w:p>
    <w:p w14:paraId="54297608" w14:textId="77777777" w:rsidR="00F73706"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w:t>
      </w:r>
      <w:proofErr w:type="spellStart"/>
      <w:r w:rsidRPr="00B73B12">
        <w:rPr>
          <w:rFonts w:ascii="Avenir Next" w:hAnsi="Avenir Next"/>
          <w:color w:val="000000" w:themeColor="text1"/>
          <w:sz w:val="24"/>
        </w:rPr>
        <w:t>Siteminder</w:t>
      </w:r>
      <w:proofErr w:type="spellEnd"/>
      <w:r w:rsidRPr="00B73B12">
        <w:rPr>
          <w:rFonts w:ascii="Avenir Next" w:hAnsi="Avenir Next"/>
          <w:color w:val="000000" w:themeColor="text1"/>
          <w:sz w:val="24"/>
        </w:rPr>
        <w:t xml:space="preserve"> demostraban aumentos en el salario de los nuevos empleos superiores al 5% para dicha fecha, por lo que, durante al menos unos meses, los asalariados andaluces han podido mejorar su capacidad adquisitiva, aunque de momento dicha recuperación sea muy moderada.</w:t>
      </w:r>
    </w:p>
    <w:p w14:paraId="55A20605"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43CDC3FC"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47E4700A" w14:textId="77777777" w:rsidR="00F73706" w:rsidRPr="00B73B12" w:rsidRDefault="00F73706" w:rsidP="00F73706">
      <w:pPr>
        <w:pStyle w:val="BodyA"/>
        <w:spacing w:before="100" w:after="100"/>
        <w:jc w:val="both"/>
        <w:rPr>
          <w:rFonts w:ascii="Avenir Next" w:hAnsi="Avenir Next"/>
          <w:color w:val="auto"/>
          <w:sz w:val="24"/>
        </w:rPr>
      </w:pPr>
      <w:r w:rsidRPr="00B73B12">
        <w:rPr>
          <w:rFonts w:ascii="Avenir Next" w:hAnsi="Avenir Next"/>
          <w:color w:val="auto"/>
          <w:sz w:val="24"/>
        </w:rP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p>
    <w:p w14:paraId="21AB1324" w14:textId="77777777" w:rsidR="00F73706" w:rsidRPr="00B73B12" w:rsidRDefault="00F73706" w:rsidP="00F73706">
      <w:pPr>
        <w:pStyle w:val="BodyA"/>
        <w:spacing w:before="100" w:after="100"/>
        <w:jc w:val="both"/>
        <w:rPr>
          <w:rFonts w:ascii="Avenir Next" w:hAnsi="Avenir Next"/>
          <w:color w:val="auto"/>
          <w:sz w:val="24"/>
        </w:rPr>
      </w:pPr>
      <w:r w:rsidRPr="00B73B12">
        <w:rPr>
          <w:rFonts w:ascii="Avenir Next" w:hAnsi="Avenir Next"/>
          <w:color w:val="auto"/>
          <w:sz w:val="24"/>
        </w:rPr>
        <w:t xml:space="preserve">Según la Encuesta de Población Activa (EPA), en términos </w:t>
      </w:r>
      <w:proofErr w:type="spellStart"/>
      <w:r w:rsidRPr="00B73B12">
        <w:rPr>
          <w:rFonts w:ascii="Avenir Next" w:hAnsi="Avenir Next"/>
          <w:color w:val="auto"/>
          <w:sz w:val="24"/>
        </w:rPr>
        <w:t>intertrimestrales</w:t>
      </w:r>
      <w:proofErr w:type="spellEnd"/>
      <w:r w:rsidRPr="00B73B12">
        <w:rPr>
          <w:rFonts w:ascii="Avenir Next" w:hAnsi="Avenir Next"/>
          <w:color w:val="auto"/>
          <w:sz w:val="24"/>
        </w:rPr>
        <w:t>,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p>
    <w:p w14:paraId="3B0A07F2" w14:textId="77777777" w:rsidR="00F73706" w:rsidRPr="00B73B12" w:rsidRDefault="00F73706" w:rsidP="00F73706">
      <w:pPr>
        <w:pStyle w:val="BodyA"/>
        <w:spacing w:before="100" w:after="100"/>
        <w:jc w:val="both"/>
        <w:rPr>
          <w:rFonts w:ascii="Avenir Next" w:hAnsi="Avenir Next"/>
          <w:color w:val="auto"/>
          <w:sz w:val="24"/>
        </w:rPr>
      </w:pPr>
      <w:r w:rsidRPr="00B73B12">
        <w:rPr>
          <w:rFonts w:ascii="Avenir Next" w:hAnsi="Avenir Next"/>
          <w:color w:val="auto"/>
          <w:sz w:val="24"/>
        </w:rP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p>
    <w:p w14:paraId="0ADFADC7" w14:textId="77777777" w:rsidR="00F73706" w:rsidRDefault="00F73706" w:rsidP="00F73706">
      <w:pPr>
        <w:pStyle w:val="BodyA"/>
        <w:spacing w:before="100" w:after="100"/>
        <w:jc w:val="both"/>
        <w:rPr>
          <w:rFonts w:ascii="Avenir Next" w:hAnsi="Avenir Next"/>
          <w:color w:val="auto"/>
          <w:sz w:val="24"/>
        </w:rPr>
      </w:pPr>
      <w:r w:rsidRPr="00B73B12">
        <w:rPr>
          <w:rFonts w:ascii="Avenir Next" w:hAnsi="Avenir Next"/>
          <w:color w:val="auto"/>
          <w:sz w:val="24"/>
        </w:rP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p>
    <w:p w14:paraId="421A5D1F" w14:textId="77777777" w:rsidR="00F73706" w:rsidRPr="000C662E" w:rsidRDefault="00F73706" w:rsidP="00F73706">
      <w:pPr>
        <w:pStyle w:val="BodyA"/>
        <w:spacing w:before="100" w:after="100"/>
        <w:jc w:val="both"/>
        <w:rPr>
          <w:rFonts w:ascii="Avenir Next" w:hAnsi="Avenir Next"/>
          <w:color w:val="FF0000"/>
          <w:sz w:val="24"/>
        </w:rPr>
      </w:pPr>
    </w:p>
    <w:p w14:paraId="08734016" w14:textId="77777777" w:rsidR="00F73706" w:rsidRPr="005E3106" w:rsidRDefault="00F73706" w:rsidP="00F73706">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486E4CF4"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Durante el segundo trimestre de 2023, el factor principal que explicó la reducción del crecimiento en términos </w:t>
      </w:r>
      <w:proofErr w:type="spellStart"/>
      <w:r w:rsidRPr="00B73B12">
        <w:rPr>
          <w:rFonts w:ascii="Avenir Next" w:hAnsi="Avenir Next"/>
          <w:color w:val="000000" w:themeColor="text1"/>
          <w:sz w:val="24"/>
        </w:rPr>
        <w:t>intertrimestrales</w:t>
      </w:r>
      <w:proofErr w:type="spellEnd"/>
      <w:r w:rsidRPr="00B73B12">
        <w:rPr>
          <w:rFonts w:ascii="Avenir Next" w:hAnsi="Avenir Next"/>
          <w:color w:val="000000" w:themeColor="text1"/>
          <w:sz w:val="24"/>
        </w:rPr>
        <w:t xml:space="preserve"> fue el consumo de las familias, que, tras un primer trimestre con una importante aportación al crecimiento, en </w:t>
      </w:r>
      <w:r>
        <w:rPr>
          <w:rFonts w:ascii="Avenir Next" w:hAnsi="Avenir Next"/>
          <w:color w:val="000000" w:themeColor="text1"/>
          <w:sz w:val="24"/>
        </w:rPr>
        <w:t>el</w:t>
      </w:r>
      <w:r w:rsidRPr="00B73B12">
        <w:rPr>
          <w:rFonts w:ascii="Avenir Next" w:hAnsi="Avenir Next"/>
          <w:color w:val="000000" w:themeColor="text1"/>
          <w:sz w:val="24"/>
        </w:rPr>
        <w:t xml:space="preserve"> segund</w:t>
      </w:r>
      <w:r>
        <w:rPr>
          <w:rFonts w:ascii="Avenir Next" w:hAnsi="Avenir Next"/>
          <w:color w:val="000000" w:themeColor="text1"/>
          <w:sz w:val="24"/>
        </w:rPr>
        <w:t>o</w:t>
      </w:r>
      <w:r w:rsidRPr="00B73B12">
        <w:rPr>
          <w:rFonts w:ascii="Avenir Next" w:hAnsi="Avenir Next"/>
          <w:color w:val="000000" w:themeColor="text1"/>
          <w:sz w:val="24"/>
        </w:rPr>
        <w:t xml:space="preserve">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p>
    <w:p w14:paraId="4A8B18FD"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p>
    <w:p w14:paraId="554A6E69"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p>
    <w:p w14:paraId="237A9D72" w14:textId="77777777" w:rsidR="00F73706" w:rsidRPr="001900C5"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p>
    <w:p w14:paraId="31F6D616" w14:textId="77777777" w:rsidR="00F73706" w:rsidRPr="00712FCB" w:rsidRDefault="00F73706" w:rsidP="00F73706">
      <w:pPr>
        <w:pStyle w:val="BodyA"/>
        <w:spacing w:before="100" w:after="100"/>
        <w:jc w:val="both"/>
        <w:rPr>
          <w:rFonts w:ascii="Avenir Next Demi Bold" w:hAnsi="Avenir Next Demi Bold"/>
          <w:b/>
          <w:bCs/>
          <w:color w:val="000000" w:themeColor="text1"/>
          <w:sz w:val="28"/>
          <w:szCs w:val="28"/>
          <w:u w:color="022ED3"/>
        </w:rPr>
      </w:pPr>
    </w:p>
    <w:p w14:paraId="657FE241" w14:textId="77777777" w:rsidR="00F73706" w:rsidRPr="00712FCB" w:rsidRDefault="00F73706" w:rsidP="00F73706">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7617D6C3"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En cuanto a las aportaciones por el lado de la </w:t>
      </w:r>
      <w:r>
        <w:rPr>
          <w:rFonts w:ascii="Avenir Next" w:hAnsi="Avenir Next"/>
          <w:color w:val="000000" w:themeColor="text1"/>
          <w:sz w:val="24"/>
        </w:rPr>
        <w:t>oferta</w:t>
      </w:r>
      <w:r w:rsidRPr="00B73B12">
        <w:rPr>
          <w:rFonts w:ascii="Avenir Next" w:hAnsi="Avenir Next"/>
          <w:color w:val="000000" w:themeColor="text1"/>
          <w:sz w:val="24"/>
        </w:rPr>
        <w:t>,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p>
    <w:p w14:paraId="0B970069" w14:textId="77777777" w:rsidR="00F73706" w:rsidRPr="00B73B12"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w:t>
      </w:r>
      <w:r>
        <w:rPr>
          <w:rFonts w:ascii="Avenir Next" w:hAnsi="Avenir Next"/>
          <w:color w:val="000000" w:themeColor="text1"/>
          <w:sz w:val="24"/>
        </w:rPr>
        <w:t xml:space="preserve">son </w:t>
      </w:r>
      <w:r w:rsidRPr="00B73B12">
        <w:rPr>
          <w:rFonts w:ascii="Avenir Next" w:hAnsi="Avenir Next"/>
          <w:color w:val="000000" w:themeColor="text1"/>
          <w:sz w:val="24"/>
        </w:rPr>
        <w:t>las que mantienen un impulso destacado en el sector.  El efecto de las inversiones asociadas a los fondos europeos comienza a hacerse notar y, posiblemente, irá a más en los siguientes meses.</w:t>
      </w:r>
    </w:p>
    <w:p w14:paraId="3AF78281" w14:textId="77777777" w:rsidR="00F73706" w:rsidRDefault="00F73706" w:rsidP="00F73706">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p>
    <w:p w14:paraId="24C04593" w14:textId="24267DC7" w:rsidR="00EC2496" w:rsidRDefault="00EC2496" w:rsidP="00F73706">
      <w:pPr>
        <w:pStyle w:val="BodyA"/>
        <w:spacing w:before="100" w:after="100"/>
        <w:jc w:val="both"/>
      </w:pPr>
    </w:p>
    <w:p w14:paraId="1210434E"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93056" behindDoc="0" locked="0" layoutInCell="1" allowOverlap="1" wp14:anchorId="4CB9A26C" wp14:editId="0898F848">
                <wp:simplePos x="0" y="0"/>
                <wp:positionH relativeFrom="page">
                  <wp:posOffset>685800</wp:posOffset>
                </wp:positionH>
                <wp:positionV relativeFrom="page">
                  <wp:posOffset>838200</wp:posOffset>
                </wp:positionV>
                <wp:extent cx="6184900" cy="1638300"/>
                <wp:effectExtent l="0" t="0" r="0" b="0"/>
                <wp:wrapSquare wrapText="bothSides"/>
                <wp:docPr id="1462839066" name="Rectángulo 14628390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20EE0516"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6645DE67" w14:textId="77777777" w:rsidR="00F73706" w:rsidRPr="008506D8" w:rsidRDefault="00F73706" w:rsidP="00F73706">
                            <w:pPr>
                              <w:pStyle w:val="Ttulo"/>
                              <w:rPr>
                                <w:b/>
                              </w:rPr>
                            </w:pPr>
                            <w:r>
                              <w:rPr>
                                <w:rFonts w:ascii="Avenir Next Demi Bold" w:hAnsi="Avenir Next Demi Bold"/>
                                <w:b/>
                                <w:sz w:val="60"/>
                                <w:szCs w:val="60"/>
                                <w:lang w:val="es-ES_tradnl"/>
                              </w:rPr>
                              <w:t>TERCER TRIMESTRE</w:t>
                            </w:r>
                            <w:r w:rsidRPr="008506D8">
                              <w:rPr>
                                <w:rFonts w:ascii="Avenir Next Demi Bold" w:hAnsi="Avenir Next Demi Bold"/>
                                <w:b/>
                                <w:sz w:val="60"/>
                                <w:szCs w:val="60"/>
                              </w:rPr>
                              <w:t xml:space="preserv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2E3EC2C2" wp14:editId="38C253A9">
                                  <wp:extent cx="6002020" cy="27940"/>
                                  <wp:effectExtent l="0" t="0" r="0" b="0"/>
                                  <wp:docPr id="992964486" name="Imagen 99296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9A26C" id="Rectángulo 1462839066" o:spid="_x0000_s1032" style="position:absolute;left:0;text-align:left;margin-left:54pt;margin-top:66pt;width:487pt;height:129pt;z-index:2516930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IxE8/XkAQAAsgMAAA4AAAAAAAAAAAAAAAAALgIAAGRycy9lMm9Eb2MueG1sUEsB&#10;Ai0AFAAGAAgAAAAhABZGXIvfAAAADAEAAA8AAAAAAAAAAAAAAAAAPgQAAGRycy9kb3ducmV2Lnht&#10;bFBLBQYAAAAABAAEAPMAAABKBQAAAAA=&#10;" filled="f" stroked="f">
                <o:lock v:ext="edit" aspectratio="t"/>
                <v:textbox>
                  <w:txbxContent>
                    <w:p w14:paraId="20EE0516"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6645DE67" w14:textId="77777777" w:rsidR="00F73706" w:rsidRPr="008506D8" w:rsidRDefault="00F73706" w:rsidP="00F73706">
                      <w:pPr>
                        <w:pStyle w:val="Ttulo"/>
                        <w:rPr>
                          <w:b/>
                        </w:rPr>
                      </w:pPr>
                      <w:r>
                        <w:rPr>
                          <w:rFonts w:ascii="Avenir Next Demi Bold" w:hAnsi="Avenir Next Demi Bold"/>
                          <w:b/>
                          <w:sz w:val="60"/>
                          <w:szCs w:val="60"/>
                          <w:lang w:val="es-ES_tradnl"/>
                        </w:rPr>
                        <w:t>TERCER TRIMESTRE</w:t>
                      </w:r>
                      <w:r w:rsidRPr="008506D8">
                        <w:rPr>
                          <w:rFonts w:ascii="Avenir Next Demi Bold" w:hAnsi="Avenir Next Demi Bold"/>
                          <w:b/>
                          <w:sz w:val="60"/>
                          <w:szCs w:val="60"/>
                        </w:rPr>
                        <w:t xml:space="preserv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2E3EC2C2" wp14:editId="38C253A9">
                            <wp:extent cx="6002020" cy="27940"/>
                            <wp:effectExtent l="0" t="0" r="0" b="0"/>
                            <wp:docPr id="992964486" name="Imagen 99296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14F2B0B3"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p>
    <w:p w14:paraId="3D7180B2" w14:textId="77777777" w:rsidR="00F73706" w:rsidRPr="004C3CDC" w:rsidRDefault="00F73706" w:rsidP="00F73706">
      <w:pPr>
        <w:pStyle w:val="BodyA"/>
        <w:spacing w:before="100" w:after="100"/>
        <w:jc w:val="both"/>
        <w:rPr>
          <w:rFonts w:ascii="Avenir Next" w:hAnsi="Avenir Next"/>
          <w:color w:val="000000" w:themeColor="text1"/>
          <w:sz w:val="24"/>
        </w:rPr>
      </w:pPr>
      <w:r w:rsidRPr="004C3CDC">
        <w:rPr>
          <w:rFonts w:ascii="Avenir Next" w:hAnsi="Avenir Next"/>
          <w:color w:val="000000" w:themeColor="text1"/>
          <w:sz w:val="24"/>
        </w:rPr>
        <w:t xml:space="preserve">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w:t>
      </w:r>
      <w:proofErr w:type="gramStart"/>
      <w:r w:rsidRPr="004C3CDC">
        <w:rPr>
          <w:rFonts w:ascii="Avenir Next" w:hAnsi="Avenir Next"/>
          <w:color w:val="000000" w:themeColor="text1"/>
          <w:sz w:val="24"/>
        </w:rPr>
        <w:t>décimas inferior</w:t>
      </w:r>
      <w:proofErr w:type="gramEnd"/>
      <w:r w:rsidRPr="004C3CDC">
        <w:rPr>
          <w:rFonts w:ascii="Avenir Next" w:hAnsi="Avenir Next"/>
          <w:color w:val="000000" w:themeColor="text1"/>
          <w:sz w:val="24"/>
        </w:rPr>
        <w:t xml:space="preserve"> al del segundo trimestre de 2023 y una décima menor que la media española.</w:t>
      </w:r>
    </w:p>
    <w:p w14:paraId="4662F2F2"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p>
    <w:p w14:paraId="5D0F164A" w14:textId="77777777" w:rsidR="00F73706" w:rsidRPr="004C3CDC" w:rsidRDefault="00F73706" w:rsidP="00F73706">
      <w:pPr>
        <w:pStyle w:val="BodyA"/>
        <w:spacing w:before="100" w:after="100"/>
        <w:jc w:val="center"/>
        <w:rPr>
          <w:rFonts w:ascii="Avenir Next LT Pro" w:eastAsiaTheme="minorEastAsia" w:hAnsi="Avenir Next LT Pro" w:cs="Times New Roman"/>
          <w:sz w:val="24"/>
          <w:szCs w:val="24"/>
          <w:bdr w:val="none" w:sz="0" w:space="0" w:color="auto"/>
          <w:lang w:val="es-ES"/>
        </w:rPr>
      </w:pPr>
      <w:r w:rsidRPr="004C3CDC">
        <w:rPr>
          <w:rFonts w:ascii="Avenir Next LT Pro" w:hAnsi="Avenir Next LT Pro"/>
          <w:noProof/>
          <w:color w:val="000000" w:themeColor="text1"/>
          <w:sz w:val="24"/>
          <w:szCs w:val="24"/>
        </w:rPr>
        <w:drawing>
          <wp:inline distT="0" distB="0" distL="0" distR="0" wp14:anchorId="6F799CF9" wp14:editId="2787ECDA">
            <wp:extent cx="4933282" cy="4768766"/>
            <wp:effectExtent l="0" t="0" r="1270" b="0"/>
            <wp:docPr id="1987635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1875" cy="4777072"/>
                    </a:xfrm>
                    <a:prstGeom prst="rect">
                      <a:avLst/>
                    </a:prstGeom>
                    <a:noFill/>
                    <a:ln>
                      <a:noFill/>
                    </a:ln>
                  </pic:spPr>
                </pic:pic>
              </a:graphicData>
            </a:graphic>
          </wp:inline>
        </w:drawing>
      </w:r>
    </w:p>
    <w:p w14:paraId="26D6EFB3" w14:textId="77777777" w:rsidR="00F73706" w:rsidRPr="004C3CDC" w:rsidRDefault="00F73706" w:rsidP="00F73706">
      <w:pPr>
        <w:pStyle w:val="BodyA"/>
        <w:spacing w:before="100" w:after="100"/>
        <w:rPr>
          <w:rFonts w:ascii="Avenir Next LT Pro" w:eastAsiaTheme="minorEastAsia" w:hAnsi="Avenir Next LT Pro" w:cs="Times New Roman"/>
          <w:sz w:val="24"/>
          <w:szCs w:val="24"/>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Fuente: OEA</w:t>
      </w:r>
    </w:p>
    <w:p w14:paraId="1EB65F33" w14:textId="77777777" w:rsidR="00F73706" w:rsidRPr="004C3CDC" w:rsidRDefault="00F73706" w:rsidP="00F73706">
      <w:pPr>
        <w:pStyle w:val="BodyA"/>
        <w:spacing w:before="100" w:after="100"/>
        <w:rPr>
          <w:rFonts w:ascii="Avenir Next LT Pro" w:eastAsiaTheme="minorEastAsia" w:hAnsi="Avenir Next LT Pro" w:cs="Times New Roman"/>
          <w:sz w:val="24"/>
          <w:szCs w:val="24"/>
          <w:bdr w:val="none" w:sz="0" w:space="0" w:color="auto"/>
          <w:lang w:val="es-ES"/>
        </w:rPr>
      </w:pPr>
    </w:p>
    <w:p w14:paraId="556EF1B5"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p>
    <w:p w14:paraId="1C3B7FDA"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p>
    <w:p w14:paraId="31A49288" w14:textId="77777777" w:rsidR="00F73706" w:rsidRPr="004C3CDC" w:rsidRDefault="00F73706" w:rsidP="00F73706">
      <w:pPr>
        <w:pStyle w:val="BodyA"/>
        <w:spacing w:before="100" w:after="100"/>
        <w:jc w:val="both"/>
        <w:rPr>
          <w:rFonts w:ascii="Avenir Next" w:hAnsi="Avenir Next"/>
          <w:color w:val="000000" w:themeColor="text1"/>
          <w:sz w:val="24"/>
        </w:rPr>
      </w:pPr>
      <w:r w:rsidRPr="004C3CDC">
        <w:rPr>
          <w:rFonts w:ascii="Avenir Next" w:hAnsi="Avenir Next"/>
          <w:color w:val="000000" w:themeColor="text1"/>
          <w:sz w:val="24"/>
        </w:rPr>
        <w:t>Con esta estimación se confirma la evolución positiva de la actividad económica de Andalucía, aunque desace</w:t>
      </w:r>
      <w:r>
        <w:rPr>
          <w:rFonts w:ascii="Avenir Next" w:hAnsi="Avenir Next"/>
          <w:color w:val="000000" w:themeColor="text1"/>
          <w:sz w:val="24"/>
        </w:rPr>
        <w:t>le</w:t>
      </w:r>
      <w:r w:rsidRPr="004C3CDC">
        <w:rPr>
          <w:rFonts w:ascii="Avenir Next" w:hAnsi="Avenir Next"/>
          <w:color w:val="000000" w:themeColor="text1"/>
          <w:sz w:val="24"/>
        </w:rPr>
        <w:t>rándose respecto a trimestres anteriores.</w:t>
      </w:r>
    </w:p>
    <w:p w14:paraId="11963810" w14:textId="77777777" w:rsidR="00F73706" w:rsidRDefault="00F73706" w:rsidP="00F73706">
      <w:pPr>
        <w:pStyle w:val="BodyA"/>
        <w:spacing w:before="100" w:after="100"/>
        <w:jc w:val="both"/>
        <w:rPr>
          <w:rFonts w:ascii="Avenir Next" w:hAnsi="Avenir Next"/>
          <w:color w:val="auto"/>
          <w:sz w:val="24"/>
        </w:rPr>
      </w:pPr>
    </w:p>
    <w:p w14:paraId="4AF16A52"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2A88A195" w14:textId="77777777" w:rsidR="00F73706" w:rsidRPr="00F4709E"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w:t>
      </w:r>
      <w:r>
        <w:rPr>
          <w:rFonts w:ascii="Avenir Next" w:hAnsi="Avenir Next"/>
          <w:color w:val="000000" w:themeColor="text1"/>
          <w:sz w:val="24"/>
        </w:rPr>
        <w:t>, e</w:t>
      </w:r>
      <w:r w:rsidRPr="00F4709E">
        <w:rPr>
          <w:rFonts w:ascii="Avenir Next" w:hAnsi="Avenir Next"/>
          <w:color w:val="000000" w:themeColor="text1"/>
          <w:sz w:val="24"/>
        </w:rPr>
        <w:t>n particular, alimentos y energía.</w:t>
      </w:r>
    </w:p>
    <w:p w14:paraId="56ABAA25" w14:textId="77777777" w:rsidR="00F73706"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p>
    <w:p w14:paraId="12AB1F31"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49D854CC"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0B39E038" w14:textId="77777777" w:rsidR="00F73706" w:rsidRPr="00F4709E" w:rsidRDefault="00F73706" w:rsidP="00F73706">
      <w:pPr>
        <w:pStyle w:val="BodyA"/>
        <w:spacing w:before="100" w:after="100"/>
        <w:jc w:val="both"/>
        <w:rPr>
          <w:rFonts w:ascii="Avenir Next" w:hAnsi="Avenir Next"/>
          <w:color w:val="auto"/>
          <w:sz w:val="24"/>
        </w:rPr>
      </w:pPr>
      <w:r w:rsidRPr="00F4709E">
        <w:rPr>
          <w:rFonts w:ascii="Avenir Next" w:hAnsi="Avenir Next"/>
          <w:color w:val="auto"/>
          <w:sz w:val="24"/>
        </w:rPr>
        <w:t xml:space="preserve">A pesar del debilitamiento del crecimiento económico, el mercado laboral parece mantener cierta resistencia a la baja, aunque adaptándose a condiciones económicas menos favorables. Así lo muestra la ocupación en los meses de verano, con una tendencia claramente decreciente </w:t>
      </w:r>
      <w:proofErr w:type="gramStart"/>
      <w:r w:rsidRPr="00F4709E">
        <w:rPr>
          <w:rFonts w:ascii="Avenir Next" w:hAnsi="Avenir Next"/>
          <w:color w:val="auto"/>
          <w:sz w:val="24"/>
        </w:rPr>
        <w:t>en relación a</w:t>
      </w:r>
      <w:proofErr w:type="gramEnd"/>
      <w:r w:rsidRPr="00F4709E">
        <w:rPr>
          <w:rFonts w:ascii="Avenir Next" w:hAnsi="Avenir Next"/>
          <w:color w:val="auto"/>
          <w:sz w:val="24"/>
        </w:rPr>
        <w:t xml:space="preserve"> los trimestres anteriores.</w:t>
      </w:r>
    </w:p>
    <w:p w14:paraId="465B6A1C" w14:textId="77777777" w:rsidR="00F73706" w:rsidRPr="00F4709E" w:rsidRDefault="00F73706" w:rsidP="00F73706">
      <w:pPr>
        <w:pStyle w:val="BodyA"/>
        <w:spacing w:before="100" w:after="100"/>
        <w:jc w:val="both"/>
        <w:rPr>
          <w:rFonts w:ascii="Avenir Next" w:hAnsi="Avenir Next"/>
          <w:color w:val="auto"/>
          <w:sz w:val="24"/>
        </w:rPr>
      </w:pPr>
      <w:r w:rsidRPr="00F4709E">
        <w:rPr>
          <w:rFonts w:ascii="Avenir Next" w:hAnsi="Avenir Next"/>
          <w:color w:val="auto"/>
          <w:sz w:val="24"/>
        </w:rP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p>
    <w:p w14:paraId="3C027CA1" w14:textId="77777777" w:rsidR="00F73706" w:rsidRPr="00F4709E" w:rsidRDefault="00F73706" w:rsidP="00F73706">
      <w:pPr>
        <w:pStyle w:val="BodyA"/>
        <w:spacing w:before="100" w:after="100"/>
        <w:jc w:val="both"/>
        <w:rPr>
          <w:rFonts w:ascii="Avenir Next" w:hAnsi="Avenir Next"/>
          <w:color w:val="auto"/>
          <w:sz w:val="24"/>
        </w:rPr>
      </w:pPr>
      <w:r w:rsidRPr="00F4709E">
        <w:rPr>
          <w:rFonts w:ascii="Avenir Next" w:hAnsi="Avenir Next"/>
          <w:color w:val="auto"/>
          <w:sz w:val="24"/>
        </w:rP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p>
    <w:p w14:paraId="4673F8C4" w14:textId="77777777" w:rsidR="00F73706" w:rsidRPr="00F4709E" w:rsidRDefault="00F73706" w:rsidP="00F73706">
      <w:pPr>
        <w:pStyle w:val="BodyA"/>
        <w:spacing w:before="100" w:after="100"/>
        <w:jc w:val="both"/>
        <w:rPr>
          <w:rFonts w:ascii="Avenir Next" w:hAnsi="Avenir Next"/>
          <w:color w:val="auto"/>
          <w:sz w:val="24"/>
        </w:rPr>
      </w:pPr>
      <w:r w:rsidRPr="00F4709E">
        <w:rPr>
          <w:rFonts w:ascii="Avenir Next" w:hAnsi="Avenir Next"/>
          <w:color w:val="auto"/>
          <w:sz w:val="24"/>
        </w:rPr>
        <w:t xml:space="preserve">La divergencia entre el crecimiento en ocupación y actividad tuvo un impacto diferencial en el número de desempleados, aumentando estos tanto en comparación con el trimestre anterior como en comparación con el resto de España. La estabilización del crecimiento </w:t>
      </w:r>
      <w:proofErr w:type="spellStart"/>
      <w:r w:rsidRPr="00F4709E">
        <w:rPr>
          <w:rFonts w:ascii="Avenir Next" w:hAnsi="Avenir Next"/>
          <w:color w:val="auto"/>
          <w:sz w:val="24"/>
        </w:rPr>
        <w:t>intertrimestral</w:t>
      </w:r>
      <w:proofErr w:type="spellEnd"/>
      <w:r w:rsidRPr="00F4709E">
        <w:rPr>
          <w:rFonts w:ascii="Avenir Next" w:hAnsi="Avenir Next"/>
          <w:color w:val="auto"/>
          <w:sz w:val="24"/>
        </w:rPr>
        <w:t xml:space="preserve">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p>
    <w:p w14:paraId="6A1B4D98" w14:textId="77777777" w:rsidR="00F73706" w:rsidRDefault="00F73706" w:rsidP="00F73706">
      <w:pPr>
        <w:pStyle w:val="BodyA"/>
        <w:spacing w:before="100" w:after="100"/>
        <w:jc w:val="both"/>
        <w:rPr>
          <w:rFonts w:ascii="Avenir Next" w:hAnsi="Avenir Next"/>
          <w:color w:val="auto"/>
          <w:sz w:val="24"/>
        </w:rPr>
      </w:pPr>
      <w:r w:rsidRPr="00F4709E">
        <w:rPr>
          <w:rFonts w:ascii="Avenir Next" w:hAnsi="Avenir Next"/>
          <w:color w:val="auto"/>
          <w:sz w:val="24"/>
        </w:rPr>
        <w:t>Respecto a La afiliación, esta se elevó a 3.337.935, mostrando un aumento del 1,7% en comparación con septiembre de 2022, aunque ligeramente inferior al registrado a nivel nacional.</w:t>
      </w:r>
    </w:p>
    <w:p w14:paraId="347CAA9E" w14:textId="77777777" w:rsidR="00F73706" w:rsidRPr="000C662E" w:rsidRDefault="00F73706" w:rsidP="00F73706">
      <w:pPr>
        <w:pStyle w:val="BodyA"/>
        <w:spacing w:before="100" w:after="100"/>
        <w:jc w:val="both"/>
        <w:rPr>
          <w:rFonts w:ascii="Avenir Next" w:hAnsi="Avenir Next"/>
          <w:color w:val="FF0000"/>
          <w:sz w:val="24"/>
        </w:rPr>
      </w:pPr>
    </w:p>
    <w:p w14:paraId="2DAA468B" w14:textId="77777777" w:rsidR="00F73706" w:rsidRPr="005E3106" w:rsidRDefault="00F73706" w:rsidP="00F73706">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7860FF7C" w14:textId="77777777" w:rsidR="00F73706" w:rsidRPr="00F4709E"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p>
    <w:p w14:paraId="3C3632B4" w14:textId="77777777" w:rsidR="00F73706" w:rsidRPr="00F4709E"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p>
    <w:p w14:paraId="06440A92" w14:textId="77777777" w:rsidR="00F73706"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p>
    <w:p w14:paraId="7B563B15" w14:textId="77777777" w:rsidR="00F73706" w:rsidRDefault="00F73706" w:rsidP="00F73706">
      <w:pPr>
        <w:pStyle w:val="BodyA"/>
        <w:spacing w:before="100" w:after="100"/>
        <w:jc w:val="both"/>
        <w:rPr>
          <w:rFonts w:ascii="Avenir Next" w:hAnsi="Avenir Next"/>
          <w:color w:val="000000" w:themeColor="text1"/>
          <w:sz w:val="24"/>
        </w:rPr>
      </w:pPr>
    </w:p>
    <w:p w14:paraId="36258FBD" w14:textId="77777777" w:rsidR="00F73706" w:rsidRDefault="00F73706" w:rsidP="00F73706">
      <w:pPr>
        <w:pStyle w:val="BodyA"/>
        <w:spacing w:before="100" w:after="100"/>
        <w:jc w:val="both"/>
        <w:rPr>
          <w:rFonts w:ascii="Avenir Next" w:hAnsi="Avenir Next"/>
          <w:color w:val="000000" w:themeColor="text1"/>
          <w:sz w:val="24"/>
        </w:rPr>
      </w:pPr>
    </w:p>
    <w:p w14:paraId="5A0809EB" w14:textId="77777777" w:rsidR="00F73706" w:rsidRDefault="00F73706" w:rsidP="00F73706">
      <w:pPr>
        <w:pStyle w:val="BodyA"/>
        <w:spacing w:before="100" w:after="100"/>
        <w:jc w:val="both"/>
        <w:rPr>
          <w:rFonts w:ascii="Avenir Next" w:hAnsi="Avenir Next"/>
          <w:color w:val="000000" w:themeColor="text1"/>
          <w:sz w:val="24"/>
        </w:rPr>
      </w:pPr>
    </w:p>
    <w:p w14:paraId="0171686C" w14:textId="77777777" w:rsidR="00F73706" w:rsidRPr="00712FCB" w:rsidRDefault="00F73706" w:rsidP="00F73706">
      <w:pPr>
        <w:pStyle w:val="BodyA"/>
        <w:spacing w:before="100" w:after="100"/>
        <w:jc w:val="both"/>
        <w:rPr>
          <w:rFonts w:ascii="Avenir Next Demi Bold" w:hAnsi="Avenir Next Demi Bold"/>
          <w:b/>
          <w:bCs/>
          <w:color w:val="000000" w:themeColor="text1"/>
          <w:sz w:val="28"/>
          <w:szCs w:val="28"/>
          <w:u w:color="022ED3"/>
        </w:rPr>
      </w:pPr>
    </w:p>
    <w:p w14:paraId="76BFA7DC" w14:textId="77777777" w:rsidR="00F73706" w:rsidRPr="00712FCB" w:rsidRDefault="00F73706" w:rsidP="00F73706">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31979EB5" w14:textId="77777777" w:rsidR="00F73706" w:rsidRPr="00F4709E"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p>
    <w:p w14:paraId="20B04778" w14:textId="77777777" w:rsidR="00F73706" w:rsidRPr="00F4709E"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p>
    <w:p w14:paraId="25B28589" w14:textId="77777777" w:rsidR="00F73706" w:rsidRDefault="00F73706" w:rsidP="00F73706">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p>
    <w:p w14:paraId="062754AC" w14:textId="77777777" w:rsidR="00F73706" w:rsidRDefault="00F73706" w:rsidP="00F73706">
      <w:pPr>
        <w:pStyle w:val="BodyA"/>
        <w:spacing w:before="100" w:after="100"/>
        <w:jc w:val="both"/>
      </w:pPr>
    </w:p>
    <w:p w14:paraId="3437522B" w14:textId="77777777" w:rsidR="00F73706" w:rsidRPr="00343DE4" w:rsidRDefault="00F73706" w:rsidP="00F73706">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95104" behindDoc="0" locked="0" layoutInCell="1" allowOverlap="1" wp14:anchorId="6D4D1C1E" wp14:editId="423C98E5">
                <wp:simplePos x="0" y="0"/>
                <wp:positionH relativeFrom="page">
                  <wp:posOffset>685800</wp:posOffset>
                </wp:positionH>
                <wp:positionV relativeFrom="page">
                  <wp:posOffset>838200</wp:posOffset>
                </wp:positionV>
                <wp:extent cx="6184900" cy="1638300"/>
                <wp:effectExtent l="0" t="0" r="0" b="0"/>
                <wp:wrapSquare wrapText="bothSides"/>
                <wp:docPr id="1016493506" name="Rectángulo 10164935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2D539FBF"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7C243DDF" w14:textId="77777777" w:rsidR="00F73706" w:rsidRPr="008506D8" w:rsidRDefault="00F73706" w:rsidP="00F73706">
                            <w:pPr>
                              <w:pStyle w:val="Ttulo"/>
                              <w:rPr>
                                <w:b/>
                              </w:rPr>
                            </w:pPr>
                            <w:r>
                              <w:rPr>
                                <w:rFonts w:ascii="Avenir Next Demi Bold" w:hAnsi="Avenir Next Demi Bold"/>
                                <w:b/>
                                <w:sz w:val="60"/>
                                <w:szCs w:val="60"/>
                                <w:lang w:val="es-ES_tradnl"/>
                              </w:rPr>
                              <w:t>CUARTO TRIMESTRE</w:t>
                            </w:r>
                            <w:r w:rsidRPr="008506D8">
                              <w:rPr>
                                <w:rFonts w:ascii="Avenir Next Demi Bold" w:hAnsi="Avenir Next Demi Bold"/>
                                <w:b/>
                                <w:sz w:val="60"/>
                                <w:szCs w:val="60"/>
                              </w:rPr>
                              <w:t xml:space="preserv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1A11C203" wp14:editId="364C9D32">
                                  <wp:extent cx="6002020" cy="27940"/>
                                  <wp:effectExtent l="0" t="0" r="0" b="0"/>
                                  <wp:docPr id="1893017292" name="Imagen 189301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D1C1E" id="Rectángulo 1016493506" o:spid="_x0000_s1033" style="position:absolute;left:0;text-align:left;margin-left:54pt;margin-top:66pt;width:487pt;height:129pt;z-index:2516951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" filled="f" stroked="f">
                <o:lock v:ext="edit" aspectratio="t"/>
                <v:textbox>
                  <w:txbxContent>
                    <w:p w14:paraId="2D539FBF" w14:textId="77777777" w:rsidR="00F73706" w:rsidRPr="008506D8" w:rsidRDefault="00F73706" w:rsidP="00F73706">
                      <w:pPr>
                        <w:pStyle w:val="Ttulo"/>
                        <w:rPr>
                          <w:rFonts w:ascii="Avenir Next Demi Bold" w:eastAsia="Avenir Next Demi Bold" w:hAnsi="Avenir Next Demi Bold" w:cs="Avenir Next Demi Bold"/>
                          <w:b/>
                          <w:sz w:val="60"/>
                          <w:szCs w:val="60"/>
                        </w:rPr>
                      </w:pPr>
                      <w:r w:rsidRPr="008506D8">
                        <w:rPr>
                          <w:rFonts w:ascii="Avenir Next Demi Bold" w:hAnsi="Avenir Next Demi Bold"/>
                          <w:b/>
                          <w:sz w:val="60"/>
                          <w:szCs w:val="60"/>
                        </w:rPr>
                        <w:t>Economí</w:t>
                      </w:r>
                      <w:r w:rsidRPr="003E1E14">
                        <w:rPr>
                          <w:rFonts w:ascii="Avenir Next Demi Bold" w:hAnsi="Avenir Next Demi Bold"/>
                          <w:b/>
                          <w:sz w:val="60"/>
                          <w:szCs w:val="60"/>
                          <w:lang w:val="es-ES_tradnl"/>
                        </w:rPr>
                        <w:t xml:space="preserve">a andaluza </w:t>
                      </w:r>
                    </w:p>
                    <w:p w14:paraId="7C243DDF" w14:textId="77777777" w:rsidR="00F73706" w:rsidRPr="008506D8" w:rsidRDefault="00F73706" w:rsidP="00F73706">
                      <w:pPr>
                        <w:pStyle w:val="Ttulo"/>
                        <w:rPr>
                          <w:b/>
                        </w:rPr>
                      </w:pPr>
                      <w:r>
                        <w:rPr>
                          <w:rFonts w:ascii="Avenir Next Demi Bold" w:hAnsi="Avenir Next Demi Bold"/>
                          <w:b/>
                          <w:sz w:val="60"/>
                          <w:szCs w:val="60"/>
                          <w:lang w:val="es-ES_tradnl"/>
                        </w:rPr>
                        <w:t>CUARTO TRIMESTRE</w:t>
                      </w:r>
                      <w:r w:rsidRPr="008506D8">
                        <w:rPr>
                          <w:rFonts w:ascii="Avenir Next Demi Bold" w:hAnsi="Avenir Next Demi Bold"/>
                          <w:b/>
                          <w:sz w:val="60"/>
                          <w:szCs w:val="60"/>
                        </w:rPr>
                        <w:t xml:space="preserve"> de 202</w:t>
                      </w:r>
                      <w:r>
                        <w:rPr>
                          <w:rFonts w:ascii="Avenir Next Demi Bold" w:hAnsi="Avenir Next Demi Bold"/>
                          <w:b/>
                          <w:sz w:val="60"/>
                          <w:szCs w:val="60"/>
                        </w:rPr>
                        <w:t>3</w:t>
                      </w:r>
                      <w:r w:rsidRPr="00092AAD">
                        <w:rPr>
                          <w:rFonts w:ascii="Avenir Next Demi Bold" w:hAnsi="Avenir Next Demi Bold"/>
                          <w:b/>
                          <w:noProof/>
                          <w:sz w:val="60"/>
                          <w:szCs w:val="60"/>
                        </w:rPr>
                        <w:drawing>
                          <wp:inline distT="0" distB="0" distL="0" distR="0" wp14:anchorId="1A11C203" wp14:editId="364C9D32">
                            <wp:extent cx="6002020" cy="27940"/>
                            <wp:effectExtent l="0" t="0" r="0" b="0"/>
                            <wp:docPr id="1893017292" name="Imagen 189301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Pr="00C57043">
        <w:rPr>
          <w:rFonts w:ascii="Avenir Next Demi Bold" w:hAnsi="Avenir Next Demi Bold"/>
          <w:b/>
          <w:bCs/>
          <w:color w:val="022ED3"/>
          <w:sz w:val="28"/>
          <w:szCs w:val="28"/>
          <w:u w:color="022ED3"/>
        </w:rPr>
        <w:t>Estimación del crecimiento</w:t>
      </w:r>
    </w:p>
    <w:p w14:paraId="49580EA4" w14:textId="77777777" w:rsidR="00F73706" w:rsidRDefault="00F73706" w:rsidP="00F73706">
      <w:pPr>
        <w:pStyle w:val="s2"/>
        <w:spacing w:before="0" w:beforeAutospacing="0" w:after="0" w:afterAutospacing="0" w:line="324" w:lineRule="atLeast"/>
        <w:jc w:val="both"/>
        <w:rPr>
          <w:rFonts w:ascii="-webkit-standard" w:hAnsi="-webkit-standard"/>
          <w:color w:val="000000"/>
          <w:sz w:val="27"/>
          <w:szCs w:val="27"/>
        </w:rPr>
      </w:pPr>
    </w:p>
    <w:p w14:paraId="52368D4F"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r w:rsidRPr="00C36547">
        <w:rPr>
          <w:rFonts w:ascii="Avenir Next" w:hAnsi="Avenir Next"/>
          <w:color w:val="000000" w:themeColor="text1"/>
          <w:sz w:val="24"/>
        </w:rPr>
        <w:t xml:space="preserve">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w:t>
      </w:r>
      <w:proofErr w:type="gramStart"/>
      <w:r w:rsidRPr="00C36547">
        <w:rPr>
          <w:rFonts w:ascii="Avenir Next" w:hAnsi="Avenir Next"/>
          <w:color w:val="000000" w:themeColor="text1"/>
          <w:sz w:val="24"/>
        </w:rPr>
        <w:t>décimas superior</w:t>
      </w:r>
      <w:proofErr w:type="gramEnd"/>
      <w:r w:rsidRPr="00C36547">
        <w:rPr>
          <w:rFonts w:ascii="Avenir Next" w:hAnsi="Avenir Next"/>
          <w:color w:val="000000" w:themeColor="text1"/>
          <w:sz w:val="24"/>
        </w:rPr>
        <w:t xml:space="preserve"> al del tercer trimestre de 2023 y una décima menor que la media española.</w:t>
      </w:r>
    </w:p>
    <w:p w14:paraId="11D7E07A" w14:textId="77777777" w:rsidR="00F73706" w:rsidRPr="004C3CDC" w:rsidRDefault="00F73706" w:rsidP="00F73706">
      <w:pPr>
        <w:pStyle w:val="BodyA"/>
        <w:spacing w:before="100" w:after="100"/>
        <w:jc w:val="center"/>
        <w:rPr>
          <w:rFonts w:ascii="Avenir Next LT Pro" w:eastAsiaTheme="minorEastAsia" w:hAnsi="Avenir Next LT Pro" w:cs="Times New Roman"/>
          <w:sz w:val="24"/>
          <w:szCs w:val="24"/>
          <w:bdr w:val="none" w:sz="0" w:space="0" w:color="auto"/>
          <w:lang w:val="es-ES"/>
        </w:rPr>
      </w:pPr>
      <w:r>
        <w:rPr>
          <w:rFonts w:ascii="Avenir Next LT Pro" w:eastAsiaTheme="minorEastAsia" w:hAnsi="Avenir Next LT Pro" w:cs="Times New Roman"/>
          <w:noProof/>
          <w:sz w:val="24"/>
          <w:szCs w:val="24"/>
          <w:bdr w:val="none" w:sz="0" w:space="0" w:color="auto"/>
          <w:lang w:val="es-ES"/>
        </w:rPr>
        <w:drawing>
          <wp:inline distT="0" distB="0" distL="0" distR="0" wp14:anchorId="29C2558C" wp14:editId="1F5892DC">
            <wp:extent cx="5401310" cy="4822190"/>
            <wp:effectExtent l="0" t="0" r="8890" b="0"/>
            <wp:docPr id="207543328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3284" name="Imagen 1"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4822190"/>
                    </a:xfrm>
                    <a:prstGeom prst="rect">
                      <a:avLst/>
                    </a:prstGeom>
                    <a:noFill/>
                  </pic:spPr>
                </pic:pic>
              </a:graphicData>
            </a:graphic>
          </wp:inline>
        </w:drawing>
      </w:r>
    </w:p>
    <w:p w14:paraId="21CB5475" w14:textId="77777777" w:rsidR="00F73706" w:rsidRPr="004C3CDC" w:rsidRDefault="00F73706" w:rsidP="00F73706">
      <w:pPr>
        <w:pStyle w:val="BodyA"/>
        <w:spacing w:before="100" w:after="100"/>
        <w:rPr>
          <w:rFonts w:ascii="Avenir Next LT Pro" w:eastAsiaTheme="minorEastAsia" w:hAnsi="Avenir Next LT Pro" w:cs="Times New Roman"/>
          <w:sz w:val="24"/>
          <w:szCs w:val="24"/>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Fuente: OEA</w:t>
      </w:r>
    </w:p>
    <w:p w14:paraId="1073BF75" w14:textId="77777777" w:rsidR="00F73706" w:rsidRPr="004C3CDC" w:rsidRDefault="00F73706" w:rsidP="00F73706">
      <w:pPr>
        <w:pStyle w:val="BodyA"/>
        <w:spacing w:before="100" w:after="100"/>
        <w:rPr>
          <w:rFonts w:ascii="Avenir Next LT Pro" w:eastAsiaTheme="minorEastAsia" w:hAnsi="Avenir Next LT Pro" w:cs="Times New Roman"/>
          <w:sz w:val="24"/>
          <w:szCs w:val="24"/>
          <w:bdr w:val="none" w:sz="0" w:space="0" w:color="auto"/>
          <w:lang w:val="es-ES"/>
        </w:rPr>
      </w:pPr>
    </w:p>
    <w:p w14:paraId="4384B2C3"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p>
    <w:p w14:paraId="54CAB2B6" w14:textId="77777777" w:rsidR="00F73706" w:rsidRPr="004C3CDC" w:rsidRDefault="00F73706" w:rsidP="00F73706">
      <w:pPr>
        <w:pStyle w:val="BodyA"/>
        <w:spacing w:before="100" w:after="100"/>
        <w:jc w:val="both"/>
        <w:rPr>
          <w:rFonts w:ascii="Avenir Next LT Pro" w:eastAsiaTheme="minorEastAsia" w:hAnsi="Avenir Next LT Pro" w:cs="Times New Roman"/>
          <w:sz w:val="24"/>
          <w:szCs w:val="24"/>
          <w:bdr w:val="none" w:sz="0" w:space="0" w:color="auto"/>
          <w:lang w:val="es-ES"/>
        </w:rPr>
      </w:pPr>
    </w:p>
    <w:p w14:paraId="7F36E214" w14:textId="77777777" w:rsidR="00F73706"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p>
    <w:p w14:paraId="778C2408" w14:textId="77777777" w:rsidR="00F73706" w:rsidRDefault="00F73706" w:rsidP="00F73706">
      <w:pPr>
        <w:pStyle w:val="BodyA"/>
        <w:spacing w:before="100" w:after="100"/>
        <w:jc w:val="both"/>
        <w:rPr>
          <w:rFonts w:ascii="Avenir Next" w:hAnsi="Avenir Next"/>
          <w:color w:val="auto"/>
          <w:sz w:val="24"/>
        </w:rPr>
      </w:pPr>
    </w:p>
    <w:p w14:paraId="564F3008" w14:textId="77777777" w:rsidR="00F73706" w:rsidRPr="003C3F36" w:rsidRDefault="00F73706" w:rsidP="00F73706">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36F276C0"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p>
    <w:p w14:paraId="0EC28768"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p>
    <w:p w14:paraId="57D16A96" w14:textId="77777777" w:rsidR="00F73706"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p>
    <w:p w14:paraId="17F2D31D"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p>
    <w:p w14:paraId="5999B21C" w14:textId="77777777" w:rsidR="00F73706" w:rsidRDefault="00F73706" w:rsidP="00F73706">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7852CD4F" w14:textId="77777777" w:rsidR="00F73706" w:rsidRPr="00C36547" w:rsidRDefault="00F73706" w:rsidP="00F73706">
      <w:pPr>
        <w:pStyle w:val="BodyA"/>
        <w:spacing w:before="100" w:after="100"/>
        <w:jc w:val="both"/>
        <w:rPr>
          <w:rFonts w:ascii="Avenir Next" w:hAnsi="Avenir Next"/>
          <w:color w:val="auto"/>
          <w:sz w:val="24"/>
        </w:rPr>
      </w:pPr>
      <w:r w:rsidRPr="00C36547">
        <w:rPr>
          <w:rFonts w:ascii="Avenir Next" w:hAnsi="Avenir Next"/>
          <w:color w:val="auto"/>
          <w:sz w:val="24"/>
        </w:rPr>
        <w:t>El mercado laboral culmina el año 2023 con indicadores positivos, en consonancia con la situación en el conjunto de España. Durante el último trimestre, la ocupación experimenta un aumento interanual del 4,0</w:t>
      </w:r>
      <w:proofErr w:type="gramStart"/>
      <w:r w:rsidRPr="00C36547">
        <w:rPr>
          <w:rFonts w:ascii="Avenir Next" w:hAnsi="Avenir Next"/>
          <w:color w:val="auto"/>
          <w:sz w:val="24"/>
        </w:rPr>
        <w:t>%,  alcanzando</w:t>
      </w:r>
      <w:proofErr w:type="gramEnd"/>
      <w:r w:rsidRPr="00C36547">
        <w:rPr>
          <w:rFonts w:ascii="Avenir Next" w:hAnsi="Avenir Next"/>
          <w:color w:val="auto"/>
          <w:sz w:val="24"/>
        </w:rPr>
        <w:t xml:space="preserve">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p>
    <w:p w14:paraId="1B9B5A8B" w14:textId="77777777" w:rsidR="00F73706" w:rsidRPr="00C36547" w:rsidRDefault="00F73706" w:rsidP="00F73706">
      <w:pPr>
        <w:pStyle w:val="BodyA"/>
        <w:spacing w:before="100" w:after="100"/>
        <w:jc w:val="both"/>
        <w:rPr>
          <w:rFonts w:ascii="Avenir Next" w:hAnsi="Avenir Next"/>
          <w:color w:val="auto"/>
          <w:sz w:val="24"/>
        </w:rPr>
      </w:pPr>
      <w:r w:rsidRPr="00C36547">
        <w:rPr>
          <w:rFonts w:ascii="Avenir Next" w:hAnsi="Avenir Next"/>
          <w:color w:val="auto"/>
          <w:sz w:val="24"/>
        </w:rP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p>
    <w:p w14:paraId="31ED504D" w14:textId="77777777" w:rsidR="00F73706" w:rsidRDefault="00F73706" w:rsidP="00F73706">
      <w:pPr>
        <w:pStyle w:val="BodyA"/>
        <w:spacing w:before="100" w:after="100"/>
        <w:jc w:val="both"/>
        <w:rPr>
          <w:rFonts w:ascii="Avenir Next" w:hAnsi="Avenir Next"/>
          <w:color w:val="auto"/>
          <w:sz w:val="24"/>
        </w:rPr>
      </w:pPr>
      <w:r w:rsidRPr="00C36547">
        <w:rPr>
          <w:rFonts w:ascii="Avenir Next" w:hAnsi="Avenir Next"/>
          <w:color w:val="auto"/>
          <w:sz w:val="24"/>
        </w:rP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p>
    <w:p w14:paraId="782E7096" w14:textId="77777777" w:rsidR="00F73706" w:rsidRPr="000C662E" w:rsidRDefault="00F73706" w:rsidP="00F73706">
      <w:pPr>
        <w:pStyle w:val="BodyA"/>
        <w:spacing w:before="100" w:after="100"/>
        <w:jc w:val="both"/>
        <w:rPr>
          <w:rFonts w:ascii="Avenir Next" w:hAnsi="Avenir Next"/>
          <w:color w:val="FF0000"/>
          <w:sz w:val="24"/>
        </w:rPr>
      </w:pPr>
    </w:p>
    <w:p w14:paraId="28A229CC" w14:textId="77777777" w:rsidR="00F73706" w:rsidRPr="005E3106" w:rsidRDefault="00F73706" w:rsidP="00F73706">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702A41F6"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p>
    <w:p w14:paraId="203165D1"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p>
    <w:p w14:paraId="221BC8B0"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p>
    <w:p w14:paraId="1EEEBF89"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p>
    <w:p w14:paraId="4836BC11" w14:textId="77777777" w:rsidR="00F73706"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p>
    <w:p w14:paraId="76D9B515" w14:textId="77777777" w:rsidR="00F73706" w:rsidRPr="00712FCB" w:rsidRDefault="00F73706" w:rsidP="00F73706">
      <w:pPr>
        <w:pStyle w:val="BodyA"/>
        <w:spacing w:before="100" w:after="100"/>
        <w:jc w:val="both"/>
        <w:rPr>
          <w:rFonts w:ascii="Avenir Next Demi Bold" w:hAnsi="Avenir Next Demi Bold"/>
          <w:b/>
          <w:bCs/>
          <w:color w:val="000000" w:themeColor="text1"/>
          <w:sz w:val="28"/>
          <w:szCs w:val="28"/>
          <w:u w:color="022ED3"/>
        </w:rPr>
      </w:pPr>
    </w:p>
    <w:p w14:paraId="1904EFD3" w14:textId="77777777" w:rsidR="00F73706" w:rsidRPr="00712FCB" w:rsidRDefault="00F73706" w:rsidP="00F73706">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6D713B9B"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p>
    <w:p w14:paraId="2C088DDD"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p>
    <w:p w14:paraId="5F372822" w14:textId="77777777" w:rsidR="00F73706" w:rsidRPr="00C36547"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p>
    <w:p w14:paraId="620B79D0" w14:textId="77777777" w:rsidR="00F73706" w:rsidRDefault="00F73706" w:rsidP="00F73706">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 xml:space="preserve">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w:t>
      </w:r>
      <w:proofErr w:type="spellStart"/>
      <w:r w:rsidRPr="00C36547">
        <w:rPr>
          <w:rFonts w:ascii="Avenir Next" w:hAnsi="Avenir Next"/>
          <w:color w:val="000000" w:themeColor="text1"/>
          <w:sz w:val="24"/>
        </w:rPr>
        <w:t>electrointensivas</w:t>
      </w:r>
      <w:proofErr w:type="spellEnd"/>
      <w:r w:rsidRPr="00C36547">
        <w:rPr>
          <w:rFonts w:ascii="Avenir Next" w:hAnsi="Avenir Next"/>
          <w:color w:val="000000" w:themeColor="text1"/>
          <w:sz w:val="24"/>
        </w:rPr>
        <w:t xml:space="preserve"> enfrentando desafíos, especialmente en países como Alemania y, en menor medida, China, contribuyen a una industria española y andaluza que lucha por recuperarse, sin lograrlo plenamente.</w:t>
      </w:r>
    </w:p>
    <w:p w14:paraId="1ECDE75A" w14:textId="77777777" w:rsidR="00F73706" w:rsidRDefault="00F73706" w:rsidP="00F73706">
      <w:pPr>
        <w:pStyle w:val="BodyA"/>
        <w:spacing w:before="100" w:after="100"/>
        <w:jc w:val="both"/>
      </w:pPr>
    </w:p>
    <w:sectPr w:rsidR="00F73706" w:rsidSect="000907A9">
      <w:headerReference w:type="default" r:id="rId14"/>
      <w:footerReference w:type="default" r:id="rId15"/>
      <w:pgSz w:w="11906" w:h="16838"/>
      <w:pgMar w:top="1417" w:right="1701" w:bottom="1417" w:left="1701" w:header="708" w:footer="708" w:gutter="0"/>
      <w:cols w:space="708"/>
      <w:docGrid w:linePitch="360"/>
      <w:sectPrChange w:id="3" w:author="Manuel Alejandro Hidalgo Perez" w:date="2024-05-07T13:13:00Z" w16du:dateUtc="2024-05-07T11:13:00Z">
        <w:sectPr w:rsidR="00F73706" w:rsidSect="000907A9">
          <w:pgSz w:w="11900" w:h="16840"/>
          <w:pgMar w:top="1080" w:right="1080" w:bottom="720" w:left="1080" w:header="216" w:footer="360" w:gutter="0"/>
          <w:cols w:space="720"/>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venir Next Medium">
    <w:altName w:val="Times New Roman"/>
    <w:charset w:val="00"/>
    <w:family w:val="swiss"/>
    <w:pitch w:val="variable"/>
    <w:sig w:usb0="8000002F" w:usb1="5000204A" w:usb2="00000000" w:usb3="00000000" w:csb0="0000009B" w:csb1="00000000"/>
  </w:font>
  <w:font w:name="Hoefler Text">
    <w:altName w:val="Times New Roman"/>
    <w:charset w:val="4D"/>
    <w:family w:val="roman"/>
    <w:pitch w:val="variable"/>
    <w:sig w:usb0="800002FF" w:usb1="5000204B" w:usb2="00000004" w:usb3="00000000" w:csb0="00000197" w:csb1="00000000"/>
  </w:font>
  <w:font w:name="Avenir Next Demi Bold">
    <w:altName w:val="Times New Roman"/>
    <w:charset w:val="00"/>
    <w:family w:val="swiss"/>
    <w:pitch w:val="variable"/>
    <w:sig w:usb0="8000002F" w:usb1="5000204A" w:usb2="00000000" w:usb3="00000000" w:csb0="0000009B" w:csb1="00000000"/>
  </w:font>
  <w:font w:name="Avenir Next">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6823A" w14:textId="77777777" w:rsidR="00000000" w:rsidRDefault="00000000">
    <w:pPr>
      <w:pStyle w:val="HeaderFooterA"/>
      <w:tabs>
        <w:tab w:val="clear" w:pos="9020"/>
        <w:tab w:val="center" w:pos="4750"/>
        <w:tab w:val="right" w:pos="9240"/>
      </w:tabs>
      <w:rPr>
        <w:rFonts w:hint="eastAsia"/>
      </w:rPr>
    </w:pPr>
    <w:r>
      <w:tab/>
    </w:r>
    <w:r>
      <w:tab/>
    </w:r>
    <w:r>
      <w:fldChar w:fldCharType="begin"/>
    </w:r>
    <w:r>
      <w:instrText xml:space="preserve"> PAGE </w:instrText>
    </w:r>
    <w:r>
      <w:fldChar w:fldCharType="separate"/>
    </w:r>
    <w:r>
      <w:rPr>
        <w:noProof/>
      </w:rPr>
      <w:t>4</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88C9" w14:textId="77777777" w:rsidR="00000000" w:rsidRDefault="00000000" w:rsidP="002B0D10">
    <w:pPr>
      <w:pStyle w:val="HeaderFooterA"/>
      <w:tabs>
        <w:tab w:val="clear" w:pos="9020"/>
        <w:tab w:val="center" w:pos="4750"/>
        <w:tab w:val="right" w:pos="9240"/>
      </w:tabs>
      <w:jc w:val="center"/>
      <w:rPr>
        <w:rFonts w:hint="eastAsia"/>
      </w:rPr>
    </w:pPr>
    <w:r>
      <w:rPr>
        <w:color w:val="0026B4"/>
        <w:u w:color="0026B4"/>
      </w:rPr>
      <w:t xml:space="preserve">Observatorio </w:t>
    </w:r>
    <w:r>
      <w:rPr>
        <w:color w:val="0026B4"/>
        <w:u w:color="0026B4"/>
      </w:rPr>
      <w:t>Económico de Andalucía</w:t>
    </w:r>
    <w:r>
      <w:rPr>
        <w:color w:val="0026B4"/>
        <w:u w:color="0026B4"/>
      </w:rPr>
      <w:tab/>
    </w:r>
    <w:r>
      <w:rPr>
        <w:color w:val="0026B4"/>
        <w:u w:color="0026B4"/>
      </w:rPr>
      <w:tab/>
      <w:t>18 de mayo de 2022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Alejandro Hidalgo Perez">
    <w15:presenceInfo w15:providerId="AD" w15:userId="S::mhidper@upo.es::7ccfb77d-6dfc-41ad-b1c2-48967615c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06"/>
    <w:rsid w:val="000907A9"/>
    <w:rsid w:val="003E7540"/>
    <w:rsid w:val="00A713E8"/>
    <w:rsid w:val="00AD43F2"/>
    <w:rsid w:val="00B07B40"/>
    <w:rsid w:val="00E844C7"/>
    <w:rsid w:val="00EC2496"/>
    <w:rsid w:val="00F737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93B3"/>
  <w15:chartTrackingRefBased/>
  <w15:docId w15:val="{E38B590F-17B7-4A99-8B84-72A547DD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3706"/>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Ttulo1">
    <w:name w:val="heading 1"/>
    <w:basedOn w:val="Normal"/>
    <w:next w:val="Normal"/>
    <w:link w:val="Ttulo1Car"/>
    <w:uiPriority w:val="9"/>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line="259" w:lineRule="auto"/>
      <w:outlineLvl w:val="0"/>
    </w:pPr>
    <w:rPr>
      <w:rFonts w:asciiTheme="majorHAnsi" w:eastAsiaTheme="majorEastAsia" w:hAnsiTheme="majorHAnsi" w:cstheme="majorBidi"/>
      <w:color w:val="0F4761" w:themeColor="accent1" w:themeShade="BF"/>
      <w:kern w:val="2"/>
      <w:sz w:val="40"/>
      <w:szCs w:val="40"/>
      <w:bdr w:val="none" w:sz="0" w:space="0" w:color="auto"/>
      <w:lang w:val="es-ES"/>
      <w14:ligatures w14:val="standardContextual"/>
    </w:rPr>
  </w:style>
  <w:style w:type="paragraph" w:styleId="Ttulo2">
    <w:name w:val="heading 2"/>
    <w:basedOn w:val="Normal"/>
    <w:next w:val="Normal"/>
    <w:link w:val="Ttulo2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59" w:lineRule="auto"/>
      <w:outlineLvl w:val="1"/>
    </w:pPr>
    <w:rPr>
      <w:rFonts w:asciiTheme="majorHAnsi" w:eastAsiaTheme="majorEastAsia" w:hAnsiTheme="majorHAnsi" w:cstheme="majorBidi"/>
      <w:color w:val="0F4761" w:themeColor="accent1" w:themeShade="BF"/>
      <w:kern w:val="2"/>
      <w:sz w:val="32"/>
      <w:szCs w:val="32"/>
      <w:bdr w:val="none" w:sz="0" w:space="0" w:color="auto"/>
      <w:lang w:val="es-ES"/>
      <w14:ligatures w14:val="standardContextual"/>
    </w:rPr>
  </w:style>
  <w:style w:type="paragraph" w:styleId="Ttulo3">
    <w:name w:val="heading 3"/>
    <w:basedOn w:val="Normal"/>
    <w:next w:val="Normal"/>
    <w:link w:val="Ttulo3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59" w:lineRule="auto"/>
      <w:outlineLvl w:val="2"/>
    </w:pPr>
    <w:rPr>
      <w:rFonts w:asciiTheme="minorHAnsi" w:eastAsiaTheme="majorEastAsia" w:hAnsiTheme="minorHAnsi" w:cstheme="majorBidi"/>
      <w:color w:val="0F4761" w:themeColor="accent1" w:themeShade="BF"/>
      <w:kern w:val="2"/>
      <w:sz w:val="28"/>
      <w:szCs w:val="28"/>
      <w:bdr w:val="none" w:sz="0" w:space="0" w:color="auto"/>
      <w:lang w:val="es-ES"/>
      <w14:ligatures w14:val="standardContextual"/>
    </w:rPr>
  </w:style>
  <w:style w:type="paragraph" w:styleId="Ttulo4">
    <w:name w:val="heading 4"/>
    <w:basedOn w:val="Normal"/>
    <w:next w:val="Normal"/>
    <w:link w:val="Ttulo4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59" w:lineRule="auto"/>
      <w:outlineLvl w:val="3"/>
    </w:pPr>
    <w:rPr>
      <w:rFonts w:asciiTheme="minorHAnsi" w:eastAsiaTheme="majorEastAsia" w:hAnsiTheme="minorHAnsi" w:cstheme="majorBidi"/>
      <w:i/>
      <w:iCs/>
      <w:color w:val="0F4761" w:themeColor="accent1" w:themeShade="BF"/>
      <w:kern w:val="2"/>
      <w:sz w:val="22"/>
      <w:szCs w:val="22"/>
      <w:bdr w:val="none" w:sz="0" w:space="0" w:color="auto"/>
      <w:lang w:val="es-ES"/>
      <w14:ligatures w14:val="standardContextual"/>
    </w:rPr>
  </w:style>
  <w:style w:type="paragraph" w:styleId="Ttulo5">
    <w:name w:val="heading 5"/>
    <w:basedOn w:val="Normal"/>
    <w:next w:val="Normal"/>
    <w:link w:val="Ttulo5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59" w:lineRule="auto"/>
      <w:outlineLvl w:val="4"/>
    </w:pPr>
    <w:rPr>
      <w:rFonts w:asciiTheme="minorHAnsi" w:eastAsiaTheme="majorEastAsia" w:hAnsiTheme="minorHAnsi" w:cstheme="majorBidi"/>
      <w:color w:val="0F4761" w:themeColor="accent1" w:themeShade="BF"/>
      <w:kern w:val="2"/>
      <w:sz w:val="22"/>
      <w:szCs w:val="22"/>
      <w:bdr w:val="none" w:sz="0" w:space="0" w:color="auto"/>
      <w:lang w:val="es-ES"/>
      <w14:ligatures w14:val="standardContextual"/>
    </w:rPr>
  </w:style>
  <w:style w:type="paragraph" w:styleId="Ttulo6">
    <w:name w:val="heading 6"/>
    <w:basedOn w:val="Normal"/>
    <w:next w:val="Normal"/>
    <w:link w:val="Ttulo6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5"/>
    </w:pPr>
    <w:rPr>
      <w:rFonts w:asciiTheme="minorHAnsi" w:eastAsiaTheme="majorEastAsia" w:hAnsiTheme="minorHAnsi" w:cstheme="majorBidi"/>
      <w:i/>
      <w:iCs/>
      <w:color w:val="595959" w:themeColor="text1" w:themeTint="A6"/>
      <w:kern w:val="2"/>
      <w:sz w:val="22"/>
      <w:szCs w:val="22"/>
      <w:bdr w:val="none" w:sz="0" w:space="0" w:color="auto"/>
      <w:lang w:val="es-ES"/>
      <w14:ligatures w14:val="standardContextual"/>
    </w:rPr>
  </w:style>
  <w:style w:type="paragraph" w:styleId="Ttulo7">
    <w:name w:val="heading 7"/>
    <w:basedOn w:val="Normal"/>
    <w:next w:val="Normal"/>
    <w:link w:val="Ttulo7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6"/>
    </w:pPr>
    <w:rPr>
      <w:rFonts w:asciiTheme="minorHAnsi" w:eastAsiaTheme="majorEastAsia" w:hAnsiTheme="minorHAnsi" w:cstheme="majorBidi"/>
      <w:color w:val="595959" w:themeColor="text1" w:themeTint="A6"/>
      <w:kern w:val="2"/>
      <w:sz w:val="22"/>
      <w:szCs w:val="22"/>
      <w:bdr w:val="none" w:sz="0" w:space="0" w:color="auto"/>
      <w:lang w:val="es-ES"/>
      <w14:ligatures w14:val="standardContextual"/>
    </w:rPr>
  </w:style>
  <w:style w:type="paragraph" w:styleId="Ttulo8">
    <w:name w:val="heading 8"/>
    <w:basedOn w:val="Normal"/>
    <w:next w:val="Normal"/>
    <w:link w:val="Ttulo8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7"/>
    </w:pPr>
    <w:rPr>
      <w:rFonts w:asciiTheme="minorHAnsi" w:eastAsiaTheme="majorEastAsia" w:hAnsiTheme="minorHAnsi" w:cstheme="majorBidi"/>
      <w:i/>
      <w:iCs/>
      <w:color w:val="272727" w:themeColor="text1" w:themeTint="D8"/>
      <w:kern w:val="2"/>
      <w:sz w:val="22"/>
      <w:szCs w:val="22"/>
      <w:bdr w:val="none" w:sz="0" w:space="0" w:color="auto"/>
      <w:lang w:val="es-ES"/>
      <w14:ligatures w14:val="standardContextual"/>
    </w:rPr>
  </w:style>
  <w:style w:type="paragraph" w:styleId="Ttulo9">
    <w:name w:val="heading 9"/>
    <w:basedOn w:val="Normal"/>
    <w:next w:val="Normal"/>
    <w:link w:val="Ttulo9Car"/>
    <w:uiPriority w:val="9"/>
    <w:semiHidden/>
    <w:unhideWhenUsed/>
    <w:qFormat/>
    <w:rsid w:val="00F7370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8"/>
    </w:pPr>
    <w:rPr>
      <w:rFonts w:asciiTheme="minorHAnsi" w:eastAsiaTheme="majorEastAsia" w:hAnsiTheme="minorHAnsi" w:cstheme="majorBidi"/>
      <w:color w:val="272727" w:themeColor="text1" w:themeTint="D8"/>
      <w:kern w:val="2"/>
      <w:sz w:val="22"/>
      <w:szCs w:val="22"/>
      <w:bdr w:val="none" w:sz="0" w:space="0" w:color="auto"/>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3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3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706"/>
    <w:rPr>
      <w:rFonts w:eastAsiaTheme="majorEastAsia" w:cstheme="majorBidi"/>
      <w:color w:val="272727" w:themeColor="text1" w:themeTint="D8"/>
    </w:rPr>
  </w:style>
  <w:style w:type="paragraph" w:styleId="Ttulo">
    <w:name w:val="Title"/>
    <w:basedOn w:val="Normal"/>
    <w:next w:val="Normal"/>
    <w:link w:val="TtuloCar"/>
    <w:qFormat/>
    <w:rsid w:val="00F73706"/>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lang w:val="es-ES"/>
      <w14:ligatures w14:val="standardContextual"/>
    </w:rPr>
  </w:style>
  <w:style w:type="character" w:customStyle="1" w:styleId="TtuloCar">
    <w:name w:val="Título Car"/>
    <w:basedOn w:val="Fuentedeprrafopredeter"/>
    <w:link w:val="Ttulo"/>
    <w:rsid w:val="00F73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706"/>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asciiTheme="minorHAnsi" w:eastAsiaTheme="majorEastAsia" w:hAnsiTheme="minorHAnsi" w:cstheme="majorBidi"/>
      <w:color w:val="595959" w:themeColor="text1" w:themeTint="A6"/>
      <w:spacing w:val="15"/>
      <w:kern w:val="2"/>
      <w:sz w:val="28"/>
      <w:szCs w:val="28"/>
      <w:bdr w:val="none" w:sz="0" w:space="0" w:color="auto"/>
      <w:lang w:val="es-ES"/>
      <w14:ligatures w14:val="standardContextual"/>
    </w:rPr>
  </w:style>
  <w:style w:type="character" w:customStyle="1" w:styleId="SubttuloCar">
    <w:name w:val="Subtítulo Car"/>
    <w:basedOn w:val="Fuentedeprrafopredeter"/>
    <w:link w:val="Subttulo"/>
    <w:uiPriority w:val="11"/>
    <w:rsid w:val="00F73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706"/>
    <w:pPr>
      <w:pBdr>
        <w:top w:val="none" w:sz="0" w:space="0" w:color="auto"/>
        <w:left w:val="none" w:sz="0" w:space="0" w:color="auto"/>
        <w:bottom w:val="none" w:sz="0" w:space="0" w:color="auto"/>
        <w:right w:val="none" w:sz="0" w:space="0" w:color="auto"/>
        <w:between w:val="none" w:sz="0" w:space="0" w:color="auto"/>
        <w:bar w:val="none" w:sz="0" w:color="auto"/>
      </w:pBdr>
      <w:spacing w:before="160" w:after="160" w:line="259" w:lineRule="auto"/>
      <w:jc w:val="center"/>
    </w:pPr>
    <w:rPr>
      <w:rFonts w:asciiTheme="minorHAnsi" w:eastAsiaTheme="minorHAnsi" w:hAnsiTheme="minorHAnsi" w:cstheme="minorBidi"/>
      <w:i/>
      <w:iCs/>
      <w:color w:val="404040" w:themeColor="text1" w:themeTint="BF"/>
      <w:kern w:val="2"/>
      <w:sz w:val="22"/>
      <w:szCs w:val="22"/>
      <w:bdr w:val="none" w:sz="0" w:space="0" w:color="auto"/>
      <w:lang w:val="es-ES"/>
      <w14:ligatures w14:val="standardContextual"/>
    </w:rPr>
  </w:style>
  <w:style w:type="character" w:customStyle="1" w:styleId="CitaCar">
    <w:name w:val="Cita Car"/>
    <w:basedOn w:val="Fuentedeprrafopredeter"/>
    <w:link w:val="Cita"/>
    <w:uiPriority w:val="29"/>
    <w:rsid w:val="00F73706"/>
    <w:rPr>
      <w:i/>
      <w:iCs/>
      <w:color w:val="404040" w:themeColor="text1" w:themeTint="BF"/>
    </w:rPr>
  </w:style>
  <w:style w:type="paragraph" w:styleId="Prrafodelista">
    <w:name w:val="List Paragraph"/>
    <w:basedOn w:val="Normal"/>
    <w:uiPriority w:val="34"/>
    <w:qFormat/>
    <w:rsid w:val="00F7370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kern w:val="2"/>
      <w:sz w:val="22"/>
      <w:szCs w:val="22"/>
      <w:bdr w:val="none" w:sz="0" w:space="0" w:color="auto"/>
      <w:lang w:val="es-ES"/>
      <w14:ligatures w14:val="standardContextual"/>
    </w:rPr>
  </w:style>
  <w:style w:type="character" w:styleId="nfasisintenso">
    <w:name w:val="Intense Emphasis"/>
    <w:basedOn w:val="Fuentedeprrafopredeter"/>
    <w:uiPriority w:val="21"/>
    <w:qFormat/>
    <w:rsid w:val="00F73706"/>
    <w:rPr>
      <w:i/>
      <w:iCs/>
      <w:color w:val="0F4761" w:themeColor="accent1" w:themeShade="BF"/>
    </w:rPr>
  </w:style>
  <w:style w:type="paragraph" w:styleId="Citadestacada">
    <w:name w:val="Intense Quote"/>
    <w:basedOn w:val="Normal"/>
    <w:next w:val="Normal"/>
    <w:link w:val="CitadestacadaCar"/>
    <w:uiPriority w:val="30"/>
    <w:qFormat/>
    <w:rsid w:val="00F73706"/>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bdr w:val="none" w:sz="0" w:space="0" w:color="auto"/>
      <w:lang w:val="es-ES"/>
      <w14:ligatures w14:val="standardContextual"/>
    </w:rPr>
  </w:style>
  <w:style w:type="character" w:customStyle="1" w:styleId="CitadestacadaCar">
    <w:name w:val="Cita destacada Car"/>
    <w:basedOn w:val="Fuentedeprrafopredeter"/>
    <w:link w:val="Citadestacada"/>
    <w:uiPriority w:val="30"/>
    <w:rsid w:val="00F73706"/>
    <w:rPr>
      <w:i/>
      <w:iCs/>
      <w:color w:val="0F4761" w:themeColor="accent1" w:themeShade="BF"/>
    </w:rPr>
  </w:style>
  <w:style w:type="character" w:styleId="Referenciaintensa">
    <w:name w:val="Intense Reference"/>
    <w:basedOn w:val="Fuentedeprrafopredeter"/>
    <w:uiPriority w:val="32"/>
    <w:qFormat/>
    <w:rsid w:val="00F73706"/>
    <w:rPr>
      <w:b/>
      <w:bCs/>
      <w:smallCaps/>
      <w:color w:val="0F4761" w:themeColor="accent1" w:themeShade="BF"/>
      <w:spacing w:val="5"/>
    </w:rPr>
  </w:style>
  <w:style w:type="paragraph" w:customStyle="1" w:styleId="HeaderFooterA">
    <w:name w:val="Header &amp; Footer A"/>
    <w:rsid w:val="00F73706"/>
    <w:pPr>
      <w:pBdr>
        <w:top w:val="nil"/>
        <w:left w:val="nil"/>
        <w:bottom w:val="nil"/>
        <w:right w:val="nil"/>
        <w:between w:val="nil"/>
        <w:bar w:val="nil"/>
      </w:pBdr>
      <w:tabs>
        <w:tab w:val="right" w:pos="9020"/>
      </w:tabs>
      <w:spacing w:after="0" w:line="288" w:lineRule="auto"/>
    </w:pPr>
    <w:rPr>
      <w:rFonts w:ascii="Avenir Next Medium" w:eastAsia="Arial Unicode MS" w:hAnsi="Avenir Next Medium" w:cs="Arial Unicode MS"/>
      <w:color w:val="008CB4"/>
      <w:kern w:val="0"/>
      <w:sz w:val="20"/>
      <w:szCs w:val="20"/>
      <w:u w:color="008CB4"/>
      <w:bdr w:val="nil"/>
      <w:lang w:val="es-ES_tradnl" w:eastAsia="es-ES"/>
      <w14:ligatures w14:val="none"/>
    </w:rPr>
  </w:style>
  <w:style w:type="paragraph" w:customStyle="1" w:styleId="BodyA">
    <w:name w:val="Body A"/>
    <w:rsid w:val="00F73706"/>
    <w:pPr>
      <w:pBdr>
        <w:top w:val="nil"/>
        <w:left w:val="nil"/>
        <w:bottom w:val="nil"/>
        <w:right w:val="nil"/>
        <w:between w:val="nil"/>
        <w:bar w:val="nil"/>
      </w:pBdr>
      <w:spacing w:before="80" w:after="180" w:line="288" w:lineRule="auto"/>
    </w:pPr>
    <w:rPr>
      <w:rFonts w:ascii="Hoefler Text" w:eastAsia="Hoefler Text" w:hAnsi="Hoefler Text" w:cs="Hoefler Text"/>
      <w:color w:val="000000"/>
      <w:kern w:val="0"/>
      <w:u w:color="000000"/>
      <w:bdr w:val="nil"/>
      <w:lang w:val="es-ES_tradnl" w:eastAsia="es-ES"/>
      <w14:ligatures w14:val="none"/>
    </w:rPr>
  </w:style>
  <w:style w:type="paragraph" w:customStyle="1" w:styleId="s2">
    <w:name w:val="s2"/>
    <w:basedOn w:val="Normal"/>
    <w:rsid w:val="00F73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F7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footer" Target="footer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15352</Words>
  <Characters>84438</Characters>
  <Application>Microsoft Office Word</Application>
  <DocSecurity>0</DocSecurity>
  <Lines>703</Lines>
  <Paragraphs>199</Paragraphs>
  <ScaleCrop>false</ScaleCrop>
  <Company/>
  <LinksUpToDate>false</LinksUpToDate>
  <CharactersWithSpaces>99591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cp:revision>
  <dcterms:created xsi:type="dcterms:W3CDTF">2024-05-07T11:12:00Z</dcterms:created>
  <dcterms:modified xsi:type="dcterms:W3CDTF">2024-05-07T11:17:00Z</dcterms:modified>
</cp:coreProperties>
</file>