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9AB" w:rsidRDefault="00D339AB" w:rsidP="00624D8E">
      <w:pPr>
        <w:jc w:val="center"/>
        <w:rPr>
          <w:b/>
          <w:bCs/>
          <w:u w:val="single"/>
          <w:rtl/>
          <w:lang w:val="en-US"/>
        </w:rPr>
      </w:pPr>
    </w:p>
    <w:p w:rsidR="00624D8E" w:rsidRDefault="00624D8E" w:rsidP="00624D8E">
      <w:pPr>
        <w:jc w:val="center"/>
        <w:rPr>
          <w:b/>
          <w:bCs/>
          <w:u w:val="single"/>
          <w:lang w:val="en-US"/>
        </w:rPr>
      </w:pPr>
      <w:r>
        <w:rPr>
          <w:b/>
          <w:bCs/>
          <w:u w:val="single"/>
          <w:lang w:val="en-US"/>
        </w:rPr>
        <w:t>DS Project</w:t>
      </w:r>
    </w:p>
    <w:p w:rsidR="00624D8E" w:rsidRDefault="00624D8E" w:rsidP="00624D8E">
      <w:pPr>
        <w:rPr>
          <w:b/>
          <w:bCs/>
          <w:u w:val="single"/>
          <w:lang w:val="en-US"/>
        </w:rPr>
      </w:pPr>
    </w:p>
    <w:p w:rsidR="00624D8E" w:rsidRPr="00624D8E" w:rsidRDefault="00624D8E" w:rsidP="00F357CA">
      <w:pPr>
        <w:rPr>
          <w:b/>
          <w:bCs/>
          <w:lang w:val="en-US"/>
        </w:rPr>
      </w:pPr>
      <w:r>
        <w:rPr>
          <w:b/>
          <w:bCs/>
          <w:u w:val="single"/>
          <w:lang w:val="en-US"/>
        </w:rPr>
        <w:t>Names</w:t>
      </w:r>
      <w:r w:rsidR="00F357CA">
        <w:rPr>
          <w:b/>
          <w:bCs/>
          <w:u w:val="single"/>
          <w:lang w:val="en-US"/>
        </w:rPr>
        <w:t>:</w:t>
      </w:r>
      <w:r w:rsidR="00F357CA">
        <w:rPr>
          <w:b/>
          <w:bCs/>
          <w:lang w:val="en-US"/>
        </w:rPr>
        <w:t xml:space="preserve"> </w:t>
      </w:r>
      <w:r w:rsidR="00F357CA" w:rsidRPr="00F357CA">
        <w:rPr>
          <w:b/>
          <w:bCs/>
          <w:color w:val="FF0000"/>
          <w:lang w:val="en-US"/>
        </w:rPr>
        <w:t>S</w:t>
      </w:r>
      <w:r w:rsidRPr="00F357CA">
        <w:rPr>
          <w:b/>
          <w:bCs/>
          <w:color w:val="FF0000"/>
          <w:lang w:val="en-US"/>
        </w:rPr>
        <w:t>hady</w:t>
      </w:r>
      <w:r w:rsidR="00F357CA" w:rsidRPr="00F357CA">
        <w:rPr>
          <w:b/>
          <w:bCs/>
          <w:color w:val="FF0000"/>
          <w:lang w:val="en-US"/>
        </w:rPr>
        <w:t xml:space="preserve"> </w:t>
      </w:r>
      <w:proofErr w:type="spellStart"/>
      <w:r w:rsidR="00F357CA" w:rsidRPr="00F357CA">
        <w:rPr>
          <w:b/>
          <w:bCs/>
          <w:color w:val="FF0000"/>
          <w:lang w:val="en-US"/>
        </w:rPr>
        <w:t>Yasin</w:t>
      </w:r>
      <w:proofErr w:type="spellEnd"/>
      <w:r w:rsidR="00F357CA" w:rsidRPr="00F357CA">
        <w:rPr>
          <w:b/>
          <w:bCs/>
          <w:color w:val="FF0000"/>
          <w:lang w:val="en-US"/>
        </w:rPr>
        <w:t xml:space="preserve"> </w:t>
      </w:r>
      <w:r w:rsidR="00F357CA" w:rsidRPr="00F357CA">
        <w:rPr>
          <w:b/>
          <w:bCs/>
          <w:lang w:val="en-US"/>
        </w:rPr>
        <w:t>&amp;</w:t>
      </w:r>
      <w:r w:rsidRPr="00F357CA">
        <w:rPr>
          <w:b/>
          <w:bCs/>
          <w:color w:val="00B0F0"/>
          <w:lang w:val="en-US"/>
        </w:rPr>
        <w:t xml:space="preserve"> </w:t>
      </w:r>
      <w:r w:rsidRPr="00F357CA">
        <w:rPr>
          <w:b/>
          <w:bCs/>
          <w:color w:val="7030A0"/>
          <w:lang w:val="en-US"/>
        </w:rPr>
        <w:t>Mohammad</w:t>
      </w:r>
      <w:r w:rsidR="00F357CA" w:rsidRPr="00F357CA">
        <w:rPr>
          <w:b/>
          <w:bCs/>
          <w:color w:val="7030A0"/>
          <w:lang w:val="en-US"/>
        </w:rPr>
        <w:t xml:space="preserve"> </w:t>
      </w:r>
      <w:proofErr w:type="spellStart"/>
      <w:r w:rsidR="00F357CA" w:rsidRPr="00F357CA">
        <w:rPr>
          <w:b/>
          <w:bCs/>
          <w:color w:val="7030A0"/>
          <w:lang w:val="en-US"/>
        </w:rPr>
        <w:t>Nujedat</w:t>
      </w:r>
      <w:proofErr w:type="spellEnd"/>
      <w:r w:rsidR="00F357CA" w:rsidRPr="00F357CA">
        <w:rPr>
          <w:b/>
          <w:bCs/>
          <w:color w:val="7030A0"/>
          <w:lang w:val="en-US"/>
        </w:rPr>
        <w:t xml:space="preserve"> </w:t>
      </w:r>
      <w:r w:rsidR="00F357CA">
        <w:rPr>
          <w:b/>
          <w:bCs/>
          <w:lang w:val="en-US"/>
        </w:rPr>
        <w:t xml:space="preserve">&amp; </w:t>
      </w:r>
      <w:proofErr w:type="spellStart"/>
      <w:r w:rsidRPr="00F357CA">
        <w:rPr>
          <w:b/>
          <w:bCs/>
          <w:color w:val="00B050"/>
          <w:lang w:val="en-US"/>
        </w:rPr>
        <w:t>Elaad</w:t>
      </w:r>
      <w:proofErr w:type="spellEnd"/>
      <w:r w:rsidR="00F357CA" w:rsidRPr="00F357CA">
        <w:rPr>
          <w:b/>
          <w:bCs/>
          <w:color w:val="00B050"/>
          <w:lang w:val="en-US"/>
        </w:rPr>
        <w:t xml:space="preserve"> David</w:t>
      </w:r>
      <w:r w:rsidRPr="00F357CA">
        <w:rPr>
          <w:b/>
          <w:bCs/>
          <w:color w:val="00B050"/>
          <w:lang w:val="en-US"/>
        </w:rPr>
        <w:t xml:space="preserve"> </w:t>
      </w:r>
      <w:r>
        <w:rPr>
          <w:b/>
          <w:bCs/>
          <w:lang w:val="en-US"/>
        </w:rPr>
        <w:t>:)</w:t>
      </w:r>
    </w:p>
    <w:p w:rsidR="00D339AB" w:rsidRDefault="00D339AB" w:rsidP="00624D8E">
      <w:pPr>
        <w:rPr>
          <w:b/>
          <w:bCs/>
          <w:u w:val="single"/>
          <w:rtl/>
          <w:lang w:val="en-US"/>
        </w:rPr>
      </w:pPr>
    </w:p>
    <w:p w:rsidR="00D339AB" w:rsidRDefault="00624D8E" w:rsidP="00624D8E">
      <w:pPr>
        <w:rPr>
          <w:b/>
          <w:bCs/>
          <w:rtl/>
          <w:lang w:val="en-US"/>
        </w:rPr>
      </w:pPr>
      <w:r>
        <w:rPr>
          <w:b/>
          <w:bCs/>
          <w:u w:val="single"/>
          <w:lang w:val="en-US"/>
        </w:rPr>
        <w:t xml:space="preserve">Topic: </w:t>
      </w:r>
      <w:r w:rsidR="00F357CA" w:rsidRPr="00F357CA">
        <w:rPr>
          <w:b/>
          <w:bCs/>
          <w:lang w:val="en-US"/>
        </w:rPr>
        <w:t>Predicting Substance Abuse Treatment Success: Drug Type and Demographics Analysis.</w:t>
      </w:r>
    </w:p>
    <w:p w:rsidR="00D339AB" w:rsidRDefault="00D339AB" w:rsidP="00624D8E">
      <w:pPr>
        <w:rPr>
          <w:b/>
          <w:bCs/>
          <w:rtl/>
          <w:lang w:val="en-US"/>
        </w:rPr>
      </w:pPr>
    </w:p>
    <w:p w:rsidR="000D3284" w:rsidRDefault="000D3284" w:rsidP="00624D8E">
      <w:pPr>
        <w:rPr>
          <w:b/>
          <w:bCs/>
          <w:u w:val="single"/>
          <w:lang w:val="en-US"/>
        </w:rPr>
      </w:pPr>
      <w:r w:rsidRPr="000D3284">
        <w:rPr>
          <w:b/>
          <w:bCs/>
          <w:u w:val="single"/>
          <w:lang w:val="en-US"/>
        </w:rPr>
        <w:t xml:space="preserve">Links: </w:t>
      </w:r>
      <w:r>
        <w:rPr>
          <w:b/>
          <w:bCs/>
          <w:u w:val="single"/>
          <w:lang w:val="en-US"/>
        </w:rPr>
        <w:t xml:space="preserve"> </w:t>
      </w:r>
    </w:p>
    <w:p w:rsidR="000D3284" w:rsidRDefault="000D3284" w:rsidP="000D3284">
      <w:pPr>
        <w:pStyle w:val="4"/>
        <w:spacing w:before="0" w:beforeAutospacing="0" w:after="75" w:afterAutospacing="0" w:line="450" w:lineRule="atLeast"/>
        <w:rPr>
          <w:b w:val="0"/>
          <w:bCs w:val="0"/>
          <w:lang w:val="en-US"/>
        </w:rPr>
      </w:pPr>
      <w:r>
        <w:rPr>
          <w:b w:val="0"/>
          <w:bCs w:val="0"/>
          <w:lang w:val="en-US"/>
        </w:rPr>
        <w:t>- Data folder:</w:t>
      </w:r>
      <w:r>
        <w:rPr>
          <w:b w:val="0"/>
          <w:bCs w:val="0"/>
          <w:lang w:val="en-US"/>
        </w:rPr>
        <w:br/>
      </w:r>
      <w:r>
        <w:rPr>
          <w:b w:val="0"/>
          <w:bCs w:val="0"/>
          <w:lang w:val="en-US"/>
        </w:rPr>
        <w:tab/>
      </w:r>
      <w:r w:rsidRPr="000D3284">
        <w:rPr>
          <w:b w:val="0"/>
          <w:bCs w:val="0"/>
          <w:sz w:val="20"/>
          <w:szCs w:val="20"/>
          <w:lang w:val="en-US"/>
        </w:rPr>
        <w:t>https://www.datafiles.samhsa.gov/sites/default/files/field-uploads-protected/studies/TEDS-A-2015-2019/TEDS-A-2015-2019-datasets/TEDS-A-2015-2019-DS0001/TEDS-A-2015-2019-DS0001-bundles-with-study-info/TEDS-A-2015-2019-DS0001-bndl-data-r.zip</w:t>
      </w:r>
    </w:p>
    <w:p w:rsidR="000D3284" w:rsidRDefault="000D3284" w:rsidP="000D3284">
      <w:pPr>
        <w:pStyle w:val="4"/>
        <w:spacing w:before="0" w:beforeAutospacing="0" w:after="75" w:afterAutospacing="0" w:line="450" w:lineRule="atLeast"/>
        <w:rPr>
          <w:b w:val="0"/>
          <w:bCs w:val="0"/>
          <w:lang w:val="en-US"/>
        </w:rPr>
      </w:pPr>
      <w:r>
        <w:rPr>
          <w:color w:val="1E384B"/>
        </w:rPr>
        <w:t xml:space="preserve">- </w:t>
      </w:r>
      <w:r w:rsidRPr="000D3284">
        <w:rPr>
          <w:color w:val="1E384B"/>
        </w:rPr>
        <w:t>Dataset Documentation</w:t>
      </w:r>
      <w:r>
        <w:rPr>
          <w:b w:val="0"/>
          <w:bCs w:val="0"/>
          <w:lang w:val="en-US"/>
        </w:rPr>
        <w:t>:</w:t>
      </w:r>
    </w:p>
    <w:p w:rsidR="000D3284" w:rsidRDefault="000D3284" w:rsidP="000D3284">
      <w:pPr>
        <w:pStyle w:val="4"/>
        <w:spacing w:before="0" w:beforeAutospacing="0" w:after="75" w:afterAutospacing="0" w:line="450" w:lineRule="atLeast"/>
        <w:rPr>
          <w:u w:val="single"/>
          <w:lang w:val="en-US"/>
        </w:rPr>
      </w:pPr>
      <w:r w:rsidRPr="000D3284">
        <w:rPr>
          <w:sz w:val="20"/>
          <w:szCs w:val="20"/>
          <w:u w:val="single"/>
          <w:lang w:val="en-US"/>
        </w:rPr>
        <w:t>https://www.datafiles.samhsa.gov/sites/default/files/field-uploads-protected/studies/TEDS-A-2015-2019/TEDS-A-2015-2019-datasets/TEDS-A-2015-2019-DS0001/TEDS-A-2015-2019-DS0001-info/TEDS-A-2015-2019-DS0001-info-codebook.pdf</w:t>
      </w:r>
      <w:r w:rsidRPr="000D3284">
        <w:rPr>
          <w:u w:val="single"/>
          <w:lang w:val="en-US"/>
        </w:rPr>
        <w:t xml:space="preserve"> </w:t>
      </w:r>
    </w:p>
    <w:p w:rsidR="000D3284" w:rsidRDefault="000D3284" w:rsidP="000D3284">
      <w:pPr>
        <w:pStyle w:val="4"/>
        <w:spacing w:before="0" w:beforeAutospacing="0" w:after="75" w:afterAutospacing="0" w:line="450" w:lineRule="atLeast"/>
        <w:rPr>
          <w:lang w:val="en-US"/>
        </w:rPr>
      </w:pPr>
    </w:p>
    <w:p w:rsidR="000D3284" w:rsidRDefault="000D3284" w:rsidP="000D3284">
      <w:pPr>
        <w:pStyle w:val="4"/>
        <w:spacing w:before="0" w:beforeAutospacing="0" w:after="75" w:afterAutospacing="0" w:line="450" w:lineRule="atLeast"/>
        <w:rPr>
          <w:lang w:val="en-US"/>
        </w:rPr>
      </w:pPr>
      <w:r>
        <w:rPr>
          <w:lang w:val="en-US"/>
        </w:rPr>
        <w:t>Code Link(GitHub):</w:t>
      </w:r>
    </w:p>
    <w:p w:rsidR="00624D8E" w:rsidRPr="000D3284" w:rsidRDefault="000D3284" w:rsidP="000D3284">
      <w:pPr>
        <w:pStyle w:val="4"/>
        <w:spacing w:before="0" w:beforeAutospacing="0" w:after="75" w:afterAutospacing="0" w:line="450" w:lineRule="atLeast"/>
        <w:rPr>
          <w:color w:val="1E384B"/>
        </w:rPr>
      </w:pPr>
      <w:r>
        <w:rPr>
          <w:lang w:val="en-US"/>
        </w:rPr>
        <w:br/>
      </w:r>
      <w:r w:rsidR="00624D8E" w:rsidRPr="000D3284">
        <w:rPr>
          <w:u w:val="single"/>
          <w:lang w:val="en-US"/>
        </w:rPr>
        <w:br w:type="page"/>
      </w:r>
    </w:p>
    <w:p w:rsidR="003008CA" w:rsidRPr="006940FF" w:rsidRDefault="008A0498">
      <w:pPr>
        <w:rPr>
          <w:b/>
          <w:bCs/>
          <w:u w:val="single"/>
          <w:lang w:val="en-US"/>
        </w:rPr>
      </w:pPr>
      <w:r>
        <w:rPr>
          <w:b/>
          <w:bCs/>
          <w:u w:val="single"/>
          <w:lang w:val="en-US"/>
        </w:rPr>
        <w:lastRenderedPageBreak/>
        <w:t xml:space="preserve"> </w:t>
      </w:r>
      <w:r w:rsidR="00AB6CF4" w:rsidRPr="006940FF">
        <w:rPr>
          <w:b/>
          <w:bCs/>
          <w:u w:val="single"/>
          <w:lang w:val="en-US"/>
        </w:rPr>
        <w:t>1- Introduction:</w:t>
      </w:r>
    </w:p>
    <w:p w:rsidR="001965B3" w:rsidRDefault="001965B3" w:rsidP="00F31E8B">
      <w:r>
        <w:t>The general problem area this analysis addresses is improving substance abuse treatment outcomes, specifically predicting treatment completion based on drug type. Successfully completing treatment is crucial for individual recovery and public health.</w:t>
      </w:r>
      <w:r w:rsidR="00F31E8B">
        <w:t xml:space="preserve"> </w:t>
      </w:r>
      <w:r>
        <w:t>Predicting treatment completion is important because it helps tailor interventions and optimize resources. Previous research indicates drug type significantly impacts treatment outcomes.</w:t>
      </w:r>
      <w:r w:rsidR="00F31E8B">
        <w:t xml:space="preserve"> </w:t>
      </w:r>
      <w:r>
        <w:t>This task is challenging due to the complex relationships influenced by biological, psychological, and social factors, and variability among different demographic groups.</w:t>
      </w:r>
    </w:p>
    <w:p w:rsidR="001965B3" w:rsidRPr="00F31E8B" w:rsidRDefault="001965B3" w:rsidP="001965B3">
      <w:pPr>
        <w:rPr>
          <w:b/>
          <w:bCs/>
        </w:rPr>
      </w:pPr>
      <w:r w:rsidRPr="00F31E8B">
        <w:rPr>
          <w:b/>
          <w:bCs/>
        </w:rPr>
        <w:t>Data Science Questions:</w:t>
      </w:r>
    </w:p>
    <w:p w:rsidR="001965B3" w:rsidRDefault="001965B3" w:rsidP="00F31E8B">
      <w:r w:rsidRPr="00F31E8B">
        <w:rPr>
          <w:b/>
          <w:bCs/>
        </w:rPr>
        <w:t>Exploratory</w:t>
      </w:r>
      <w:r>
        <w:t>: What are the associations between drug type and treatment completion rates across demographics?</w:t>
      </w:r>
      <w:r w:rsidR="00F31E8B">
        <w:t xml:space="preserve"> </w:t>
      </w:r>
      <w:r>
        <w:t>We will use logistic regressions to identify correlations.</w:t>
      </w:r>
    </w:p>
    <w:p w:rsidR="001965B3" w:rsidRDefault="001965B3" w:rsidP="00F31E8B">
      <w:r w:rsidRPr="00F31E8B">
        <w:rPr>
          <w:b/>
          <w:bCs/>
        </w:rPr>
        <w:t>Predictive:</w:t>
      </w:r>
      <w:r>
        <w:t xml:space="preserve"> Can we predict treatment completion likelihood based on drug type and demographic factors?</w:t>
      </w:r>
      <w:r w:rsidR="00F31E8B">
        <w:t xml:space="preserve"> </w:t>
      </w:r>
      <w:r>
        <w:t>We will use feature engineering and machine learning models for prediction.</w:t>
      </w:r>
    </w:p>
    <w:p w:rsidR="001965B3" w:rsidRDefault="001965B3" w:rsidP="00021A1D">
      <w:r w:rsidRPr="00F31E8B">
        <w:rPr>
          <w:b/>
          <w:bCs/>
        </w:rPr>
        <w:t>Hypothesis:</w:t>
      </w:r>
      <w:r>
        <w:t xml:space="preserve"> </w:t>
      </w:r>
      <w:r w:rsidR="00021A1D">
        <w:t xml:space="preserve">We hypothesize that certain drugs will exhibit higher completion rates. For instance, drugs with milder withdrawal symptoms may correlate with higher success rates. We anticipate significant correlations among drug type, demographics, and treatment completion. Our approach involves cleaning the TEDSA_PUF_2015_2019 dataset because these years offer a comprehensive and recent snapshot of substance abuse treatment trends and outcomes, ensuring our analysis reflects current practices and challenges in the field. We are applying logistic regression and machine learning models to </w:t>
      </w:r>
      <w:proofErr w:type="spellStart"/>
      <w:r w:rsidR="00021A1D">
        <w:t>analyze</w:t>
      </w:r>
      <w:proofErr w:type="spellEnd"/>
      <w:r w:rsidR="00021A1D">
        <w:t xml:space="preserve"> patterns and provide actionable insights for improving treatment strategies.</w:t>
      </w:r>
    </w:p>
    <w:p w:rsidR="00F31E8B" w:rsidRPr="006940FF" w:rsidRDefault="00F31E8B" w:rsidP="00F31E8B">
      <w:pPr>
        <w:rPr>
          <w:b/>
          <w:bCs/>
          <w:u w:val="single"/>
        </w:rPr>
      </w:pPr>
      <w:r w:rsidRPr="006940FF">
        <w:rPr>
          <w:b/>
          <w:bCs/>
          <w:u w:val="single"/>
        </w:rPr>
        <w:t>2- data overview:</w:t>
      </w:r>
    </w:p>
    <w:p w:rsidR="00F31E8B" w:rsidRDefault="00F31E8B" w:rsidP="00A039DA">
      <w:r>
        <w:t xml:space="preserve">The TEDS-A dataset includes </w:t>
      </w:r>
      <w:r w:rsidR="00A039DA">
        <w:t>almost 10</w:t>
      </w:r>
      <w:r>
        <w:t xml:space="preserve"> million records, each representing an admission to substance abuse treatment. The dataset encompasses 64 features, which can be broadly categorized into two main groups:</w:t>
      </w:r>
    </w:p>
    <w:p w:rsidR="00F31E8B" w:rsidRDefault="006940FF" w:rsidP="00476AF5">
      <w:r>
        <w:t>-</w:t>
      </w:r>
      <w:r w:rsidR="00F31E8B" w:rsidRPr="002A1C80">
        <w:rPr>
          <w:b/>
        </w:rPr>
        <w:t>Admission Demographics:</w:t>
      </w:r>
      <w:r>
        <w:t xml:space="preserve"> </w:t>
      </w:r>
      <w:r w:rsidR="00F31E8B">
        <w:t>Age, sex, race/ethnicity, employ</w:t>
      </w:r>
      <w:r>
        <w:t xml:space="preserve">ment status, and marital status, </w:t>
      </w:r>
      <w:r w:rsidR="00F31E8B">
        <w:t>Location details such as state</w:t>
      </w:r>
      <w:r>
        <w:t xml:space="preserve"> (</w:t>
      </w:r>
      <w:proofErr w:type="spellStart"/>
      <w:r>
        <w:t>stfips</w:t>
      </w:r>
      <w:proofErr w:type="spellEnd"/>
      <w:r>
        <w:t xml:space="preserve">) and county (cbsa2010), and </w:t>
      </w:r>
      <w:r w:rsidR="00F31E8B">
        <w:t>Other demographic features like education level (</w:t>
      </w:r>
      <w:proofErr w:type="spellStart"/>
      <w:r w:rsidR="00F31E8B">
        <w:t>educ</w:t>
      </w:r>
      <w:proofErr w:type="spellEnd"/>
      <w:r w:rsidR="00F31E8B">
        <w:t>) and veteran status (vet).</w:t>
      </w:r>
    </w:p>
    <w:p w:rsidR="006940FF" w:rsidRDefault="006940FF" w:rsidP="004423FA">
      <w:r w:rsidRPr="002A1C80">
        <w:rPr>
          <w:b/>
        </w:rPr>
        <w:t>-</w:t>
      </w:r>
      <w:r w:rsidR="00F31E8B" w:rsidRPr="002A1C80">
        <w:rPr>
          <w:b/>
        </w:rPr>
        <w:t>Substance Use Characteristics:</w:t>
      </w:r>
      <w:r>
        <w:t xml:space="preserve"> </w:t>
      </w:r>
      <w:proofErr w:type="spellStart"/>
      <w:r w:rsidR="00F31E8B">
        <w:t>rimary</w:t>
      </w:r>
      <w:proofErr w:type="spellEnd"/>
      <w:r w:rsidR="00F31E8B">
        <w:t>, secondary, and tertiary sub</w:t>
      </w:r>
      <w:r>
        <w:t xml:space="preserve">stances used (sub1, sub2, sub3), </w:t>
      </w:r>
      <w:r w:rsidR="00F31E8B">
        <w:t>Age at first use (frstuse1, frstuse2, frstuse3), route of administration (route1, route2, route3), and frequen</w:t>
      </w:r>
      <w:r>
        <w:t xml:space="preserve">cy of use (freq1, freq2, freq3), </w:t>
      </w:r>
      <w:r w:rsidR="00F31E8B">
        <w:t>Criminal justice system</w:t>
      </w:r>
      <w:r>
        <w:t xml:space="preserve"> involvement (</w:t>
      </w:r>
      <w:proofErr w:type="spellStart"/>
      <w:r>
        <w:t>detcrim</w:t>
      </w:r>
      <w:proofErr w:type="spellEnd"/>
      <w:r>
        <w:t xml:space="preserve">, arrests), and </w:t>
      </w:r>
      <w:r w:rsidR="00F31E8B">
        <w:t>Treatment-related factors like the number of prior admissions (</w:t>
      </w:r>
      <w:proofErr w:type="spellStart"/>
      <w:r w:rsidR="00F31E8B">
        <w:t>noprior</w:t>
      </w:r>
      <w:proofErr w:type="spellEnd"/>
      <w:r w:rsidR="00F31E8B">
        <w:t>) and referral source (</w:t>
      </w:r>
      <w:proofErr w:type="spellStart"/>
      <w:r w:rsidR="00F31E8B">
        <w:t>psource</w:t>
      </w:r>
      <w:proofErr w:type="spellEnd"/>
      <w:r w:rsidR="00F31E8B">
        <w:t xml:space="preserve">). </w:t>
      </w:r>
    </w:p>
    <w:p w:rsidR="00F31E8B" w:rsidRDefault="00F31E8B" w:rsidP="00F31E8B">
      <w:r>
        <w:t>Each record also includes unique identifiers and various health and social indicators, providing a comprehensive view of the treatment admission profile.</w:t>
      </w:r>
    </w:p>
    <w:p w:rsidR="00476AF5" w:rsidRDefault="00476AF5" w:rsidP="00F31E8B">
      <w:pPr>
        <w:rPr>
          <w:b/>
          <w:bCs/>
          <w:u w:val="single"/>
        </w:rPr>
      </w:pPr>
      <w:r>
        <w:t xml:space="preserve">3- </w:t>
      </w:r>
      <w:r w:rsidRPr="00476AF5">
        <w:rPr>
          <w:b/>
          <w:bCs/>
          <w:u w:val="single"/>
        </w:rPr>
        <w:t>Methods &amp; results:</w:t>
      </w:r>
    </w:p>
    <w:p w:rsidR="00364308" w:rsidRPr="00364308" w:rsidRDefault="00364308" w:rsidP="00A039DA">
      <w:pPr>
        <w:rPr>
          <w:u w:val="single"/>
          <w:lang w:val="en-US"/>
        </w:rPr>
      </w:pPr>
      <w:r w:rsidRPr="002A1C80">
        <w:rPr>
          <w:b/>
          <w:lang w:val="en-US"/>
        </w:rPr>
        <w:t>-Data Preparation and Preprocessing:</w:t>
      </w:r>
      <w:r w:rsidR="002A1C80">
        <w:rPr>
          <w:lang w:val="en-US"/>
        </w:rPr>
        <w:t xml:space="preserve"> T</w:t>
      </w:r>
      <w:r w:rsidRPr="00364308">
        <w:rPr>
          <w:lang w:val="en-US"/>
        </w:rPr>
        <w:t>he TEDSA_PUF_20</w:t>
      </w:r>
      <w:r w:rsidR="00A039DA">
        <w:rPr>
          <w:lang w:val="en-US"/>
        </w:rPr>
        <w:t xml:space="preserve">15_2019 </w:t>
      </w:r>
      <w:r w:rsidRPr="00364308">
        <w:rPr>
          <w:lang w:val="en-US"/>
        </w:rPr>
        <w:t>dataset underwent thorough preprocessing to handle missing values and standardize categorical variables such as gender, race, ethnicity, employment status, and health insurance coverage. Imputation and categorization ensured data integrity across demographic and substance use variables.</w:t>
      </w:r>
    </w:p>
    <w:p w:rsidR="00364308" w:rsidRPr="00364308" w:rsidRDefault="00364308" w:rsidP="002A1C80">
      <w:pPr>
        <w:rPr>
          <w:u w:val="single"/>
          <w:lang w:val="en-US"/>
        </w:rPr>
      </w:pPr>
      <w:r w:rsidRPr="002A1C80">
        <w:rPr>
          <w:b/>
          <w:lang w:val="en-US"/>
        </w:rPr>
        <w:lastRenderedPageBreak/>
        <w:t>-Exploratory Data Analysis (EDA</w:t>
      </w:r>
      <w:r w:rsidR="002A1C80">
        <w:rPr>
          <w:b/>
          <w:lang w:val="en-US"/>
        </w:rPr>
        <w:t xml:space="preserve">): </w:t>
      </w:r>
      <w:r w:rsidR="002A1C80">
        <w:rPr>
          <w:bCs/>
          <w:lang w:val="en-US"/>
        </w:rPr>
        <w:t>I</w:t>
      </w:r>
      <w:r w:rsidRPr="00364308">
        <w:rPr>
          <w:lang w:val="en-US"/>
        </w:rPr>
        <w:t>nitial exploratory visualizations (Figures 1 to 4) provided insights into the distribution of key variables among participants. These visualizations revealed demographic trends such as age, gender, ethnicity, and employment status</w:t>
      </w:r>
      <w:r w:rsidR="00A039DA">
        <w:rPr>
          <w:lang w:val="en-US"/>
        </w:rPr>
        <w:t>, health insurance</w:t>
      </w:r>
      <w:r w:rsidRPr="00364308">
        <w:rPr>
          <w:lang w:val="en-US"/>
        </w:rPr>
        <w:t>, as well as substance use patterns across primary (Sub1), secondary (Sub2), and tertiary (Sub3) substances. Notably, Figure 5 highlights the completion rates across different substance types, setting the stage for predictive modeling.</w:t>
      </w:r>
    </w:p>
    <w:p w:rsidR="00364308" w:rsidRDefault="00364308" w:rsidP="00364308">
      <w:pPr>
        <w:rPr>
          <w:lang w:val="en-US"/>
        </w:rPr>
      </w:pPr>
      <w:r>
        <w:rPr>
          <w:lang w:val="en-US"/>
        </w:rPr>
        <w:t>-</w:t>
      </w:r>
      <w:r w:rsidRPr="002A1C80">
        <w:rPr>
          <w:b/>
          <w:bCs/>
          <w:lang w:val="en-US"/>
        </w:rPr>
        <w:t>Figure 1:</w:t>
      </w:r>
      <w:r w:rsidRPr="00364308">
        <w:rPr>
          <w:lang w:val="en-US"/>
        </w:rPr>
        <w:t xml:space="preserve"> Demographic Distribution</w:t>
      </w:r>
      <w:r>
        <w:rPr>
          <w:lang w:val="en-US"/>
        </w:rPr>
        <w:t xml:space="preserve">: </w:t>
      </w:r>
    </w:p>
    <w:p w:rsidR="00364308" w:rsidRPr="00364308" w:rsidRDefault="00364308" w:rsidP="00364308">
      <w:pPr>
        <w:rPr>
          <w:lang w:val="en-US"/>
        </w:rPr>
      </w:pPr>
      <w:r>
        <w:rPr>
          <w:lang w:val="en-US"/>
        </w:rPr>
        <w:tab/>
        <w:t>-</w:t>
      </w:r>
      <w:r w:rsidRPr="00364308">
        <w:rPr>
          <w:lang w:val="en-US"/>
        </w:rPr>
        <w:t>Gender: Balanced representation.</w:t>
      </w:r>
    </w:p>
    <w:p w:rsidR="00364308" w:rsidRPr="00364308" w:rsidRDefault="00364308" w:rsidP="00364308">
      <w:pPr>
        <w:rPr>
          <w:lang w:val="en-US"/>
        </w:rPr>
      </w:pPr>
      <w:r>
        <w:rPr>
          <w:lang w:val="en-US"/>
        </w:rPr>
        <w:tab/>
        <w:t>-</w:t>
      </w:r>
      <w:r w:rsidRPr="00364308">
        <w:rPr>
          <w:lang w:val="en-US"/>
        </w:rPr>
        <w:t>Age: Concentration in the 19-25 range.</w:t>
      </w:r>
    </w:p>
    <w:p w:rsidR="00364308" w:rsidRPr="00364308" w:rsidRDefault="00364308" w:rsidP="00364308">
      <w:pPr>
        <w:rPr>
          <w:lang w:val="en-US"/>
        </w:rPr>
      </w:pPr>
      <w:r>
        <w:rPr>
          <w:lang w:val="en-US"/>
        </w:rPr>
        <w:tab/>
        <w:t>-</w:t>
      </w:r>
      <w:r w:rsidRPr="00364308">
        <w:rPr>
          <w:lang w:val="en-US"/>
        </w:rPr>
        <w:t>Ethnicity: Diverse representation.</w:t>
      </w:r>
    </w:p>
    <w:p w:rsidR="00364308" w:rsidRPr="00364308" w:rsidRDefault="00364308" w:rsidP="00364308">
      <w:pPr>
        <w:rPr>
          <w:lang w:val="en-US"/>
        </w:rPr>
      </w:pPr>
      <w:r>
        <w:rPr>
          <w:lang w:val="en-US"/>
        </w:rPr>
        <w:tab/>
        <w:t>-</w:t>
      </w:r>
      <w:r w:rsidRPr="00364308">
        <w:rPr>
          <w:lang w:val="en-US"/>
        </w:rPr>
        <w:t>Employment Status: Varied distribution.</w:t>
      </w:r>
    </w:p>
    <w:p w:rsidR="00364308" w:rsidRPr="00364308" w:rsidRDefault="00364308" w:rsidP="00364308">
      <w:pPr>
        <w:rPr>
          <w:lang w:val="en-US"/>
        </w:rPr>
      </w:pPr>
      <w:r>
        <w:rPr>
          <w:lang w:val="en-US"/>
        </w:rPr>
        <w:t>-</w:t>
      </w:r>
      <w:r w:rsidRPr="002A1C80">
        <w:rPr>
          <w:b/>
          <w:bCs/>
          <w:lang w:val="en-US"/>
        </w:rPr>
        <w:t>Figure 2:</w:t>
      </w:r>
      <w:r w:rsidRPr="00364308">
        <w:rPr>
          <w:lang w:val="en-US"/>
        </w:rPr>
        <w:t xml:space="preserve"> Substance Use Distribution</w:t>
      </w:r>
    </w:p>
    <w:p w:rsidR="00B26774" w:rsidRDefault="00364308" w:rsidP="00B26774">
      <w:pPr>
        <w:rPr>
          <w:lang w:val="en-US"/>
        </w:rPr>
      </w:pPr>
      <w:r>
        <w:rPr>
          <w:lang w:val="en-US"/>
        </w:rPr>
        <w:tab/>
        <w:t>-</w:t>
      </w:r>
      <w:r w:rsidRPr="00364308">
        <w:rPr>
          <w:lang w:val="en-US"/>
        </w:rPr>
        <w:t>Sub1, Sub2, Sub3: Frequency distributions revealing prevalent substances</w:t>
      </w:r>
      <w:r w:rsidR="00B26774">
        <w:rPr>
          <w:lang w:val="en-US"/>
        </w:rPr>
        <w:t>:</w:t>
      </w:r>
    </w:p>
    <w:p w:rsidR="00B26774" w:rsidRDefault="00B26774" w:rsidP="00B26774">
      <w:pPr>
        <w:rPr>
          <w:lang w:val="en-US"/>
        </w:rPr>
      </w:pPr>
    </w:p>
    <w:p w:rsidR="00E10ECD" w:rsidRDefault="00B26774" w:rsidP="00B26774">
      <w:pPr>
        <w:rPr>
          <w:lang w:val="en-US"/>
        </w:rPr>
      </w:pPr>
      <w:r>
        <w:rPr>
          <w:lang w:val="en-US"/>
        </w:rPr>
        <w:t xml:space="preserve">Here is some visualization for the most effective </w:t>
      </w:r>
      <w:r w:rsidR="00021A1D">
        <w:rPr>
          <w:lang w:val="en-US"/>
        </w:rPr>
        <w:t>based on the p-value:</w:t>
      </w:r>
    </w:p>
    <w:p w:rsidR="00E10ECD" w:rsidRPr="00E10ECD" w:rsidRDefault="00E10ECD" w:rsidP="00E10ECD">
      <w:r w:rsidRPr="00E10ECD">
        <w:rPr>
          <w:noProof/>
          <w:lang w:eastAsia="en-GB"/>
        </w:rPr>
        <w:drawing>
          <wp:inline distT="0" distB="0" distL="0" distR="0">
            <wp:extent cx="2642091" cy="1630393"/>
            <wp:effectExtent l="0" t="0" r="6350" b="8255"/>
            <wp:docPr id="6" name="תמונה 6" descr="C:\Users\User1\OneDrive\Documents\שנה ב\סמסטר ד\מבוא לניתוח נתונים(ננ)\project(ננ)\substa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1\OneDrive\Documents\שנה ב\סמסטר ד\מבוא לניתוח נתונים(ננ)\project(ננ)\substance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6067" cy="1700726"/>
                    </a:xfrm>
                    <a:prstGeom prst="rect">
                      <a:avLst/>
                    </a:prstGeom>
                    <a:noFill/>
                    <a:ln>
                      <a:noFill/>
                    </a:ln>
                  </pic:spPr>
                </pic:pic>
              </a:graphicData>
            </a:graphic>
          </wp:inline>
        </w:drawing>
      </w:r>
      <w:r>
        <w:rPr>
          <w:noProof/>
          <w:lang w:eastAsia="en-GB"/>
        </w:rPr>
        <w:drawing>
          <wp:inline distT="0" distB="0" distL="0" distR="0" wp14:anchorId="130D83DC" wp14:editId="08884759">
            <wp:extent cx="2579298" cy="1590675"/>
            <wp:effectExtent l="0" t="0" r="0" b="0"/>
            <wp:docPr id="4" name="תמונה 4" descr="C:\Users\User1\OneDrive\Documents\שנה ב\סמסטר ד\מבוא לניתוח נתונים(ננ)\project(ננ)\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1\OneDrive\Documents\שנה ב\סמסטר ד\מבוא לניתוח נתונים(ננ)\project(ננ)\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3643" cy="1710529"/>
                    </a:xfrm>
                    <a:prstGeom prst="rect">
                      <a:avLst/>
                    </a:prstGeom>
                    <a:noFill/>
                    <a:ln>
                      <a:noFill/>
                    </a:ln>
                  </pic:spPr>
                </pic:pic>
              </a:graphicData>
            </a:graphic>
          </wp:inline>
        </w:drawing>
      </w:r>
    </w:p>
    <w:p w:rsidR="00021A1D" w:rsidRPr="00E10ECD" w:rsidRDefault="00E10ECD" w:rsidP="00E10ECD">
      <w:pPr>
        <w:jc w:val="center"/>
        <w:rPr>
          <w:lang w:val="en-US"/>
        </w:rPr>
      </w:pPr>
      <w:r w:rsidRPr="00B26774">
        <w:rPr>
          <w:b/>
          <w:bCs/>
          <w:noProof/>
          <w:lang w:eastAsia="en-GB"/>
        </w:rPr>
        <w:drawing>
          <wp:inline distT="0" distB="0" distL="0" distR="0" wp14:anchorId="30165114" wp14:editId="63313D56">
            <wp:extent cx="3186980" cy="1966822"/>
            <wp:effectExtent l="0" t="0" r="0" b="0"/>
            <wp:docPr id="5" name="תמונה 5" descr="C:\Users\User1\OneDrive\Documents\שנה ב\סמסטר ד\מבוא לניתוח נתונים(ננ)\project(ננ)\HEA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1\OneDrive\Documents\שנה ב\סמסטר ד\מבוא לניתוח נתונים(ננ)\project(ננ)\HEALT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946" cy="2077270"/>
                    </a:xfrm>
                    <a:prstGeom prst="rect">
                      <a:avLst/>
                    </a:prstGeom>
                    <a:noFill/>
                    <a:ln>
                      <a:noFill/>
                    </a:ln>
                  </pic:spPr>
                </pic:pic>
              </a:graphicData>
            </a:graphic>
          </wp:inline>
        </w:drawing>
      </w:r>
    </w:p>
    <w:p w:rsidR="002A1C80" w:rsidRDefault="00364308" w:rsidP="002A1C80">
      <w:pPr>
        <w:rPr>
          <w:b/>
          <w:bCs/>
          <w:lang w:val="en-US"/>
        </w:rPr>
      </w:pPr>
      <w:r w:rsidRPr="002A1C80">
        <w:rPr>
          <w:b/>
          <w:bCs/>
          <w:lang w:val="en-US"/>
        </w:rPr>
        <w:t>Feature Engineering</w:t>
      </w:r>
      <w:r w:rsidR="002A1C80" w:rsidRPr="002A1C80">
        <w:rPr>
          <w:b/>
          <w:bCs/>
          <w:lang w:val="en-US"/>
        </w:rPr>
        <w:t>:</w:t>
      </w:r>
      <w:r w:rsidR="002A1C80">
        <w:rPr>
          <w:b/>
          <w:bCs/>
          <w:lang w:val="en-US"/>
        </w:rPr>
        <w:t xml:space="preserve"> </w:t>
      </w:r>
    </w:p>
    <w:p w:rsidR="00364308" w:rsidRPr="002A1C80" w:rsidRDefault="00364308" w:rsidP="002A1C80">
      <w:pPr>
        <w:rPr>
          <w:b/>
          <w:bCs/>
          <w:lang w:val="en-US"/>
        </w:rPr>
      </w:pPr>
      <w:r w:rsidRPr="00364308">
        <w:rPr>
          <w:lang w:val="en-US"/>
        </w:rPr>
        <w:t>To enhance model performance, additional features were engineered:</w:t>
      </w:r>
    </w:p>
    <w:p w:rsidR="00364308" w:rsidRPr="00364308" w:rsidRDefault="00364308" w:rsidP="00364308">
      <w:pPr>
        <w:rPr>
          <w:lang w:val="en-US"/>
        </w:rPr>
      </w:pPr>
      <w:r>
        <w:rPr>
          <w:lang w:val="en-US"/>
        </w:rPr>
        <w:tab/>
        <w:t>-</w:t>
      </w:r>
      <w:r w:rsidRPr="00364308">
        <w:rPr>
          <w:lang w:val="en-US"/>
        </w:rPr>
        <w:t>Age Groups: Categorized participants into logical age brackets.</w:t>
      </w:r>
      <w:bookmarkStart w:id="0" w:name="_GoBack"/>
      <w:bookmarkEnd w:id="0"/>
    </w:p>
    <w:p w:rsidR="00364308" w:rsidRPr="00364308" w:rsidRDefault="00364308" w:rsidP="00364308">
      <w:pPr>
        <w:rPr>
          <w:lang w:val="en-US"/>
        </w:rPr>
      </w:pPr>
      <w:r>
        <w:rPr>
          <w:lang w:val="en-US"/>
        </w:rPr>
        <w:tab/>
        <w:t>-</w:t>
      </w:r>
      <w:r w:rsidRPr="00364308">
        <w:rPr>
          <w:lang w:val="en-US"/>
        </w:rPr>
        <w:t>Completion Status: Binary variable indicating treatment completion.</w:t>
      </w:r>
    </w:p>
    <w:p w:rsidR="002A1C80" w:rsidRPr="00E10ECD" w:rsidRDefault="00364308" w:rsidP="00E10ECD">
      <w:pPr>
        <w:rPr>
          <w:lang w:val="en-US"/>
        </w:rPr>
      </w:pPr>
      <w:r w:rsidRPr="002A1C80">
        <w:rPr>
          <w:b/>
          <w:bCs/>
          <w:lang w:val="en-US"/>
        </w:rPr>
        <w:lastRenderedPageBreak/>
        <w:t>Model Selection: Logistic Regression</w:t>
      </w:r>
      <w:r w:rsidR="002A1C80">
        <w:rPr>
          <w:lang w:val="en-US"/>
        </w:rPr>
        <w:t xml:space="preserve">: </w:t>
      </w:r>
      <w:r w:rsidRPr="00364308">
        <w:rPr>
          <w:lang w:val="en-US"/>
        </w:rPr>
        <w:t>A logistic regression model was chosen due to its interpretability and suitability for binary classification tasks, aligning with our goal to predict treatment completion based on demographic and substance use factors.</w:t>
      </w:r>
    </w:p>
    <w:p w:rsidR="00364308" w:rsidRPr="00364308" w:rsidRDefault="00364308" w:rsidP="00364308">
      <w:pPr>
        <w:rPr>
          <w:u w:val="single"/>
          <w:lang w:val="en-US"/>
        </w:rPr>
      </w:pPr>
      <w:r w:rsidRPr="002A1C80">
        <w:rPr>
          <w:b/>
          <w:bCs/>
          <w:lang w:val="en-US"/>
        </w:rPr>
        <w:t>Model Training and Performance:</w:t>
      </w:r>
      <w:r>
        <w:rPr>
          <w:u w:val="single"/>
          <w:lang w:val="en-US"/>
        </w:rPr>
        <w:t xml:space="preserve"> </w:t>
      </w:r>
      <w:r w:rsidRPr="00364308">
        <w:rPr>
          <w:lang w:val="en-US"/>
        </w:rPr>
        <w:t>The logistic regression model was trained using predictors including Sub1, age, gender, ethnicity, race, employment status, education level, health insurance coverage, psychiatric problems, and frequency of substance use (freq1, freq2, freq3). Model evaluation on the test set yielded the following metrics:</w:t>
      </w:r>
      <w:r w:rsidR="000B2EAF">
        <w:rPr>
          <w:lang w:val="en-US"/>
        </w:rPr>
        <w:t>s</w:t>
      </w:r>
    </w:p>
    <w:p w:rsidR="00364308" w:rsidRPr="00364308" w:rsidRDefault="00364308" w:rsidP="00364308">
      <w:pPr>
        <w:rPr>
          <w:lang w:val="en-US"/>
        </w:rPr>
      </w:pPr>
      <w:r>
        <w:rPr>
          <w:lang w:val="en-US"/>
        </w:rPr>
        <w:t>-</w:t>
      </w:r>
      <w:r w:rsidR="003E48B3">
        <w:rPr>
          <w:lang w:val="en-US"/>
        </w:rPr>
        <w:t xml:space="preserve">Accuracy: </w:t>
      </w:r>
      <w:r w:rsidR="00BF0F2F">
        <w:rPr>
          <w:lang w:val="en-US"/>
        </w:rPr>
        <w:t>0.63</w:t>
      </w:r>
    </w:p>
    <w:p w:rsidR="00364308" w:rsidRPr="00364308" w:rsidRDefault="00364308" w:rsidP="00364308">
      <w:pPr>
        <w:rPr>
          <w:lang w:val="en-US"/>
        </w:rPr>
      </w:pPr>
      <w:r>
        <w:rPr>
          <w:lang w:val="en-US"/>
        </w:rPr>
        <w:t>-</w:t>
      </w:r>
      <w:r w:rsidR="003E48B3">
        <w:rPr>
          <w:lang w:val="en-US"/>
        </w:rPr>
        <w:t xml:space="preserve">Sensitivity: </w:t>
      </w:r>
      <w:r w:rsidR="00BF0F2F">
        <w:rPr>
          <w:lang w:val="en-US"/>
        </w:rPr>
        <w:t>.511</w:t>
      </w:r>
    </w:p>
    <w:p w:rsidR="00364308" w:rsidRPr="00364308" w:rsidRDefault="00364308" w:rsidP="00364308">
      <w:pPr>
        <w:rPr>
          <w:lang w:val="en-US"/>
        </w:rPr>
      </w:pPr>
      <w:r>
        <w:rPr>
          <w:lang w:val="en-US"/>
        </w:rPr>
        <w:t>-</w:t>
      </w:r>
      <w:r w:rsidR="003E48B3">
        <w:rPr>
          <w:lang w:val="en-US"/>
        </w:rPr>
        <w:t xml:space="preserve">Specificity: </w:t>
      </w:r>
      <w:r w:rsidR="00BF0F2F">
        <w:rPr>
          <w:lang w:val="en-US"/>
        </w:rPr>
        <w:t>0.727</w:t>
      </w:r>
    </w:p>
    <w:p w:rsidR="00364308" w:rsidRDefault="00364308" w:rsidP="00364308">
      <w:pPr>
        <w:rPr>
          <w:lang w:val="en-US"/>
        </w:rPr>
      </w:pPr>
      <w:r>
        <w:rPr>
          <w:lang w:val="en-US"/>
        </w:rPr>
        <w:t>-AUC</w:t>
      </w:r>
      <w:r w:rsidR="003E48B3">
        <w:rPr>
          <w:lang w:val="en-US"/>
        </w:rPr>
        <w:t xml:space="preserve">: </w:t>
      </w:r>
      <w:r w:rsidR="00BF0F2F">
        <w:rPr>
          <w:lang w:val="en-US"/>
        </w:rPr>
        <w:t>0.686</w:t>
      </w:r>
    </w:p>
    <w:p w:rsidR="00BF0F2F" w:rsidRPr="00BF0F2F" w:rsidRDefault="00BF0F2F" w:rsidP="00BF0F2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6E1DC"/>
          <w:sz w:val="20"/>
          <w:szCs w:val="20"/>
          <w:lang w:eastAsia="en-GB"/>
        </w:rPr>
      </w:pPr>
      <w:r w:rsidRPr="00BF0F2F">
        <w:rPr>
          <w:rFonts w:ascii="Lucida Console" w:eastAsia="Times New Roman" w:hAnsi="Lucida Console" w:cs="Courier New"/>
          <w:color w:val="E6E1DC"/>
          <w:sz w:val="20"/>
          <w:szCs w:val="20"/>
          <w:lang w:eastAsia="en-GB"/>
        </w:rPr>
        <w:t xml:space="preserve">Accuracy: 0.63 </w:t>
      </w:r>
    </w:p>
    <w:p w:rsidR="00BF0F2F" w:rsidRPr="00BF0F2F" w:rsidRDefault="00BF0F2F" w:rsidP="00BF0F2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6E1DC"/>
          <w:sz w:val="20"/>
          <w:szCs w:val="20"/>
          <w:lang w:eastAsia="en-GB"/>
        </w:rPr>
      </w:pPr>
      <w:r w:rsidRPr="00BF0F2F">
        <w:rPr>
          <w:rFonts w:ascii="Lucida Console" w:eastAsia="Times New Roman" w:hAnsi="Lucida Console" w:cs="Courier New"/>
          <w:color w:val="E6E1DC"/>
          <w:sz w:val="20"/>
          <w:szCs w:val="20"/>
          <w:lang w:eastAsia="en-GB"/>
        </w:rPr>
        <w:t xml:space="preserve">Sensitivity (True Positive Rate): 0.511 </w:t>
      </w:r>
    </w:p>
    <w:p w:rsidR="00BF0F2F" w:rsidRPr="00BF0F2F" w:rsidRDefault="00BF0F2F" w:rsidP="00BF0F2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6E1DC"/>
          <w:sz w:val="20"/>
          <w:szCs w:val="20"/>
          <w:lang w:eastAsia="en-GB"/>
        </w:rPr>
      </w:pPr>
      <w:r w:rsidRPr="00BF0F2F">
        <w:rPr>
          <w:rFonts w:ascii="Lucida Console" w:eastAsia="Times New Roman" w:hAnsi="Lucida Console" w:cs="Courier New"/>
          <w:color w:val="E6E1DC"/>
          <w:sz w:val="20"/>
          <w:szCs w:val="20"/>
          <w:lang w:eastAsia="en-GB"/>
        </w:rPr>
        <w:t xml:space="preserve">Specificity (True Negative Rate): 0.727 </w:t>
      </w:r>
    </w:p>
    <w:p w:rsidR="00BF0F2F" w:rsidRPr="00BF0F2F" w:rsidRDefault="00BF0F2F" w:rsidP="00BF0F2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DC251"/>
          <w:sz w:val="20"/>
          <w:szCs w:val="20"/>
          <w:lang w:eastAsia="en-GB"/>
        </w:rPr>
      </w:pPr>
      <w:r w:rsidRPr="00BF0F2F">
        <w:rPr>
          <w:rFonts w:ascii="Lucida Console" w:eastAsia="Times New Roman" w:hAnsi="Lucida Console" w:cs="Courier New"/>
          <w:color w:val="FDC251"/>
          <w:sz w:val="20"/>
          <w:szCs w:val="20"/>
          <w:lang w:eastAsia="en-GB"/>
        </w:rPr>
        <w:t>Setting levels: control = 0, case = 1</w:t>
      </w:r>
    </w:p>
    <w:p w:rsidR="00BF0F2F" w:rsidRPr="00BF0F2F" w:rsidRDefault="00BF0F2F" w:rsidP="00BF0F2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FDC251"/>
          <w:sz w:val="20"/>
          <w:szCs w:val="20"/>
          <w:lang w:eastAsia="en-GB"/>
        </w:rPr>
      </w:pPr>
      <w:r w:rsidRPr="00BF0F2F">
        <w:rPr>
          <w:rFonts w:ascii="Lucida Console" w:eastAsia="Times New Roman" w:hAnsi="Lucida Console" w:cs="Courier New"/>
          <w:color w:val="FDC251"/>
          <w:sz w:val="20"/>
          <w:szCs w:val="20"/>
          <w:lang w:eastAsia="en-GB"/>
        </w:rPr>
        <w:t>Setting direction: controls &lt; cases</w:t>
      </w:r>
    </w:p>
    <w:p w:rsidR="00BF0F2F" w:rsidRPr="00BF0F2F" w:rsidRDefault="00BF0F2F" w:rsidP="00BF0F2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6E1DC"/>
          <w:sz w:val="20"/>
          <w:szCs w:val="20"/>
          <w:lang w:eastAsia="en-GB"/>
        </w:rPr>
      </w:pPr>
      <w:r w:rsidRPr="00BF0F2F">
        <w:rPr>
          <w:rFonts w:ascii="Lucida Console" w:eastAsia="Times New Roman" w:hAnsi="Lucida Console" w:cs="Courier New"/>
          <w:color w:val="E6E1DC"/>
          <w:sz w:val="20"/>
          <w:szCs w:val="20"/>
          <w:lang w:eastAsia="en-GB"/>
        </w:rPr>
        <w:t xml:space="preserve">AUC: 0.686 </w:t>
      </w:r>
    </w:p>
    <w:p w:rsidR="00BF0F2F" w:rsidRPr="00BF0F2F" w:rsidRDefault="00E10ECD" w:rsidP="00364308">
      <w:r w:rsidRPr="00BF0F2F">
        <w:rPr>
          <w:noProof/>
          <w:lang w:eastAsia="en-GB"/>
        </w:rPr>
        <w:drawing>
          <wp:inline distT="0" distB="0" distL="0" distR="0" wp14:anchorId="247CE065" wp14:editId="65B94394">
            <wp:extent cx="4105275" cy="2234741"/>
            <wp:effectExtent l="0" t="0" r="0" b="0"/>
            <wp:docPr id="3" name="תמונה 3" descr="C:\Users\User1\OneDrive\Documents\שנה ב\סמסטר ד\מבוא לניתוח נתונים(ננ)\project(ננ)\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1\OneDrive\Documents\שנה ב\סמסטר ד\מבוא לניתוח נתונים(ננ)\project(ננ)\AU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2714" cy="2276895"/>
                    </a:xfrm>
                    <a:prstGeom prst="rect">
                      <a:avLst/>
                    </a:prstGeom>
                    <a:noFill/>
                    <a:ln>
                      <a:noFill/>
                    </a:ln>
                  </pic:spPr>
                </pic:pic>
              </a:graphicData>
            </a:graphic>
          </wp:inline>
        </w:drawing>
      </w:r>
    </w:p>
    <w:p w:rsidR="00364308" w:rsidRPr="002A1C80" w:rsidRDefault="00364308" w:rsidP="00364308">
      <w:pPr>
        <w:rPr>
          <w:b/>
          <w:bCs/>
          <w:lang w:val="en-US"/>
        </w:rPr>
      </w:pPr>
      <w:r w:rsidRPr="002A1C80">
        <w:rPr>
          <w:b/>
          <w:bCs/>
          <w:lang w:val="en-US"/>
        </w:rPr>
        <w:t>Interpretation and Findings:</w:t>
      </w:r>
    </w:p>
    <w:p w:rsidR="00364308" w:rsidRPr="00364308" w:rsidRDefault="00364308" w:rsidP="00364308">
      <w:pPr>
        <w:rPr>
          <w:lang w:val="en-US"/>
        </w:rPr>
      </w:pPr>
      <w:r w:rsidRPr="00364308">
        <w:rPr>
          <w:lang w:val="en-US"/>
        </w:rPr>
        <w:t>The logistic regression coefficients (Figure 6) indicated significant predictors of treatment completion:</w:t>
      </w:r>
    </w:p>
    <w:p w:rsidR="00364308" w:rsidRPr="00364308" w:rsidRDefault="00364308" w:rsidP="00364308">
      <w:pPr>
        <w:rPr>
          <w:lang w:val="en-US"/>
        </w:rPr>
      </w:pPr>
      <w:r>
        <w:rPr>
          <w:lang w:val="en-US"/>
        </w:rPr>
        <w:tab/>
        <w:t>-</w:t>
      </w:r>
      <w:r w:rsidRPr="00364308">
        <w:rPr>
          <w:lang w:val="en-US"/>
        </w:rPr>
        <w:t>Positive Coefficients: Associated with factors positively influencing completion.</w:t>
      </w:r>
    </w:p>
    <w:p w:rsidR="00364308" w:rsidRDefault="00364308" w:rsidP="00364308">
      <w:pPr>
        <w:rPr>
          <w:lang w:val="en-US"/>
        </w:rPr>
      </w:pPr>
      <w:r>
        <w:rPr>
          <w:lang w:val="en-US"/>
        </w:rPr>
        <w:tab/>
        <w:t>-</w:t>
      </w:r>
      <w:r w:rsidRPr="00364308">
        <w:rPr>
          <w:lang w:val="en-US"/>
        </w:rPr>
        <w:t>Negative Coefficients: Associated with factors negatively influencing completion.</w:t>
      </w:r>
    </w:p>
    <w:p w:rsidR="00E10ECD" w:rsidRPr="00364308" w:rsidRDefault="00E10ECD" w:rsidP="00E10ECD">
      <w:pPr>
        <w:jc w:val="center"/>
        <w:rPr>
          <w:lang w:val="en-US"/>
        </w:rPr>
      </w:pPr>
      <w:r w:rsidRPr="00E10ECD">
        <w:rPr>
          <w:noProof/>
          <w:lang w:eastAsia="en-GB"/>
        </w:rPr>
        <w:lastRenderedPageBreak/>
        <w:drawing>
          <wp:inline distT="0" distB="0" distL="0" distR="0" wp14:anchorId="5F4D5CA1" wp14:editId="35E76D5F">
            <wp:extent cx="4071667" cy="2512799"/>
            <wp:effectExtent l="0" t="0" r="5080" b="1905"/>
            <wp:docPr id="1" name="תמונה 1" descr="C:\Users\User1\OneDrive\Documents\שנה ב\סמסטר ד\מבוא לניתוח נתונים(ננ)\project(ננ)\Coffec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OneDrive\Documents\שנה ב\סמסטר ד\מבוא לניתוח נתונים(ננ)\project(ננ)\Coffeci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2360" cy="2531741"/>
                    </a:xfrm>
                    <a:prstGeom prst="rect">
                      <a:avLst/>
                    </a:prstGeom>
                    <a:noFill/>
                    <a:ln>
                      <a:noFill/>
                    </a:ln>
                  </pic:spPr>
                </pic:pic>
              </a:graphicData>
            </a:graphic>
          </wp:inline>
        </w:drawing>
      </w:r>
    </w:p>
    <w:p w:rsidR="00364308" w:rsidRDefault="00364308" w:rsidP="00364308">
      <w:pPr>
        <w:rPr>
          <w:u w:val="single"/>
          <w:lang w:val="en-US"/>
        </w:rPr>
      </w:pPr>
      <w:r w:rsidRPr="002A1C80">
        <w:rPr>
          <w:b/>
          <w:bCs/>
          <w:lang w:val="en-US"/>
        </w:rPr>
        <w:t>Model Validation:</w:t>
      </w:r>
      <w:r>
        <w:rPr>
          <w:u w:val="single"/>
          <w:lang w:val="en-US"/>
        </w:rPr>
        <w:t xml:space="preserve"> </w:t>
      </w:r>
      <w:r w:rsidRPr="00364308">
        <w:rPr>
          <w:lang w:val="en-US"/>
        </w:rPr>
        <w:t>Cross-validation and ROC curve analysis (Figure 7) validated the model's robustness and predictive capability, demonstrating consistent performance across different folds and confirming the model's fit to the data.</w:t>
      </w:r>
      <w:r>
        <w:rPr>
          <w:u w:val="single"/>
          <w:lang w:val="en-US"/>
        </w:rPr>
        <w:t xml:space="preserve"> </w:t>
      </w:r>
    </w:p>
    <w:p w:rsidR="00E10ECD" w:rsidRDefault="00364308" w:rsidP="00E10ECD">
      <w:pPr>
        <w:rPr>
          <w:u w:val="single"/>
          <w:lang w:val="en-US"/>
        </w:rPr>
      </w:pPr>
      <w:r w:rsidRPr="002A1C80">
        <w:rPr>
          <w:b/>
          <w:bCs/>
          <w:lang w:val="en-US"/>
        </w:rPr>
        <w:t>Discussion:</w:t>
      </w:r>
      <w:r>
        <w:rPr>
          <w:u w:val="single"/>
          <w:lang w:val="en-US"/>
        </w:rPr>
        <w:t xml:space="preserve"> </w:t>
      </w:r>
    </w:p>
    <w:p w:rsidR="00E10ECD" w:rsidRPr="00E10ECD" w:rsidRDefault="00364308" w:rsidP="00E10ECD">
      <w:r w:rsidRPr="00364308">
        <w:rPr>
          <w:lang w:val="en-US"/>
        </w:rPr>
        <w:t>Implications and Limitations</w:t>
      </w:r>
      <w:r>
        <w:rPr>
          <w:lang w:val="en-US"/>
        </w:rPr>
        <w:t xml:space="preserve">: </w:t>
      </w:r>
      <w:r w:rsidRPr="00364308">
        <w:rPr>
          <w:lang w:val="en-US"/>
        </w:rPr>
        <w:t>The results underscore the predictive power of demographic factors and substance use characteristics in determining treatment outcomes. Insights gained from EDA and model findings highlight opportunities for targeted interventions based on demographic profiles and substance preferences to enhance treatment efficacy and completion rates. However, limitations include potential biases from self-reported data and the complexity of real-world treatment dynamics not fully captured by the model.</w:t>
      </w:r>
      <w:r w:rsidR="00E10ECD" w:rsidRPr="00E10ECD">
        <w:t xml:space="preserve"> </w:t>
      </w:r>
    </w:p>
    <w:p w:rsidR="00D75E0B" w:rsidRPr="00E10ECD" w:rsidRDefault="00D75E0B" w:rsidP="00364308">
      <w:pPr>
        <w:rPr>
          <w:u w:val="single"/>
        </w:rPr>
      </w:pPr>
    </w:p>
    <w:sectPr w:rsidR="00D75E0B" w:rsidRPr="00E10ECD">
      <w:head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0E0" w:rsidRDefault="007510E0" w:rsidP="00F357CA">
      <w:pPr>
        <w:spacing w:after="0" w:line="240" w:lineRule="auto"/>
      </w:pPr>
      <w:r>
        <w:separator/>
      </w:r>
    </w:p>
  </w:endnote>
  <w:endnote w:type="continuationSeparator" w:id="0">
    <w:p w:rsidR="007510E0" w:rsidRDefault="007510E0" w:rsidP="00F35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0E0" w:rsidRDefault="007510E0" w:rsidP="00F357CA">
      <w:pPr>
        <w:spacing w:after="0" w:line="240" w:lineRule="auto"/>
      </w:pPr>
      <w:r>
        <w:separator/>
      </w:r>
    </w:p>
  </w:footnote>
  <w:footnote w:type="continuationSeparator" w:id="0">
    <w:p w:rsidR="007510E0" w:rsidRDefault="007510E0" w:rsidP="00F35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7CA" w:rsidRPr="00D339AB" w:rsidRDefault="00F357CA" w:rsidP="00F357CA">
    <w:pPr>
      <w:pStyle w:val="a4"/>
      <w:bidi/>
      <w:rPr>
        <w:rFonts w:cstheme="minorHAnsi"/>
        <w:color w:val="000000"/>
        <w:sz w:val="18"/>
        <w:szCs w:val="18"/>
        <w:rtl/>
        <w:lang w:val="en-US" w:bidi="he-IL"/>
      </w:rPr>
    </w:pPr>
    <w:r w:rsidRPr="00D339AB">
      <w:rPr>
        <w:rFonts w:cstheme="minorHAnsi"/>
        <w:color w:val="000000"/>
        <w:sz w:val="18"/>
        <w:szCs w:val="18"/>
      </w:rPr>
      <w:t> </w:t>
    </w:r>
    <w:r w:rsidRPr="00D339AB">
      <w:rPr>
        <w:rFonts w:cstheme="minorHAnsi"/>
        <w:color w:val="000000"/>
        <w:sz w:val="18"/>
        <w:szCs w:val="18"/>
        <w:rtl/>
        <w:lang w:bidi="he-IL"/>
      </w:rPr>
      <w:t>אוניברסיטת בן-גוריון בנגב</w:t>
    </w:r>
    <w:r w:rsidRPr="00D339AB">
      <w:rPr>
        <w:rFonts w:cstheme="minorHAnsi"/>
        <w:color w:val="000000"/>
        <w:sz w:val="18"/>
        <w:szCs w:val="18"/>
        <w:lang w:bidi="he-IL"/>
      </w:rPr>
      <w:t xml:space="preserve">   </w:t>
    </w:r>
    <w:r w:rsidRPr="00D339AB">
      <w:rPr>
        <w:rFonts w:cstheme="minorHAnsi"/>
        <w:color w:val="000000"/>
        <w:sz w:val="18"/>
        <w:szCs w:val="18"/>
        <w:rtl/>
        <w:lang w:val="en-US" w:bidi="he-IL"/>
      </w:rPr>
      <w:t xml:space="preserve">                                                    מבוא לניתוח נתונים                                                 תשפ"ד -  2024</w:t>
    </w:r>
  </w:p>
  <w:p w:rsidR="00F357CA" w:rsidRPr="00D339AB" w:rsidRDefault="00F357CA" w:rsidP="00F357CA">
    <w:pPr>
      <w:pStyle w:val="a4"/>
      <w:bidi/>
      <w:jc w:val="center"/>
      <w:rPr>
        <w:rFonts w:cstheme="minorHAnsi"/>
        <w:rtl/>
        <w:lang w:val="en-US" w:bidi="he-IL"/>
      </w:rPr>
    </w:pPr>
    <w:r w:rsidRPr="00D339AB">
      <w:rPr>
        <w:rFonts w:cstheme="minorHAnsi"/>
        <w:rtl/>
        <w:lang w:bidi="he-IL"/>
      </w:rPr>
      <w:t xml:space="preserve">             </w:t>
    </w:r>
    <w:r w:rsidRPr="00D339AB">
      <w:rPr>
        <w:rFonts w:cstheme="minorHAnsi"/>
      </w:rPr>
      <w:t>38212601</w:t>
    </w:r>
    <w:r w:rsidRPr="00D339AB">
      <w:rPr>
        <w:rFonts w:cstheme="minorHAnsi"/>
        <w:rtl/>
        <w:lang w:bidi="he-IL"/>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24E2E"/>
    <w:multiLevelType w:val="multilevel"/>
    <w:tmpl w:val="F9DE6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CF4"/>
    <w:rsid w:val="000052F7"/>
    <w:rsid w:val="00021A1D"/>
    <w:rsid w:val="000B2EAF"/>
    <w:rsid w:val="000D3284"/>
    <w:rsid w:val="001965B3"/>
    <w:rsid w:val="002A1C80"/>
    <w:rsid w:val="003008CA"/>
    <w:rsid w:val="00364308"/>
    <w:rsid w:val="003E48B3"/>
    <w:rsid w:val="004423FA"/>
    <w:rsid w:val="00476AF5"/>
    <w:rsid w:val="00611961"/>
    <w:rsid w:val="00624D8E"/>
    <w:rsid w:val="006940FF"/>
    <w:rsid w:val="007510E0"/>
    <w:rsid w:val="008A0498"/>
    <w:rsid w:val="00A039DA"/>
    <w:rsid w:val="00AB6CF4"/>
    <w:rsid w:val="00B26774"/>
    <w:rsid w:val="00BC2AE1"/>
    <w:rsid w:val="00BF0F2F"/>
    <w:rsid w:val="00C27419"/>
    <w:rsid w:val="00D339AB"/>
    <w:rsid w:val="00D75E0B"/>
    <w:rsid w:val="00E10ECD"/>
    <w:rsid w:val="00EF3C49"/>
    <w:rsid w:val="00F31E8B"/>
    <w:rsid w:val="00F357C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24A3"/>
  <w15:chartTrackingRefBased/>
  <w15:docId w15:val="{E5EC75E6-7A40-43F5-A8D7-3FA2C7825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0D328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1965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a3">
    <w:name w:val="Strong"/>
    <w:basedOn w:val="a0"/>
    <w:uiPriority w:val="22"/>
    <w:qFormat/>
    <w:rsid w:val="001965B3"/>
    <w:rPr>
      <w:b/>
      <w:bCs/>
    </w:rPr>
  </w:style>
  <w:style w:type="paragraph" w:styleId="HTML">
    <w:name w:val="HTML Preformatted"/>
    <w:basedOn w:val="a"/>
    <w:link w:val="HTML0"/>
    <w:uiPriority w:val="99"/>
    <w:semiHidden/>
    <w:unhideWhenUsed/>
    <w:rsid w:val="00BF0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0">
    <w:name w:val="HTML מעוצב מראש תו"/>
    <w:basedOn w:val="a0"/>
    <w:link w:val="HTML"/>
    <w:uiPriority w:val="99"/>
    <w:semiHidden/>
    <w:rsid w:val="00BF0F2F"/>
    <w:rPr>
      <w:rFonts w:ascii="Courier New" w:eastAsia="Times New Roman" w:hAnsi="Courier New" w:cs="Courier New"/>
      <w:sz w:val="20"/>
      <w:szCs w:val="20"/>
      <w:lang w:eastAsia="en-GB"/>
    </w:rPr>
  </w:style>
  <w:style w:type="character" w:customStyle="1" w:styleId="aceconstant">
    <w:name w:val="ace_constant"/>
    <w:basedOn w:val="a0"/>
    <w:rsid w:val="00BF0F2F"/>
  </w:style>
  <w:style w:type="paragraph" w:styleId="a4">
    <w:name w:val="header"/>
    <w:basedOn w:val="a"/>
    <w:link w:val="a5"/>
    <w:uiPriority w:val="99"/>
    <w:unhideWhenUsed/>
    <w:rsid w:val="00F357CA"/>
    <w:pPr>
      <w:tabs>
        <w:tab w:val="center" w:pos="4153"/>
        <w:tab w:val="right" w:pos="8306"/>
      </w:tabs>
      <w:spacing w:after="0" w:line="240" w:lineRule="auto"/>
    </w:pPr>
  </w:style>
  <w:style w:type="character" w:customStyle="1" w:styleId="a5">
    <w:name w:val="כותרת עליונה תו"/>
    <w:basedOn w:val="a0"/>
    <w:link w:val="a4"/>
    <w:uiPriority w:val="99"/>
    <w:rsid w:val="00F357CA"/>
  </w:style>
  <w:style w:type="paragraph" w:styleId="a6">
    <w:name w:val="footer"/>
    <w:basedOn w:val="a"/>
    <w:link w:val="a7"/>
    <w:uiPriority w:val="99"/>
    <w:unhideWhenUsed/>
    <w:rsid w:val="00F357CA"/>
    <w:pPr>
      <w:tabs>
        <w:tab w:val="center" w:pos="4153"/>
        <w:tab w:val="right" w:pos="8306"/>
      </w:tabs>
      <w:spacing w:after="0" w:line="240" w:lineRule="auto"/>
    </w:pPr>
  </w:style>
  <w:style w:type="character" w:customStyle="1" w:styleId="a7">
    <w:name w:val="כותרת תחתונה תו"/>
    <w:basedOn w:val="a0"/>
    <w:link w:val="a6"/>
    <w:uiPriority w:val="99"/>
    <w:rsid w:val="00F357CA"/>
  </w:style>
  <w:style w:type="character" w:customStyle="1" w:styleId="40">
    <w:name w:val="כותרת 4 תו"/>
    <w:basedOn w:val="a0"/>
    <w:link w:val="4"/>
    <w:uiPriority w:val="9"/>
    <w:rsid w:val="000D3284"/>
    <w:rPr>
      <w:rFonts w:ascii="Times New Roman" w:eastAsia="Times New Roman" w:hAnsi="Times New Roman"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97859">
      <w:bodyDiv w:val="1"/>
      <w:marLeft w:val="0"/>
      <w:marRight w:val="0"/>
      <w:marTop w:val="0"/>
      <w:marBottom w:val="0"/>
      <w:divBdr>
        <w:top w:val="none" w:sz="0" w:space="0" w:color="auto"/>
        <w:left w:val="none" w:sz="0" w:space="0" w:color="auto"/>
        <w:bottom w:val="none" w:sz="0" w:space="0" w:color="auto"/>
        <w:right w:val="none" w:sz="0" w:space="0" w:color="auto"/>
      </w:divBdr>
    </w:div>
    <w:div w:id="110756563">
      <w:bodyDiv w:val="1"/>
      <w:marLeft w:val="0"/>
      <w:marRight w:val="0"/>
      <w:marTop w:val="0"/>
      <w:marBottom w:val="0"/>
      <w:divBdr>
        <w:top w:val="none" w:sz="0" w:space="0" w:color="auto"/>
        <w:left w:val="none" w:sz="0" w:space="0" w:color="auto"/>
        <w:bottom w:val="none" w:sz="0" w:space="0" w:color="auto"/>
        <w:right w:val="none" w:sz="0" w:space="0" w:color="auto"/>
      </w:divBdr>
    </w:div>
    <w:div w:id="368116005">
      <w:bodyDiv w:val="1"/>
      <w:marLeft w:val="0"/>
      <w:marRight w:val="0"/>
      <w:marTop w:val="0"/>
      <w:marBottom w:val="0"/>
      <w:divBdr>
        <w:top w:val="none" w:sz="0" w:space="0" w:color="auto"/>
        <w:left w:val="none" w:sz="0" w:space="0" w:color="auto"/>
        <w:bottom w:val="none" w:sz="0" w:space="0" w:color="auto"/>
        <w:right w:val="none" w:sz="0" w:space="0" w:color="auto"/>
      </w:divBdr>
    </w:div>
    <w:div w:id="455415921">
      <w:bodyDiv w:val="1"/>
      <w:marLeft w:val="0"/>
      <w:marRight w:val="0"/>
      <w:marTop w:val="0"/>
      <w:marBottom w:val="0"/>
      <w:divBdr>
        <w:top w:val="none" w:sz="0" w:space="0" w:color="auto"/>
        <w:left w:val="none" w:sz="0" w:space="0" w:color="auto"/>
        <w:bottom w:val="none" w:sz="0" w:space="0" w:color="auto"/>
        <w:right w:val="none" w:sz="0" w:space="0" w:color="auto"/>
      </w:divBdr>
    </w:div>
    <w:div w:id="546838921">
      <w:bodyDiv w:val="1"/>
      <w:marLeft w:val="0"/>
      <w:marRight w:val="0"/>
      <w:marTop w:val="0"/>
      <w:marBottom w:val="0"/>
      <w:divBdr>
        <w:top w:val="none" w:sz="0" w:space="0" w:color="auto"/>
        <w:left w:val="none" w:sz="0" w:space="0" w:color="auto"/>
        <w:bottom w:val="none" w:sz="0" w:space="0" w:color="auto"/>
        <w:right w:val="none" w:sz="0" w:space="0" w:color="auto"/>
      </w:divBdr>
    </w:div>
    <w:div w:id="719089246">
      <w:bodyDiv w:val="1"/>
      <w:marLeft w:val="0"/>
      <w:marRight w:val="0"/>
      <w:marTop w:val="0"/>
      <w:marBottom w:val="0"/>
      <w:divBdr>
        <w:top w:val="none" w:sz="0" w:space="0" w:color="auto"/>
        <w:left w:val="none" w:sz="0" w:space="0" w:color="auto"/>
        <w:bottom w:val="none" w:sz="0" w:space="0" w:color="auto"/>
        <w:right w:val="none" w:sz="0" w:space="0" w:color="auto"/>
      </w:divBdr>
    </w:div>
    <w:div w:id="900796537">
      <w:bodyDiv w:val="1"/>
      <w:marLeft w:val="0"/>
      <w:marRight w:val="0"/>
      <w:marTop w:val="0"/>
      <w:marBottom w:val="0"/>
      <w:divBdr>
        <w:top w:val="none" w:sz="0" w:space="0" w:color="auto"/>
        <w:left w:val="none" w:sz="0" w:space="0" w:color="auto"/>
        <w:bottom w:val="none" w:sz="0" w:space="0" w:color="auto"/>
        <w:right w:val="none" w:sz="0" w:space="0" w:color="auto"/>
      </w:divBdr>
    </w:div>
    <w:div w:id="1248688883">
      <w:bodyDiv w:val="1"/>
      <w:marLeft w:val="0"/>
      <w:marRight w:val="0"/>
      <w:marTop w:val="0"/>
      <w:marBottom w:val="0"/>
      <w:divBdr>
        <w:top w:val="none" w:sz="0" w:space="0" w:color="auto"/>
        <w:left w:val="none" w:sz="0" w:space="0" w:color="auto"/>
        <w:bottom w:val="none" w:sz="0" w:space="0" w:color="auto"/>
        <w:right w:val="none" w:sz="0" w:space="0" w:color="auto"/>
      </w:divBdr>
    </w:div>
    <w:div w:id="1395616941">
      <w:bodyDiv w:val="1"/>
      <w:marLeft w:val="0"/>
      <w:marRight w:val="0"/>
      <w:marTop w:val="0"/>
      <w:marBottom w:val="0"/>
      <w:divBdr>
        <w:top w:val="none" w:sz="0" w:space="0" w:color="auto"/>
        <w:left w:val="none" w:sz="0" w:space="0" w:color="auto"/>
        <w:bottom w:val="none" w:sz="0" w:space="0" w:color="auto"/>
        <w:right w:val="none" w:sz="0" w:space="0" w:color="auto"/>
      </w:divBdr>
    </w:div>
    <w:div w:id="1402561846">
      <w:bodyDiv w:val="1"/>
      <w:marLeft w:val="0"/>
      <w:marRight w:val="0"/>
      <w:marTop w:val="0"/>
      <w:marBottom w:val="0"/>
      <w:divBdr>
        <w:top w:val="none" w:sz="0" w:space="0" w:color="auto"/>
        <w:left w:val="none" w:sz="0" w:space="0" w:color="auto"/>
        <w:bottom w:val="none" w:sz="0" w:space="0" w:color="auto"/>
        <w:right w:val="none" w:sz="0" w:space="0" w:color="auto"/>
      </w:divBdr>
    </w:div>
    <w:div w:id="1422987071">
      <w:bodyDiv w:val="1"/>
      <w:marLeft w:val="0"/>
      <w:marRight w:val="0"/>
      <w:marTop w:val="0"/>
      <w:marBottom w:val="0"/>
      <w:divBdr>
        <w:top w:val="none" w:sz="0" w:space="0" w:color="auto"/>
        <w:left w:val="none" w:sz="0" w:space="0" w:color="auto"/>
        <w:bottom w:val="none" w:sz="0" w:space="0" w:color="auto"/>
        <w:right w:val="none" w:sz="0" w:space="0" w:color="auto"/>
      </w:divBdr>
    </w:div>
    <w:div w:id="1424954993">
      <w:bodyDiv w:val="1"/>
      <w:marLeft w:val="0"/>
      <w:marRight w:val="0"/>
      <w:marTop w:val="0"/>
      <w:marBottom w:val="0"/>
      <w:divBdr>
        <w:top w:val="none" w:sz="0" w:space="0" w:color="auto"/>
        <w:left w:val="none" w:sz="0" w:space="0" w:color="auto"/>
        <w:bottom w:val="none" w:sz="0" w:space="0" w:color="auto"/>
        <w:right w:val="none" w:sz="0" w:space="0" w:color="auto"/>
      </w:divBdr>
    </w:div>
    <w:div w:id="1794013219">
      <w:bodyDiv w:val="1"/>
      <w:marLeft w:val="0"/>
      <w:marRight w:val="0"/>
      <w:marTop w:val="0"/>
      <w:marBottom w:val="0"/>
      <w:divBdr>
        <w:top w:val="none" w:sz="0" w:space="0" w:color="auto"/>
        <w:left w:val="none" w:sz="0" w:space="0" w:color="auto"/>
        <w:bottom w:val="none" w:sz="0" w:space="0" w:color="auto"/>
        <w:right w:val="none" w:sz="0" w:space="0" w:color="auto"/>
      </w:divBdr>
    </w:div>
    <w:div w:id="1884827032">
      <w:bodyDiv w:val="1"/>
      <w:marLeft w:val="0"/>
      <w:marRight w:val="0"/>
      <w:marTop w:val="0"/>
      <w:marBottom w:val="0"/>
      <w:divBdr>
        <w:top w:val="none" w:sz="0" w:space="0" w:color="auto"/>
        <w:left w:val="none" w:sz="0" w:space="0" w:color="auto"/>
        <w:bottom w:val="none" w:sz="0" w:space="0" w:color="auto"/>
        <w:right w:val="none" w:sz="0" w:space="0" w:color="auto"/>
      </w:divBdr>
    </w:div>
    <w:div w:id="203511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5</Pages>
  <Words>1018</Words>
  <Characters>5809</Characters>
  <Application>Microsoft Office Word</Application>
  <DocSecurity>0</DocSecurity>
  <Lines>48</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9</cp:revision>
  <dcterms:created xsi:type="dcterms:W3CDTF">2024-07-09T10:41:00Z</dcterms:created>
  <dcterms:modified xsi:type="dcterms:W3CDTF">2024-07-17T18:32:00Z</dcterms:modified>
</cp:coreProperties>
</file>