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canon-3-accusec-architecture"/>
    <w:p>
      <w:pPr>
        <w:pStyle w:val="Heading1"/>
      </w:pPr>
      <w:r>
        <w:t xml:space="preserve">Canon 3 — AccuSec Architecture</w:t>
      </w:r>
    </w:p>
    <w:bookmarkStart w:id="21" w:name="part-ii-high-level-logical-architecture"/>
    <w:p>
      <w:pPr>
        <w:pStyle w:val="Heading2"/>
      </w:pPr>
      <w:r>
        <w:t xml:space="preserve">Part II — High-Level Logical Architecture</w:t>
      </w:r>
    </w:p>
    <w:bookmarkStart w:id="20" w:name="document-status"/>
    <w:p>
      <w:pPr>
        <w:pStyle w:val="Heading3"/>
      </w:pPr>
      <w:r>
        <w:t xml:space="preserve">Document Status</w:t>
      </w:r>
    </w:p>
    <w:p>
      <w:pPr>
        <w:pStyle w:val="FirstParagraph"/>
      </w:pPr>
      <w:r>
        <w:rPr>
          <w:b/>
          <w:bCs/>
        </w:rPr>
        <w:t xml:space="preserve">Status:</w:t>
      </w:r>
      <w:r>
        <w:t xml:space="preserve"> </w:t>
      </w:r>
      <w:r>
        <w:t xml:space="preserve">Working canonical draft</w:t>
      </w:r>
      <w:r>
        <w:br/>
      </w:r>
      <w:r>
        <w:rPr>
          <w:b/>
          <w:bCs/>
        </w:rPr>
        <w:t xml:space="preserve">Architecture level:</w:t>
      </w:r>
      <w:r>
        <w:t xml:space="preserve"> </w:t>
      </w:r>
      <w:r>
        <w:t xml:space="preserve">High-level logical architecture</w:t>
      </w:r>
      <w:r>
        <w:br/>
      </w:r>
      <w:r>
        <w:rPr>
          <w:b/>
          <w:bCs/>
        </w:rPr>
        <w:t xml:space="preserve">Scope:</w:t>
      </w:r>
      <w:r>
        <w:t xml:space="preserve"> </w:t>
      </w:r>
      <w:r>
        <w:t xml:space="preserve">AccuSec Enterprise AI Operating System</w:t>
      </w:r>
      <w:r>
        <w:br/>
      </w:r>
      <w:r>
        <w:rPr>
          <w:b/>
          <w:bCs/>
        </w:rPr>
        <w:t xml:space="preserve">Initial domain:</w:t>
      </w:r>
      <w:r>
        <w:t xml:space="preserve"> </w:t>
      </w:r>
      <w:r>
        <w:t xml:space="preserve">Hybrid Cloud Infrastructure Management</w:t>
      </w:r>
      <w:r>
        <w:br/>
      </w:r>
      <w:r>
        <w:rPr>
          <w:b/>
          <w:bCs/>
        </w:rPr>
        <w:t xml:space="preserve">Audience:</w:t>
      </w:r>
      <w:r>
        <w:t xml:space="preserve"> </w:t>
      </w:r>
      <w:r>
        <w:t xml:space="preserve">Product architects, software architects, security architects, engineers, SREs, integration engineers, design partners, and technical reviewers</w:t>
      </w:r>
    </w:p>
    <w:p>
      <w:r>
        <w:pict>
          <v:rect style="width:0;height:1.5pt" o:hralign="center" o:hrstd="t" o:hr="t"/>
        </w:pict>
      </w:r>
    </w:p>
    <w:bookmarkEnd w:id="20"/>
    <w:bookmarkEnd w:id="21"/>
    <w:bookmarkEnd w:id="22"/>
    <w:bookmarkStart w:id="25" w:name="high-level-logical-architecture"/>
    <w:p>
      <w:pPr>
        <w:pStyle w:val="Heading1"/>
      </w:pPr>
      <w:r>
        <w:t xml:space="preserve">2. High-Level Logical Architecture</w:t>
      </w:r>
    </w:p>
    <w:bookmarkStart w:id="23" w:name="purpose"/>
    <w:p>
      <w:pPr>
        <w:pStyle w:val="Heading2"/>
      </w:pPr>
      <w:r>
        <w:t xml:space="preserve">2.1 Purpose</w:t>
      </w:r>
    </w:p>
    <w:p>
      <w:pPr>
        <w:pStyle w:val="FirstParagraph"/>
      </w:pPr>
      <w:r>
        <w:t xml:space="preserve">This chapter defines the high-level logical architecture of the AccuSec Enterprise AI Operating System.</w:t>
      </w:r>
    </w:p>
    <w:p>
      <w:pPr>
        <w:pStyle w:val="BodyText"/>
      </w:pPr>
      <w:r>
        <w:t xml:space="preserve">It establishes:</w:t>
      </w:r>
    </w:p>
    <w:p>
      <w:pPr>
        <w:pStyle w:val="Compact"/>
        <w:numPr>
          <w:ilvl w:val="0"/>
          <w:numId w:val="1001"/>
        </w:numPr>
      </w:pPr>
      <w:r>
        <w:t xml:space="preserve">the major logical components of the system;</w:t>
      </w:r>
    </w:p>
    <w:p>
      <w:pPr>
        <w:pStyle w:val="Compact"/>
        <w:numPr>
          <w:ilvl w:val="0"/>
          <w:numId w:val="1001"/>
        </w:numPr>
      </w:pPr>
      <w:r>
        <w:t xml:space="preserve">the responsibilities owned by each component;</w:t>
      </w:r>
    </w:p>
    <w:p>
      <w:pPr>
        <w:pStyle w:val="Compact"/>
        <w:numPr>
          <w:ilvl w:val="0"/>
          <w:numId w:val="1001"/>
        </w:numPr>
      </w:pPr>
      <w:r>
        <w:t xml:space="preserve">the boundaries between components;</w:t>
      </w:r>
    </w:p>
    <w:p>
      <w:pPr>
        <w:pStyle w:val="Compact"/>
        <w:numPr>
          <w:ilvl w:val="0"/>
          <w:numId w:val="1001"/>
        </w:numPr>
      </w:pPr>
      <w:r>
        <w:t xml:space="preserve">the allowed communication paths;</w:t>
      </w:r>
    </w:p>
    <w:p>
      <w:pPr>
        <w:pStyle w:val="Compact"/>
        <w:numPr>
          <w:ilvl w:val="0"/>
          <w:numId w:val="1001"/>
        </w:numPr>
      </w:pPr>
      <w:r>
        <w:t xml:space="preserve">synchronous and asynchronous interaction patterns;</w:t>
      </w:r>
    </w:p>
    <w:p>
      <w:pPr>
        <w:pStyle w:val="Compact"/>
        <w:numPr>
          <w:ilvl w:val="0"/>
          <w:numId w:val="1001"/>
        </w:numPr>
      </w:pPr>
      <w:r>
        <w:t xml:space="preserve">identity, trust, and authorization boundaries;</w:t>
      </w:r>
    </w:p>
    <w:p>
      <w:pPr>
        <w:pStyle w:val="Compact"/>
        <w:numPr>
          <w:ilvl w:val="0"/>
          <w:numId w:val="1001"/>
        </w:numPr>
      </w:pPr>
      <w:r>
        <w:t xml:space="preserve">authoritative and derived data boundaries;</w:t>
      </w:r>
    </w:p>
    <w:p>
      <w:pPr>
        <w:pStyle w:val="Compact"/>
        <w:numPr>
          <w:ilvl w:val="0"/>
          <w:numId w:val="1001"/>
        </w:numPr>
      </w:pPr>
      <w:r>
        <w:t xml:space="preserve">the relationship between AI reasoning and deterministic execution;</w:t>
      </w:r>
    </w:p>
    <w:p>
      <w:pPr>
        <w:pStyle w:val="Compact"/>
        <w:numPr>
          <w:ilvl w:val="0"/>
          <w:numId w:val="1001"/>
        </w:numPr>
      </w:pPr>
      <w:r>
        <w:t xml:space="preserve">and the logical separation between the AccuSec control plane and managed enterprise systems.</w:t>
      </w:r>
    </w:p>
    <w:p>
      <w:pPr>
        <w:pStyle w:val="FirstParagraph"/>
      </w:pPr>
      <w:r>
        <w:t xml:space="preserve">This chapter is an architectural contract. Subsequent chapters may refine the internal implementation of each component, but they must preserve the responsibilities, security invariants, and boundaries defined here unless this document is formally revised.</w:t>
      </w:r>
    </w:p>
    <w:p>
      <w:pPr>
        <w:pStyle w:val="BodyText"/>
      </w:pPr>
      <w:r>
        <w:t xml:space="preserve">The architecture is designed to support two deployment profiles:</w:t>
      </w:r>
    </w:p>
    <w:p>
      <w:pPr>
        <w:numPr>
          <w:ilvl w:val="0"/>
          <w:numId w:val="1002"/>
        </w:numPr>
      </w:pPr>
      <w:r>
        <w:rPr>
          <w:b/>
          <w:bCs/>
        </w:rPr>
        <w:t xml:space="preserve">AccuSec Basic Edition</w:t>
      </w:r>
    </w:p>
    <w:p>
      <w:pPr>
        <w:numPr>
          <w:ilvl w:val="0"/>
          <w:numId w:val="1000"/>
        </w:numPr>
      </w:pPr>
      <w:r>
        <w:t xml:space="preserve">A primarily single-user deployment running on an administrator workstation or an administrator-controlled local environment.</w:t>
      </w:r>
    </w:p>
    <w:p>
      <w:pPr>
        <w:numPr>
          <w:ilvl w:val="0"/>
          <w:numId w:val="1002"/>
        </w:numPr>
      </w:pPr>
      <w:r>
        <w:rPr>
          <w:b/>
          <w:bCs/>
        </w:rPr>
        <w:t xml:space="preserve">AccuSec Enterprise Edition</w:t>
      </w:r>
    </w:p>
    <w:p>
      <w:pPr>
        <w:numPr>
          <w:ilvl w:val="0"/>
          <w:numId w:val="1000"/>
        </w:numPr>
      </w:pPr>
      <w:r>
        <w:t xml:space="preserve">A multi-user, multi-tenant-capable deployment running in a customer-controlled data center, private cloud, public cloud account, or approved managed-service-provider environment.</w:t>
      </w:r>
    </w:p>
    <w:p>
      <w:pPr>
        <w:pStyle w:val="FirstParagraph"/>
      </w:pPr>
      <w:r>
        <w:t xml:space="preserve">The logical architecture remains consistent across both profiles. Components may be consolidated into fewer processes in the Basic Edition and separated into independently scalable services in the Enterprise Edition.</w:t>
      </w:r>
    </w:p>
    <w:p>
      <w:r>
        <w:pict>
          <v:rect style="width:0;height:1.5pt" o:hralign="center" o:hrstd="t" o:hr="t"/>
        </w:pict>
      </w:r>
    </w:p>
    <w:bookmarkEnd w:id="23"/>
    <w:bookmarkStart w:id="24" w:name="architecture-objective"/>
    <w:p>
      <w:pPr>
        <w:pStyle w:val="Heading2"/>
      </w:pPr>
      <w:r>
        <w:t xml:space="preserve">2.2 Architecture Objective</w:t>
      </w:r>
    </w:p>
    <w:p>
      <w:pPr>
        <w:pStyle w:val="FirstParagraph"/>
      </w:pPr>
      <w:r>
        <w:t xml:space="preserve">AccuSec provides the controlled runtime between probabilistic AI reasoning and deterministic enterprise execution.</w:t>
      </w:r>
    </w:p>
    <w:p>
      <w:pPr>
        <w:pStyle w:val="BodyText"/>
      </w:pPr>
      <w:r>
        <w:t xml:space="preserve">The architecture must enable AI to:</w:t>
      </w:r>
    </w:p>
    <w:p>
      <w:pPr>
        <w:pStyle w:val="Compact"/>
        <w:numPr>
          <w:ilvl w:val="0"/>
          <w:numId w:val="1003"/>
        </w:numPr>
      </w:pPr>
      <w:r>
        <w:t xml:space="preserve">interpret user intent;</w:t>
      </w:r>
    </w:p>
    <w:p>
      <w:pPr>
        <w:pStyle w:val="Compact"/>
        <w:numPr>
          <w:ilvl w:val="0"/>
          <w:numId w:val="1003"/>
        </w:numPr>
      </w:pPr>
      <w:r>
        <w:t xml:space="preserve">obtain current operational context;</w:t>
      </w:r>
    </w:p>
    <w:p>
      <w:pPr>
        <w:pStyle w:val="Compact"/>
        <w:numPr>
          <w:ilvl w:val="0"/>
          <w:numId w:val="1003"/>
        </w:numPr>
      </w:pPr>
      <w:r>
        <w:t xml:space="preserve">reason about infrastructure state;</w:t>
      </w:r>
    </w:p>
    <w:p>
      <w:pPr>
        <w:pStyle w:val="Compact"/>
        <w:numPr>
          <w:ilvl w:val="0"/>
          <w:numId w:val="1003"/>
        </w:numPr>
      </w:pPr>
      <w:r>
        <w:t xml:space="preserve">create an execution plan;</w:t>
      </w:r>
    </w:p>
    <w:p>
      <w:pPr>
        <w:pStyle w:val="Compact"/>
        <w:numPr>
          <w:ilvl w:val="0"/>
          <w:numId w:val="1003"/>
        </w:numPr>
      </w:pPr>
      <w:r>
        <w:t xml:space="preserve">select approved skills and tools;</w:t>
      </w:r>
    </w:p>
    <w:p>
      <w:pPr>
        <w:pStyle w:val="Compact"/>
        <w:numPr>
          <w:ilvl w:val="0"/>
          <w:numId w:val="1003"/>
        </w:numPr>
      </w:pPr>
      <w:r>
        <w:t xml:space="preserve">verify authorization;</w:t>
      </w:r>
    </w:p>
    <w:p>
      <w:pPr>
        <w:pStyle w:val="Compact"/>
        <w:numPr>
          <w:ilvl w:val="0"/>
          <w:numId w:val="1003"/>
        </w:numPr>
      </w:pPr>
      <w:r>
        <w:t xml:space="preserve">obtain human approval when required;</w:t>
      </w:r>
    </w:p>
    <w:p>
      <w:pPr>
        <w:pStyle w:val="Compact"/>
        <w:numPr>
          <w:ilvl w:val="0"/>
          <w:numId w:val="1003"/>
        </w:numPr>
      </w:pPr>
      <w:r>
        <w:t xml:space="preserve">execute operations through governed interfaces;</w:t>
      </w:r>
    </w:p>
    <w:p>
      <w:pPr>
        <w:pStyle w:val="Compact"/>
        <w:numPr>
          <w:ilvl w:val="0"/>
          <w:numId w:val="1003"/>
        </w:numPr>
      </w:pPr>
      <w:r>
        <w:t xml:space="preserve">observe the results;</w:t>
      </w:r>
    </w:p>
    <w:p>
      <w:pPr>
        <w:pStyle w:val="Compact"/>
        <w:numPr>
          <w:ilvl w:val="0"/>
          <w:numId w:val="1003"/>
        </w:numPr>
      </w:pPr>
      <w:r>
        <w:t xml:space="preserve">validate postconditions;</w:t>
      </w:r>
    </w:p>
    <w:p>
      <w:pPr>
        <w:pStyle w:val="Compact"/>
        <w:numPr>
          <w:ilvl w:val="0"/>
          <w:numId w:val="1003"/>
        </w:numPr>
      </w:pPr>
      <w:r>
        <w:t xml:space="preserve">recover or escalate when execution fails;</w:t>
      </w:r>
    </w:p>
    <w:p>
      <w:pPr>
        <w:pStyle w:val="Compact"/>
        <w:numPr>
          <w:ilvl w:val="0"/>
          <w:numId w:val="1003"/>
        </w:numPr>
      </w:pPr>
      <w:r>
        <w:t xml:space="preserve">and produce an immutable record of every material decision and action.</w:t>
      </w:r>
    </w:p>
    <w:p>
      <w:pPr>
        <w:pStyle w:val="FirstParagraph"/>
      </w:pPr>
      <w:r>
        <w:t xml:space="preserve">The central architectural principle is:</w:t>
      </w:r>
    </w:p>
    <w:p>
      <w:pPr>
        <w:pStyle w:val="BlockText"/>
      </w:pPr>
      <w:r>
        <w:t xml:space="preserve">An AI model may propose a decision, but it may not independently establish authority, bypass policy, access unmanaged credentials, or execute an enterprise operation outside the governed AccuSec runtime.</w:t>
      </w:r>
    </w:p>
    <w:p>
      <w:r>
        <w:pict>
          <v:rect style="width:0;height:1.5pt" o:hralign="center" o:hrstd="t" o:hr="t"/>
        </w:pict>
      </w:r>
    </w:p>
    <w:bookmarkEnd w:id="24"/>
    <w:bookmarkEnd w:id="25"/>
    <w:bookmarkStart w:id="26" w:name="logical-architecture-overview"/>
    <w:p>
      <w:pPr>
        <w:pStyle w:val="Heading1"/>
      </w:pPr>
      <w:r>
        <w:t xml:space="preserve">2.3 Logical Architecture Overview</w:t>
      </w:r>
    </w:p>
    <w:p>
      <w:pPr>
        <w:pStyle w:val="FirstParagraph"/>
      </w:pPr>
      <w:r>
        <w:t xml:space="preserve">The high-level architecture consists of the following major regions:</w:t>
      </w:r>
    </w:p>
    <w:p>
      <w:pPr>
        <w:numPr>
          <w:ilvl w:val="0"/>
          <w:numId w:val="1004"/>
        </w:numPr>
      </w:pPr>
      <w:r>
        <w:rPr>
          <w:b/>
          <w:bCs/>
        </w:rPr>
        <w:t xml:space="preserve">Enterprise Sources and Systems</w:t>
      </w:r>
    </w:p>
    <w:p>
      <w:pPr>
        <w:numPr>
          <w:ilvl w:val="0"/>
          <w:numId w:val="1004"/>
        </w:numPr>
      </w:pPr>
      <w:r>
        <w:rPr>
          <w:b/>
          <w:bCs/>
        </w:rPr>
        <w:t xml:space="preserve">Connectors and Collectors</w:t>
      </w:r>
    </w:p>
    <w:p>
      <w:pPr>
        <w:numPr>
          <w:ilvl w:val="0"/>
          <w:numId w:val="1004"/>
        </w:numPr>
      </w:pPr>
      <w:r>
        <w:rPr>
          <w:b/>
          <w:bCs/>
        </w:rPr>
        <w:t xml:space="preserve">User Interfaces</w:t>
      </w:r>
    </w:p>
    <w:p>
      <w:pPr>
        <w:numPr>
          <w:ilvl w:val="0"/>
          <w:numId w:val="1004"/>
        </w:numPr>
      </w:pPr>
      <w:r>
        <w:rPr>
          <w:b/>
          <w:bCs/>
        </w:rPr>
        <w:t xml:space="preserve">AccuSec Platform</w:t>
      </w:r>
    </w:p>
    <w:p>
      <w:pPr>
        <w:pStyle w:val="Compact"/>
        <w:numPr>
          <w:ilvl w:val="1"/>
          <w:numId w:val="1005"/>
        </w:numPr>
      </w:pPr>
      <w:r>
        <w:t xml:space="preserve">AI Orchestration Layer</w:t>
      </w:r>
    </w:p>
    <w:p>
      <w:pPr>
        <w:pStyle w:val="Compact"/>
        <w:numPr>
          <w:ilvl w:val="1"/>
          <w:numId w:val="1005"/>
        </w:numPr>
      </w:pPr>
      <w:r>
        <w:t xml:space="preserve">Agent Framework</w:t>
      </w:r>
    </w:p>
    <w:p>
      <w:pPr>
        <w:pStyle w:val="Compact"/>
        <w:numPr>
          <w:ilvl w:val="1"/>
          <w:numId w:val="1005"/>
        </w:numPr>
      </w:pPr>
      <w:r>
        <w:t xml:space="preserve">Platform Services</w:t>
      </w:r>
    </w:p>
    <w:p>
      <w:pPr>
        <w:pStyle w:val="Compact"/>
        <w:numPr>
          <w:ilvl w:val="1"/>
          <w:numId w:val="1005"/>
        </w:numPr>
      </w:pPr>
      <w:r>
        <w:t xml:space="preserve">Data Layer</w:t>
      </w:r>
    </w:p>
    <w:p>
      <w:pPr>
        <w:pStyle w:val="Compact"/>
        <w:numPr>
          <w:ilvl w:val="1"/>
          <w:numId w:val="1005"/>
        </w:numPr>
      </w:pPr>
      <w:r>
        <w:t xml:space="preserve">Integration and Connectivity Layer</w:t>
      </w:r>
    </w:p>
    <w:p>
      <w:pPr>
        <w:numPr>
          <w:ilvl w:val="0"/>
          <w:numId w:val="1004"/>
        </w:numPr>
      </w:pPr>
      <w:r>
        <w:rPr>
          <w:b/>
          <w:bCs/>
        </w:rPr>
        <w:t xml:space="preserve">AI Gateway and Model Layer</w:t>
      </w:r>
    </w:p>
    <w:p>
      <w:pPr>
        <w:numPr>
          <w:ilvl w:val="0"/>
          <w:numId w:val="1004"/>
        </w:numPr>
      </w:pPr>
      <w:r>
        <w:rPr>
          <w:b/>
          <w:bCs/>
        </w:rPr>
        <w:t xml:space="preserve">Security and Governance</w:t>
      </w:r>
    </w:p>
    <w:p>
      <w:pPr>
        <w:numPr>
          <w:ilvl w:val="0"/>
          <w:numId w:val="1004"/>
        </w:numPr>
      </w:pPr>
      <w:r>
        <w:rPr>
          <w:b/>
          <w:bCs/>
        </w:rPr>
        <w:t xml:space="preserve">Platform Foundation</w:t>
      </w:r>
    </w:p>
    <w:p>
      <w:pPr>
        <w:pStyle w:val="FirstParagraph"/>
      </w:pPr>
      <w:r>
        <w:t xml:space="preserve">These regions are logical boundaries. A region may contain several deployable services, or multiple logical components may initially share one deployment unit. Logical separation must be preserved even where physical deployment is consolidated.</w:t>
      </w:r>
    </w:p>
    <w:p>
      <w:r>
        <w:pict>
          <v:rect style="width:0;height:1.5pt" o:hralign="center" o:hrstd="t" o:hr="t"/>
        </w:pict>
      </w:r>
    </w:p>
    <w:bookmarkEnd w:id="26"/>
    <w:bookmarkStart w:id="33" w:name="foundational-architecture-principles"/>
    <w:p>
      <w:pPr>
        <w:pStyle w:val="Heading1"/>
      </w:pPr>
      <w:r>
        <w:t xml:space="preserve">2.4 Foundational Architecture Principles</w:t>
      </w:r>
    </w:p>
    <w:bookmarkStart w:id="27" w:name="X9efdcb9b8e08dccec2d14b4f146f315dc07c46b"/>
    <w:p>
      <w:pPr>
        <w:pStyle w:val="Heading2"/>
      </w:pPr>
      <w:r>
        <w:t xml:space="preserve">2.4.1 AI reasoning is separated from enterprise execution</w:t>
      </w:r>
    </w:p>
    <w:p>
      <w:pPr>
        <w:pStyle w:val="FirstParagraph"/>
      </w:pPr>
      <w:r>
        <w:t xml:space="preserve">Foundation models and reasoning agents do not communicate directly with managed infrastructure.</w:t>
      </w:r>
    </w:p>
    <w:p>
      <w:pPr>
        <w:pStyle w:val="BodyText"/>
      </w:pPr>
      <w:r>
        <w:t xml:space="preserve">All operational actions must flow through:</w:t>
      </w:r>
    </w:p>
    <w:p>
      <w:pPr>
        <w:pStyle w:val="Compact"/>
        <w:numPr>
          <w:ilvl w:val="0"/>
          <w:numId w:val="1006"/>
        </w:numPr>
      </w:pPr>
      <w:r>
        <w:t xml:space="preserve">an approved agent;</w:t>
      </w:r>
    </w:p>
    <w:p>
      <w:pPr>
        <w:pStyle w:val="Compact"/>
        <w:numPr>
          <w:ilvl w:val="0"/>
          <w:numId w:val="1006"/>
        </w:numPr>
      </w:pPr>
      <w:r>
        <w:t xml:space="preserve">a registered skill;</w:t>
      </w:r>
    </w:p>
    <w:p>
      <w:pPr>
        <w:pStyle w:val="Compact"/>
        <w:numPr>
          <w:ilvl w:val="0"/>
          <w:numId w:val="1006"/>
        </w:numPr>
      </w:pPr>
      <w:r>
        <w:t xml:space="preserve">the skill harness;</w:t>
      </w:r>
    </w:p>
    <w:p>
      <w:pPr>
        <w:pStyle w:val="Compact"/>
        <w:numPr>
          <w:ilvl w:val="0"/>
          <w:numId w:val="1006"/>
        </w:numPr>
      </w:pPr>
      <w:r>
        <w:t xml:space="preserve">an authorized tool or workflow;</w:t>
      </w:r>
    </w:p>
    <w:p>
      <w:pPr>
        <w:pStyle w:val="Compact"/>
        <w:numPr>
          <w:ilvl w:val="0"/>
          <w:numId w:val="1006"/>
        </w:numPr>
      </w:pPr>
      <w:r>
        <w:t xml:space="preserve">a governed integration boundary;</w:t>
      </w:r>
    </w:p>
    <w:p>
      <w:pPr>
        <w:pStyle w:val="Compact"/>
        <w:numPr>
          <w:ilvl w:val="0"/>
          <w:numId w:val="1006"/>
        </w:numPr>
      </w:pPr>
      <w:r>
        <w:t xml:space="preserve">and a target system API or approved automation interface.</w:t>
      </w:r>
    </w:p>
    <w:p>
      <w:pPr>
        <w:pStyle w:val="FirstParagraph"/>
      </w:pPr>
      <w:r>
        <w:t xml:space="preserve">The model may recommend a tool call. The governed runtime determines whether the tool exists, whether the caller may use it, whether its arguments are valid, whether approval is required, and whether execution is permitted.</w:t>
      </w:r>
    </w:p>
    <w:p>
      <w:r>
        <w:pict>
          <v:rect style="width:0;height:1.5pt" o:hralign="center" o:hrstd="t" o:hr="t"/>
        </w:pict>
      </w:r>
    </w:p>
    <w:bookmarkEnd w:id="27"/>
    <w:bookmarkStart w:id="28" w:name="X461fcae6a2e7f62119db4fb0bba43635809a97f"/>
    <w:p>
      <w:pPr>
        <w:pStyle w:val="Heading2"/>
      </w:pPr>
      <w:r>
        <w:t xml:space="preserve">2.4.2 Identity and authorization are deterministic</w:t>
      </w:r>
    </w:p>
    <w:p>
      <w:pPr>
        <w:pStyle w:val="FirstParagraph"/>
      </w:pPr>
      <w:r>
        <w:t xml:space="preserve">The LLM does not assign roles, interpret identity as authority, create policy, or decide its own permissions.</w:t>
      </w:r>
    </w:p>
    <w:p>
      <w:pPr>
        <w:pStyle w:val="BodyText"/>
      </w:pPr>
      <w:r>
        <w:t xml:space="preserve">Authorization decisions are made by deterministic security services using authenticated identities, tenant context, roles, attributes, policies, resource scope, requested action, environmental context, and approval state.</w:t>
      </w:r>
    </w:p>
    <w:p>
      <w:r>
        <w:pict>
          <v:rect style="width:0;height:1.5pt" o:hralign="center" o:hrstd="t" o:hr="t"/>
        </w:pict>
      </w:r>
    </w:p>
    <w:bookmarkEnd w:id="28"/>
    <w:bookmarkStart w:id="29" w:name="context-is-assembled-not-assumed"/>
    <w:p>
      <w:pPr>
        <w:pStyle w:val="Heading2"/>
      </w:pPr>
      <w:r>
        <w:t xml:space="preserve">2.4.3 Context is assembled, not assumed</w:t>
      </w:r>
    </w:p>
    <w:p>
      <w:pPr>
        <w:pStyle w:val="FirstParagraph"/>
      </w:pPr>
      <w:r>
        <w:t xml:space="preserve">The model must not be treated as an authoritative source of current enterprise state.</w:t>
      </w:r>
    </w:p>
    <w:p>
      <w:pPr>
        <w:pStyle w:val="BodyText"/>
      </w:pPr>
      <w:r>
        <w:t xml:space="preserve">Operational context is assembled from approved enterprise systems, normalized into AccuSec data models, timestamped, scoped to the requesting identity and tenant, and supplied to agents only when required.</w:t>
      </w:r>
    </w:p>
    <w:p>
      <w:pPr>
        <w:pStyle w:val="BodyText"/>
      </w:pPr>
      <w:r>
        <w:t xml:space="preserve">Every context item must retain provenance sufficient to answer:</w:t>
      </w:r>
    </w:p>
    <w:p>
      <w:pPr>
        <w:pStyle w:val="Compact"/>
        <w:numPr>
          <w:ilvl w:val="0"/>
          <w:numId w:val="1007"/>
        </w:numPr>
      </w:pPr>
      <w:r>
        <w:t xml:space="preserve">Where did this information come from?</w:t>
      </w:r>
    </w:p>
    <w:p>
      <w:pPr>
        <w:pStyle w:val="Compact"/>
        <w:numPr>
          <w:ilvl w:val="0"/>
          <w:numId w:val="1007"/>
        </w:numPr>
      </w:pPr>
      <w:r>
        <w:t xml:space="preserve">When was it collected?</w:t>
      </w:r>
    </w:p>
    <w:p>
      <w:pPr>
        <w:pStyle w:val="Compact"/>
        <w:numPr>
          <w:ilvl w:val="0"/>
          <w:numId w:val="1007"/>
        </w:numPr>
      </w:pPr>
      <w:r>
        <w:t xml:space="preserve">Which tenant owns it?</w:t>
      </w:r>
    </w:p>
    <w:p>
      <w:pPr>
        <w:pStyle w:val="Compact"/>
        <w:numPr>
          <w:ilvl w:val="0"/>
          <w:numId w:val="1007"/>
        </w:numPr>
      </w:pPr>
      <w:r>
        <w:t xml:space="preserve">Which resources does it describe?</w:t>
      </w:r>
    </w:p>
    <w:p>
      <w:pPr>
        <w:pStyle w:val="Compact"/>
        <w:numPr>
          <w:ilvl w:val="0"/>
          <w:numId w:val="1007"/>
        </w:numPr>
      </w:pPr>
      <w:r>
        <w:t xml:space="preserve">How fresh is it?</w:t>
      </w:r>
    </w:p>
    <w:p>
      <w:pPr>
        <w:pStyle w:val="Compact"/>
        <w:numPr>
          <w:ilvl w:val="0"/>
          <w:numId w:val="1007"/>
        </w:numPr>
      </w:pPr>
      <w:r>
        <w:t xml:space="preserve">Which identity is allowed to see it?</w:t>
      </w:r>
    </w:p>
    <w:p>
      <w:pPr>
        <w:pStyle w:val="Compact"/>
        <w:numPr>
          <w:ilvl w:val="0"/>
          <w:numId w:val="1007"/>
        </w:numPr>
      </w:pPr>
      <w:r>
        <w:t xml:space="preserve">Is it authoritative, inferred, cached, or derived?</w:t>
      </w:r>
    </w:p>
    <w:p>
      <w:r>
        <w:pict>
          <v:rect style="width:0;height:1.5pt" o:hralign="center" o:hrstd="t" o:hr="t"/>
        </w:pict>
      </w:r>
    </w:p>
    <w:bookmarkEnd w:id="29"/>
    <w:bookmarkStart w:id="30" w:name="every-operation-is-traceable"/>
    <w:p>
      <w:pPr>
        <w:pStyle w:val="Heading2"/>
      </w:pPr>
      <w:r>
        <w:t xml:space="preserve">2.4.4 Every operation is traceable</w:t>
      </w:r>
    </w:p>
    <w:p>
      <w:pPr>
        <w:pStyle w:val="FirstParagraph"/>
      </w:pPr>
      <w:r>
        <w:t xml:space="preserve">Every material user request, agent decision, plan revision, policy evaluation, approval, tool call, target-system response, state transition, validation result, and failure must be associated with a traceable execution identity.</w:t>
      </w:r>
    </w:p>
    <w:p>
      <w:pPr>
        <w:pStyle w:val="BodyText"/>
      </w:pPr>
      <w:r>
        <w:t xml:space="preserve">At minimum, the system must propagate:</w:t>
      </w:r>
    </w:p>
    <w:p>
      <w:pPr>
        <w:pStyle w:val="Compact"/>
        <w:numPr>
          <w:ilvl w:val="0"/>
          <w:numId w:val="1008"/>
        </w:numPr>
      </w:pPr>
      <w:r>
        <w:t xml:space="preserve">tenant ID;</w:t>
      </w:r>
    </w:p>
    <w:p>
      <w:pPr>
        <w:pStyle w:val="Compact"/>
        <w:numPr>
          <w:ilvl w:val="0"/>
          <w:numId w:val="1008"/>
        </w:numPr>
      </w:pPr>
      <w:r>
        <w:t xml:space="preserve">workspace ID;</w:t>
      </w:r>
    </w:p>
    <w:p>
      <w:pPr>
        <w:pStyle w:val="Compact"/>
        <w:numPr>
          <w:ilvl w:val="0"/>
          <w:numId w:val="1008"/>
        </w:numPr>
      </w:pPr>
      <w:r>
        <w:t xml:space="preserve">authenticated principal ID;</w:t>
      </w:r>
    </w:p>
    <w:p>
      <w:pPr>
        <w:pStyle w:val="Compact"/>
        <w:numPr>
          <w:ilvl w:val="0"/>
          <w:numId w:val="1008"/>
        </w:numPr>
      </w:pPr>
      <w:r>
        <w:t xml:space="preserve">session ID;</w:t>
      </w:r>
    </w:p>
    <w:p>
      <w:pPr>
        <w:pStyle w:val="Compact"/>
        <w:numPr>
          <w:ilvl w:val="0"/>
          <w:numId w:val="1008"/>
        </w:numPr>
      </w:pPr>
      <w:r>
        <w:t xml:space="preserve">conversation ID where applicable;</w:t>
      </w:r>
    </w:p>
    <w:p>
      <w:pPr>
        <w:pStyle w:val="Compact"/>
        <w:numPr>
          <w:ilvl w:val="0"/>
          <w:numId w:val="1008"/>
        </w:numPr>
      </w:pPr>
      <w:r>
        <w:t xml:space="preserve">request ID;</w:t>
      </w:r>
    </w:p>
    <w:p>
      <w:pPr>
        <w:pStyle w:val="Compact"/>
        <w:numPr>
          <w:ilvl w:val="0"/>
          <w:numId w:val="1008"/>
        </w:numPr>
      </w:pPr>
      <w:r>
        <w:t xml:space="preserve">task ID;</w:t>
      </w:r>
    </w:p>
    <w:p>
      <w:pPr>
        <w:pStyle w:val="Compact"/>
        <w:numPr>
          <w:ilvl w:val="0"/>
          <w:numId w:val="1008"/>
        </w:numPr>
      </w:pPr>
      <w:r>
        <w:t xml:space="preserve">workflow ID;</w:t>
      </w:r>
    </w:p>
    <w:p>
      <w:pPr>
        <w:pStyle w:val="Compact"/>
        <w:numPr>
          <w:ilvl w:val="0"/>
          <w:numId w:val="1008"/>
        </w:numPr>
      </w:pPr>
      <w:r>
        <w:t xml:space="preserve">execution ID;</w:t>
      </w:r>
    </w:p>
    <w:p>
      <w:pPr>
        <w:pStyle w:val="Compact"/>
        <w:numPr>
          <w:ilvl w:val="0"/>
          <w:numId w:val="1008"/>
        </w:numPr>
      </w:pPr>
      <w:r>
        <w:t xml:space="preserve">tool invocation ID;</w:t>
      </w:r>
    </w:p>
    <w:p>
      <w:pPr>
        <w:pStyle w:val="Compact"/>
        <w:numPr>
          <w:ilvl w:val="0"/>
          <w:numId w:val="1008"/>
        </w:numPr>
      </w:pPr>
      <w:r>
        <w:t xml:space="preserve">correlation ID;</w:t>
      </w:r>
    </w:p>
    <w:p>
      <w:pPr>
        <w:pStyle w:val="Compact"/>
        <w:numPr>
          <w:ilvl w:val="0"/>
          <w:numId w:val="1008"/>
        </w:numPr>
      </w:pPr>
      <w:r>
        <w:t xml:space="preserve">causation ID;</w:t>
      </w:r>
    </w:p>
    <w:p>
      <w:pPr>
        <w:pStyle w:val="Compact"/>
        <w:numPr>
          <w:ilvl w:val="0"/>
          <w:numId w:val="1008"/>
        </w:numPr>
      </w:pPr>
      <w:r>
        <w:t xml:space="preserve">model request ID;</w:t>
      </w:r>
    </w:p>
    <w:p>
      <w:pPr>
        <w:pStyle w:val="Compact"/>
        <w:numPr>
          <w:ilvl w:val="0"/>
          <w:numId w:val="1008"/>
        </w:numPr>
      </w:pPr>
      <w:r>
        <w:t xml:space="preserve">policy decision ID;</w:t>
      </w:r>
    </w:p>
    <w:p>
      <w:pPr>
        <w:pStyle w:val="Compact"/>
        <w:numPr>
          <w:ilvl w:val="0"/>
          <w:numId w:val="1008"/>
        </w:numPr>
      </w:pPr>
      <w:r>
        <w:t xml:space="preserve">approval ID where applicable;</w:t>
      </w:r>
    </w:p>
    <w:p>
      <w:pPr>
        <w:pStyle w:val="Compact"/>
        <w:numPr>
          <w:ilvl w:val="0"/>
          <w:numId w:val="1008"/>
        </w:numPr>
      </w:pPr>
      <w:r>
        <w:t xml:space="preserve">and audit record references.</w:t>
      </w:r>
    </w:p>
    <w:p>
      <w:r>
        <w:pict>
          <v:rect style="width:0;height:1.5pt" o:hralign="center" o:hrstd="t" o:hr="t"/>
        </w:pict>
      </w:r>
    </w:p>
    <w:bookmarkEnd w:id="30"/>
    <w:bookmarkStart w:id="31" w:name="X9d1eb27cc7803ea23180122020a250865b7d206"/>
    <w:p>
      <w:pPr>
        <w:pStyle w:val="Heading2"/>
      </w:pPr>
      <w:r>
        <w:t xml:space="preserve">2.4.5 Read, plan, and execute are distinct phases</w:t>
      </w:r>
    </w:p>
    <w:p>
      <w:pPr>
        <w:pStyle w:val="FirstParagraph"/>
      </w:pPr>
      <w:r>
        <w:t xml:space="preserve">The logical architecture distinguishes:</w:t>
      </w:r>
    </w:p>
    <w:p>
      <w:pPr>
        <w:numPr>
          <w:ilvl w:val="0"/>
          <w:numId w:val="1009"/>
        </w:numPr>
      </w:pPr>
      <w:r>
        <w:rPr>
          <w:b/>
          <w:bCs/>
        </w:rPr>
        <w:t xml:space="preserve">Observe</w:t>
      </w:r>
    </w:p>
    <w:p>
      <w:pPr>
        <w:numPr>
          <w:ilvl w:val="0"/>
          <w:numId w:val="1000"/>
        </w:numPr>
      </w:pPr>
      <w:r>
        <w:t xml:space="preserve">Read enterprise state and collect evidence.</w:t>
      </w:r>
    </w:p>
    <w:p>
      <w:pPr>
        <w:numPr>
          <w:ilvl w:val="0"/>
          <w:numId w:val="1009"/>
        </w:numPr>
      </w:pPr>
      <w:r>
        <w:rPr>
          <w:b/>
          <w:bCs/>
        </w:rPr>
        <w:t xml:space="preserve">Reason</w:t>
      </w:r>
    </w:p>
    <w:p>
      <w:pPr>
        <w:numPr>
          <w:ilvl w:val="0"/>
          <w:numId w:val="1000"/>
        </w:numPr>
      </w:pPr>
      <w:r>
        <w:t xml:space="preserve">Interpret intent, assemble context, generate hypotheses, and create a proposed plan.</w:t>
      </w:r>
    </w:p>
    <w:p>
      <w:pPr>
        <w:numPr>
          <w:ilvl w:val="0"/>
          <w:numId w:val="1009"/>
        </w:numPr>
      </w:pPr>
      <w:r>
        <w:rPr>
          <w:b/>
          <w:bCs/>
        </w:rPr>
        <w:t xml:space="preserve">Authorize</w:t>
      </w:r>
    </w:p>
    <w:p>
      <w:pPr>
        <w:numPr>
          <w:ilvl w:val="0"/>
          <w:numId w:val="1000"/>
        </w:numPr>
      </w:pPr>
      <w:r>
        <w:t xml:space="preserve">Evaluate whether the requested operation is permitted.</w:t>
      </w:r>
    </w:p>
    <w:p>
      <w:pPr>
        <w:numPr>
          <w:ilvl w:val="0"/>
          <w:numId w:val="1009"/>
        </w:numPr>
      </w:pPr>
      <w:r>
        <w:rPr>
          <w:b/>
          <w:bCs/>
        </w:rPr>
        <w:t xml:space="preserve">Approve</w:t>
      </w:r>
    </w:p>
    <w:p>
      <w:pPr>
        <w:numPr>
          <w:ilvl w:val="0"/>
          <w:numId w:val="1000"/>
        </w:numPr>
      </w:pPr>
      <w:r>
        <w:t xml:space="preserve">Obtain human approval where policy requires it.</w:t>
      </w:r>
    </w:p>
    <w:p>
      <w:pPr>
        <w:numPr>
          <w:ilvl w:val="0"/>
          <w:numId w:val="1009"/>
        </w:numPr>
      </w:pPr>
      <w:r>
        <w:rPr>
          <w:b/>
          <w:bCs/>
        </w:rPr>
        <w:t xml:space="preserve">Execute</w:t>
      </w:r>
    </w:p>
    <w:p>
      <w:pPr>
        <w:numPr>
          <w:ilvl w:val="0"/>
          <w:numId w:val="1000"/>
        </w:numPr>
      </w:pPr>
      <w:r>
        <w:t xml:space="preserve">Perform deterministic tool calls or workflows.</w:t>
      </w:r>
    </w:p>
    <w:p>
      <w:pPr>
        <w:numPr>
          <w:ilvl w:val="0"/>
          <w:numId w:val="1009"/>
        </w:numPr>
      </w:pPr>
      <w:r>
        <w:rPr>
          <w:b/>
          <w:bCs/>
        </w:rPr>
        <w:t xml:space="preserve">Validate</w:t>
      </w:r>
    </w:p>
    <w:p>
      <w:pPr>
        <w:numPr>
          <w:ilvl w:val="0"/>
          <w:numId w:val="1000"/>
        </w:numPr>
      </w:pPr>
      <w:r>
        <w:t xml:space="preserve">Confirm that the requested postconditions were achieved.</w:t>
      </w:r>
    </w:p>
    <w:p>
      <w:pPr>
        <w:numPr>
          <w:ilvl w:val="0"/>
          <w:numId w:val="1009"/>
        </w:numPr>
      </w:pPr>
      <w:r>
        <w:rPr>
          <w:b/>
          <w:bCs/>
        </w:rPr>
        <w:t xml:space="preserve">Record</w:t>
      </w:r>
    </w:p>
    <w:p>
      <w:pPr>
        <w:numPr>
          <w:ilvl w:val="0"/>
          <w:numId w:val="1000"/>
        </w:numPr>
      </w:pPr>
      <w:r>
        <w:t xml:space="preserve">Persist results, provenance, evidence, and audit records.</w:t>
      </w:r>
    </w:p>
    <w:p>
      <w:pPr>
        <w:pStyle w:val="FirstParagraph"/>
      </w:pPr>
      <w:r>
        <w:t xml:space="preserve">An implementation may optimize these phases, but it may not collapse them in a manner that bypasses authorization, approval, validation, or audit.</w:t>
      </w:r>
    </w:p>
    <w:p>
      <w:r>
        <w:pict>
          <v:rect style="width:0;height:1.5pt" o:hralign="center" o:hrstd="t" o:hr="t"/>
        </w:pict>
      </w:r>
    </w:p>
    <w:bookmarkEnd w:id="31"/>
    <w:bookmarkStart w:id="32" w:name="the-target-system-remains-authoritative"/>
    <w:p>
      <w:pPr>
        <w:pStyle w:val="Heading2"/>
      </w:pPr>
      <w:r>
        <w:t xml:space="preserve">2.4.6 The target system remains authoritative</w:t>
      </w:r>
    </w:p>
    <w:p>
      <w:pPr>
        <w:pStyle w:val="FirstParagraph"/>
      </w:pPr>
      <w:r>
        <w:t xml:space="preserve">AccuSec may maintain inventory, topology, metrics, history, operational memory, embeddings, cached state, and inferred relationships.</w:t>
      </w:r>
    </w:p>
    <w:p>
      <w:pPr>
        <w:pStyle w:val="BodyText"/>
      </w:pPr>
      <w:r>
        <w:t xml:space="preserve">These stores improve reasoning and efficiency, but they do not automatically replace the authoritative state maintained by managed systems such as:</w:t>
      </w:r>
    </w:p>
    <w:p>
      <w:pPr>
        <w:pStyle w:val="Compact"/>
        <w:numPr>
          <w:ilvl w:val="0"/>
          <w:numId w:val="1010"/>
        </w:numPr>
      </w:pPr>
      <w:r>
        <w:t xml:space="preserve">VMware vCenter;</w:t>
      </w:r>
    </w:p>
    <w:p>
      <w:pPr>
        <w:pStyle w:val="Compact"/>
        <w:numPr>
          <w:ilvl w:val="0"/>
          <w:numId w:val="1010"/>
        </w:numPr>
      </w:pPr>
      <w:r>
        <w:t xml:space="preserve">Nutanix Prism Central;</w:t>
      </w:r>
    </w:p>
    <w:p>
      <w:pPr>
        <w:pStyle w:val="Compact"/>
        <w:numPr>
          <w:ilvl w:val="0"/>
          <w:numId w:val="1010"/>
        </w:numPr>
      </w:pPr>
      <w:r>
        <w:t xml:space="preserve">Kubernetes API servers;</w:t>
      </w:r>
    </w:p>
    <w:p>
      <w:pPr>
        <w:pStyle w:val="Compact"/>
        <w:numPr>
          <w:ilvl w:val="0"/>
          <w:numId w:val="1010"/>
        </w:numPr>
      </w:pPr>
      <w:r>
        <w:t xml:space="preserve">AWS;</w:t>
      </w:r>
    </w:p>
    <w:p>
      <w:pPr>
        <w:pStyle w:val="Compact"/>
        <w:numPr>
          <w:ilvl w:val="0"/>
          <w:numId w:val="1010"/>
        </w:numPr>
      </w:pPr>
      <w:r>
        <w:t xml:space="preserve">Microsoft Azure;</w:t>
      </w:r>
    </w:p>
    <w:p>
      <w:pPr>
        <w:pStyle w:val="Compact"/>
        <w:numPr>
          <w:ilvl w:val="0"/>
          <w:numId w:val="1010"/>
        </w:numPr>
      </w:pPr>
      <w:r>
        <w:t xml:space="preserve">Google Cloud;</w:t>
      </w:r>
    </w:p>
    <w:p>
      <w:pPr>
        <w:pStyle w:val="Compact"/>
        <w:numPr>
          <w:ilvl w:val="0"/>
          <w:numId w:val="1010"/>
        </w:numPr>
      </w:pPr>
      <w:r>
        <w:t xml:space="preserve">ServiceNow;</w:t>
      </w:r>
    </w:p>
    <w:p>
      <w:pPr>
        <w:pStyle w:val="Compact"/>
        <w:numPr>
          <w:ilvl w:val="0"/>
          <w:numId w:val="1010"/>
        </w:numPr>
      </w:pPr>
      <w:r>
        <w:t xml:space="preserve">monitoring platforms;</w:t>
      </w:r>
    </w:p>
    <w:p>
      <w:pPr>
        <w:pStyle w:val="Compact"/>
        <w:numPr>
          <w:ilvl w:val="0"/>
          <w:numId w:val="1010"/>
        </w:numPr>
      </w:pPr>
      <w:r>
        <w:t xml:space="preserve">backup systems;</w:t>
      </w:r>
    </w:p>
    <w:p>
      <w:pPr>
        <w:pStyle w:val="Compact"/>
        <w:numPr>
          <w:ilvl w:val="0"/>
          <w:numId w:val="1010"/>
        </w:numPr>
      </w:pPr>
      <w:r>
        <w:t xml:space="preserve">identity providers;</w:t>
      </w:r>
    </w:p>
    <w:p>
      <w:pPr>
        <w:pStyle w:val="Compact"/>
        <w:numPr>
          <w:ilvl w:val="0"/>
          <w:numId w:val="1010"/>
        </w:numPr>
      </w:pPr>
      <w:r>
        <w:t xml:space="preserve">and other enterprise systems.</w:t>
      </w:r>
    </w:p>
    <w:p>
      <w:pPr>
        <w:pStyle w:val="FirstParagraph"/>
      </w:pPr>
      <w:r>
        <w:t xml:space="preserve">Before a high-impact operation, the runtime may be required to refresh relevant state directly from an authoritative source.</w:t>
      </w:r>
    </w:p>
    <w:p>
      <w:r>
        <w:pict>
          <v:rect style="width:0;height:1.5pt" o:hralign="center" o:hrstd="t" o:hr="t"/>
        </w:pict>
      </w:r>
    </w:p>
    <w:bookmarkEnd w:id="32"/>
    <w:bookmarkEnd w:id="33"/>
    <w:bookmarkStart w:id="44" w:name="enterprise-sources-and-systems"/>
    <w:p>
      <w:pPr>
        <w:pStyle w:val="Heading1"/>
      </w:pPr>
      <w:r>
        <w:t xml:space="preserve">2.5 Enterprise Sources and Systems</w:t>
      </w:r>
    </w:p>
    <w:p>
      <w:pPr>
        <w:pStyle w:val="FirstParagraph"/>
      </w:pPr>
      <w:r>
        <w:t xml:space="preserve">Enterprise Sources and Systems are external systems that provide operational state, receive operational actions, authenticate users or workloads, or supply enterprise records.</w:t>
      </w:r>
    </w:p>
    <w:p>
      <w:pPr>
        <w:pStyle w:val="BodyText"/>
      </w:pPr>
      <w:r>
        <w:t xml:space="preserve">They are outside the AccuSec platform trust boundary unless explicitly deployed as part of an AccuSec-managed component.</w:t>
      </w:r>
    </w:p>
    <w:bookmarkStart w:id="36" w:name="hybrid-cloud-platforms"/>
    <w:p>
      <w:pPr>
        <w:pStyle w:val="Heading2"/>
      </w:pPr>
      <w:r>
        <w:t xml:space="preserve">2.5.1 Hybrid Cloud Platforms</w:t>
      </w:r>
    </w:p>
    <w:p>
      <w:pPr>
        <w:pStyle w:val="FirstParagraph"/>
      </w:pPr>
      <w:r>
        <w:t xml:space="preserve">The logical category includes:</w:t>
      </w:r>
    </w:p>
    <w:p>
      <w:pPr>
        <w:pStyle w:val="Compact"/>
        <w:numPr>
          <w:ilvl w:val="0"/>
          <w:numId w:val="1011"/>
        </w:numPr>
      </w:pPr>
      <w:r>
        <w:t xml:space="preserve">VMware vSphere and related VMware infrastructure platforms;</w:t>
      </w:r>
    </w:p>
    <w:p>
      <w:pPr>
        <w:pStyle w:val="Compact"/>
        <w:numPr>
          <w:ilvl w:val="0"/>
          <w:numId w:val="1011"/>
        </w:numPr>
      </w:pPr>
      <w:r>
        <w:t xml:space="preserve">Nutanix;</w:t>
      </w:r>
    </w:p>
    <w:p>
      <w:pPr>
        <w:pStyle w:val="Compact"/>
        <w:numPr>
          <w:ilvl w:val="0"/>
          <w:numId w:val="1011"/>
        </w:numPr>
      </w:pPr>
      <w:r>
        <w:t xml:space="preserve">KVM-based platforms;</w:t>
      </w:r>
    </w:p>
    <w:p>
      <w:pPr>
        <w:pStyle w:val="Compact"/>
        <w:numPr>
          <w:ilvl w:val="0"/>
          <w:numId w:val="1011"/>
        </w:numPr>
      </w:pPr>
      <w:r>
        <w:t xml:space="preserve">OpenStack;</w:t>
      </w:r>
    </w:p>
    <w:p>
      <w:pPr>
        <w:pStyle w:val="Compact"/>
        <w:numPr>
          <w:ilvl w:val="0"/>
          <w:numId w:val="1011"/>
        </w:numPr>
      </w:pPr>
      <w:r>
        <w:t xml:space="preserve">AWS;</w:t>
      </w:r>
    </w:p>
    <w:p>
      <w:pPr>
        <w:pStyle w:val="Compact"/>
        <w:numPr>
          <w:ilvl w:val="0"/>
          <w:numId w:val="1011"/>
        </w:numPr>
      </w:pPr>
      <w:r>
        <w:t xml:space="preserve">Microsoft Azure;</w:t>
      </w:r>
    </w:p>
    <w:p>
      <w:pPr>
        <w:pStyle w:val="Compact"/>
        <w:numPr>
          <w:ilvl w:val="0"/>
          <w:numId w:val="1011"/>
        </w:numPr>
      </w:pPr>
      <w:r>
        <w:t xml:space="preserve">Google Cloud;</w:t>
      </w:r>
    </w:p>
    <w:p>
      <w:pPr>
        <w:pStyle w:val="Compact"/>
        <w:numPr>
          <w:ilvl w:val="0"/>
          <w:numId w:val="1011"/>
        </w:numPr>
      </w:pPr>
      <w:r>
        <w:t xml:space="preserve">Kubernetes platforms;</w:t>
      </w:r>
    </w:p>
    <w:p>
      <w:pPr>
        <w:pStyle w:val="Compact"/>
        <w:numPr>
          <w:ilvl w:val="0"/>
          <w:numId w:val="1011"/>
        </w:numPr>
      </w:pPr>
      <w:r>
        <w:t xml:space="preserve">edge infrastructure;</w:t>
      </w:r>
    </w:p>
    <w:p>
      <w:pPr>
        <w:pStyle w:val="Compact"/>
        <w:numPr>
          <w:ilvl w:val="0"/>
          <w:numId w:val="1011"/>
        </w:numPr>
      </w:pPr>
      <w:r>
        <w:t xml:space="preserve">AI infrastructure;</w:t>
      </w:r>
    </w:p>
    <w:p>
      <w:pPr>
        <w:pStyle w:val="Compact"/>
        <w:numPr>
          <w:ilvl w:val="0"/>
          <w:numId w:val="1011"/>
        </w:numPr>
      </w:pPr>
      <w:r>
        <w:t xml:space="preserve">storage systems;</w:t>
      </w:r>
    </w:p>
    <w:p>
      <w:pPr>
        <w:pStyle w:val="Compact"/>
        <w:numPr>
          <w:ilvl w:val="0"/>
          <w:numId w:val="1011"/>
        </w:numPr>
      </w:pPr>
      <w:r>
        <w:t xml:space="preserve">network platforms;</w:t>
      </w:r>
    </w:p>
    <w:p>
      <w:pPr>
        <w:pStyle w:val="Compact"/>
        <w:numPr>
          <w:ilvl w:val="0"/>
          <w:numId w:val="1011"/>
        </w:numPr>
      </w:pPr>
      <w:r>
        <w:t xml:space="preserve">and future supported cloud or data-center systems.</w:t>
      </w:r>
    </w:p>
    <w:bookmarkStart w:id="34" w:name="responsibilities"/>
    <w:p>
      <w:pPr>
        <w:pStyle w:val="Heading3"/>
      </w:pPr>
      <w:r>
        <w:t xml:space="preserve">Responsibilities</w:t>
      </w:r>
    </w:p>
    <w:p>
      <w:pPr>
        <w:pStyle w:val="FirstParagraph"/>
      </w:pPr>
      <w:r>
        <w:t xml:space="preserve">Hybrid Cloud Platforms:</w:t>
      </w:r>
    </w:p>
    <w:p>
      <w:pPr>
        <w:pStyle w:val="Compact"/>
        <w:numPr>
          <w:ilvl w:val="0"/>
          <w:numId w:val="1012"/>
        </w:numPr>
      </w:pPr>
      <w:r>
        <w:t xml:space="preserve">remain authoritative for the resources they manage;</w:t>
      </w:r>
    </w:p>
    <w:p>
      <w:pPr>
        <w:pStyle w:val="Compact"/>
        <w:numPr>
          <w:ilvl w:val="0"/>
          <w:numId w:val="1012"/>
        </w:numPr>
      </w:pPr>
      <w:r>
        <w:t xml:space="preserve">expose supported APIs, event streams, command interfaces, or automation endpoints;</w:t>
      </w:r>
    </w:p>
    <w:p>
      <w:pPr>
        <w:pStyle w:val="Compact"/>
        <w:numPr>
          <w:ilvl w:val="0"/>
          <w:numId w:val="1012"/>
        </w:numPr>
      </w:pPr>
      <w:r>
        <w:t xml:space="preserve">enforce their native authentication and authorization controls;</w:t>
      </w:r>
    </w:p>
    <w:p>
      <w:pPr>
        <w:pStyle w:val="Compact"/>
        <w:numPr>
          <w:ilvl w:val="0"/>
          <w:numId w:val="1012"/>
        </w:numPr>
      </w:pPr>
      <w:r>
        <w:t xml:space="preserve">return operation status and errors;</w:t>
      </w:r>
    </w:p>
    <w:p>
      <w:pPr>
        <w:pStyle w:val="Compact"/>
        <w:numPr>
          <w:ilvl w:val="0"/>
          <w:numId w:val="1012"/>
        </w:numPr>
      </w:pPr>
      <w:r>
        <w:t xml:space="preserve">and provide inventory, configuration, topology, health, capacity, and lifecycle information.</w:t>
      </w:r>
    </w:p>
    <w:bookmarkEnd w:id="34"/>
    <w:bookmarkStart w:id="35" w:name="accusec-interaction-model"/>
    <w:p>
      <w:pPr>
        <w:pStyle w:val="Heading3"/>
      </w:pPr>
      <w:r>
        <w:t xml:space="preserve">AccuSec interaction model</w:t>
      </w:r>
    </w:p>
    <w:p>
      <w:pPr>
        <w:pStyle w:val="FirstParagraph"/>
      </w:pPr>
      <w:r>
        <w:t xml:space="preserve">AccuSec interacts with these platforms through registered connectors, MCP servers, native APIs, SDKs, approved command adapters, or event integrations.</w:t>
      </w:r>
    </w:p>
    <w:p>
      <w:pPr>
        <w:pStyle w:val="BodyText"/>
      </w:pPr>
      <w:r>
        <w:t xml:space="preserve">An Enterprise AI Engineer must never directly embed an infrastructure vendor credential into a prompt or model context.</w:t>
      </w:r>
    </w:p>
    <w:p>
      <w:r>
        <w:pict>
          <v:rect style="width:0;height:1.5pt" o:hralign="center" o:hrstd="t" o:hr="t"/>
        </w:pict>
      </w:r>
    </w:p>
    <w:bookmarkEnd w:id="35"/>
    <w:bookmarkEnd w:id="36"/>
    <w:bookmarkStart w:id="39" w:name="it-operations-systems"/>
    <w:p>
      <w:pPr>
        <w:pStyle w:val="Heading2"/>
      </w:pPr>
      <w:r>
        <w:t xml:space="preserve">2.5.2 IT Operations Systems</w:t>
      </w:r>
    </w:p>
    <w:p>
      <w:pPr>
        <w:pStyle w:val="FirstParagraph"/>
      </w:pPr>
      <w:r>
        <w:t xml:space="preserve">This category includes:</w:t>
      </w:r>
    </w:p>
    <w:p>
      <w:pPr>
        <w:pStyle w:val="Compact"/>
        <w:numPr>
          <w:ilvl w:val="0"/>
          <w:numId w:val="1013"/>
        </w:numPr>
      </w:pPr>
      <w:r>
        <w:t xml:space="preserve">ServiceNow;</w:t>
      </w:r>
    </w:p>
    <w:p>
      <w:pPr>
        <w:pStyle w:val="Compact"/>
        <w:numPr>
          <w:ilvl w:val="0"/>
          <w:numId w:val="1013"/>
        </w:numPr>
      </w:pPr>
      <w:r>
        <w:t xml:space="preserve">Jira;</w:t>
      </w:r>
    </w:p>
    <w:p>
      <w:pPr>
        <w:pStyle w:val="Compact"/>
        <w:numPr>
          <w:ilvl w:val="0"/>
          <w:numId w:val="1013"/>
        </w:numPr>
      </w:pPr>
      <w:r>
        <w:t xml:space="preserve">Ansible Automation Platform or Ansible Tower;</w:t>
      </w:r>
    </w:p>
    <w:p>
      <w:pPr>
        <w:pStyle w:val="Compact"/>
        <w:numPr>
          <w:ilvl w:val="0"/>
          <w:numId w:val="1013"/>
        </w:numPr>
      </w:pPr>
      <w:r>
        <w:t xml:space="preserve">monitoring systems;</w:t>
      </w:r>
    </w:p>
    <w:p>
      <w:pPr>
        <w:pStyle w:val="Compact"/>
        <w:numPr>
          <w:ilvl w:val="0"/>
          <w:numId w:val="1013"/>
        </w:numPr>
      </w:pPr>
      <w:r>
        <w:t xml:space="preserve">logging systems;</w:t>
      </w:r>
    </w:p>
    <w:p>
      <w:pPr>
        <w:pStyle w:val="Compact"/>
        <w:numPr>
          <w:ilvl w:val="0"/>
          <w:numId w:val="1013"/>
        </w:numPr>
      </w:pPr>
      <w:r>
        <w:t xml:space="preserve">observability platforms;</w:t>
      </w:r>
    </w:p>
    <w:p>
      <w:pPr>
        <w:pStyle w:val="Compact"/>
        <w:numPr>
          <w:ilvl w:val="0"/>
          <w:numId w:val="1013"/>
        </w:numPr>
      </w:pPr>
      <w:r>
        <w:t xml:space="preserve">backup and disaster-recovery systems;</w:t>
      </w:r>
    </w:p>
    <w:p>
      <w:pPr>
        <w:pStyle w:val="Compact"/>
        <w:numPr>
          <w:ilvl w:val="0"/>
          <w:numId w:val="1013"/>
        </w:numPr>
      </w:pPr>
      <w:r>
        <w:t xml:space="preserve">CMDB systems;</w:t>
      </w:r>
    </w:p>
    <w:p>
      <w:pPr>
        <w:pStyle w:val="Compact"/>
        <w:numPr>
          <w:ilvl w:val="0"/>
          <w:numId w:val="1013"/>
        </w:numPr>
      </w:pPr>
      <w:r>
        <w:t xml:space="preserve">incident-management systems;</w:t>
      </w:r>
    </w:p>
    <w:p>
      <w:pPr>
        <w:pStyle w:val="Compact"/>
        <w:numPr>
          <w:ilvl w:val="0"/>
          <w:numId w:val="1013"/>
        </w:numPr>
      </w:pPr>
      <w:r>
        <w:t xml:space="preserve">change-management systems;</w:t>
      </w:r>
    </w:p>
    <w:p>
      <w:pPr>
        <w:pStyle w:val="Compact"/>
        <w:numPr>
          <w:ilvl w:val="0"/>
          <w:numId w:val="1013"/>
        </w:numPr>
      </w:pPr>
      <w:r>
        <w:t xml:space="preserve">and configuration or automation platforms.</w:t>
      </w:r>
    </w:p>
    <w:bookmarkStart w:id="37" w:name="responsibilities-1"/>
    <w:p>
      <w:pPr>
        <w:pStyle w:val="Heading3"/>
      </w:pPr>
      <w:r>
        <w:t xml:space="preserve">Responsibilities</w:t>
      </w:r>
    </w:p>
    <w:p>
      <w:pPr>
        <w:pStyle w:val="FirstParagraph"/>
      </w:pPr>
      <w:r>
        <w:t xml:space="preserve">These systems provide operational records such as:</w:t>
      </w:r>
    </w:p>
    <w:p>
      <w:pPr>
        <w:pStyle w:val="Compact"/>
        <w:numPr>
          <w:ilvl w:val="0"/>
          <w:numId w:val="1014"/>
        </w:numPr>
      </w:pPr>
      <w:r>
        <w:t xml:space="preserve">incidents;</w:t>
      </w:r>
    </w:p>
    <w:p>
      <w:pPr>
        <w:pStyle w:val="Compact"/>
        <w:numPr>
          <w:ilvl w:val="0"/>
          <w:numId w:val="1014"/>
        </w:numPr>
      </w:pPr>
      <w:r>
        <w:t xml:space="preserve">alerts;</w:t>
      </w:r>
    </w:p>
    <w:p>
      <w:pPr>
        <w:pStyle w:val="Compact"/>
        <w:numPr>
          <w:ilvl w:val="0"/>
          <w:numId w:val="1014"/>
        </w:numPr>
      </w:pPr>
      <w:r>
        <w:t xml:space="preserve">changes;</w:t>
      </w:r>
    </w:p>
    <w:p>
      <w:pPr>
        <w:pStyle w:val="Compact"/>
        <w:numPr>
          <w:ilvl w:val="0"/>
          <w:numId w:val="1014"/>
        </w:numPr>
      </w:pPr>
      <w:r>
        <w:t xml:space="preserve">problems;</w:t>
      </w:r>
    </w:p>
    <w:p>
      <w:pPr>
        <w:pStyle w:val="Compact"/>
        <w:numPr>
          <w:ilvl w:val="0"/>
          <w:numId w:val="1014"/>
        </w:numPr>
      </w:pPr>
      <w:r>
        <w:t xml:space="preserve">service requests;</w:t>
      </w:r>
    </w:p>
    <w:p>
      <w:pPr>
        <w:pStyle w:val="Compact"/>
        <w:numPr>
          <w:ilvl w:val="0"/>
          <w:numId w:val="1014"/>
        </w:numPr>
      </w:pPr>
      <w:r>
        <w:t xml:space="preserve">configuration items;</w:t>
      </w:r>
    </w:p>
    <w:p>
      <w:pPr>
        <w:pStyle w:val="Compact"/>
        <w:numPr>
          <w:ilvl w:val="0"/>
          <w:numId w:val="1014"/>
        </w:numPr>
      </w:pPr>
      <w:r>
        <w:t xml:space="preserve">runbooks;</w:t>
      </w:r>
    </w:p>
    <w:p>
      <w:pPr>
        <w:pStyle w:val="Compact"/>
        <w:numPr>
          <w:ilvl w:val="0"/>
          <w:numId w:val="1014"/>
        </w:numPr>
      </w:pPr>
      <w:r>
        <w:t xml:space="preserve">automation jobs;</w:t>
      </w:r>
    </w:p>
    <w:p>
      <w:pPr>
        <w:pStyle w:val="Compact"/>
        <w:numPr>
          <w:ilvl w:val="0"/>
          <w:numId w:val="1014"/>
        </w:numPr>
      </w:pPr>
      <w:r>
        <w:t xml:space="preserve">maintenance windows;</w:t>
      </w:r>
    </w:p>
    <w:p>
      <w:pPr>
        <w:pStyle w:val="Compact"/>
        <w:numPr>
          <w:ilvl w:val="0"/>
          <w:numId w:val="1014"/>
        </w:numPr>
      </w:pPr>
      <w:r>
        <w:t xml:space="preserve">backup state;</w:t>
      </w:r>
    </w:p>
    <w:p>
      <w:pPr>
        <w:pStyle w:val="Compact"/>
        <w:numPr>
          <w:ilvl w:val="0"/>
          <w:numId w:val="1014"/>
        </w:numPr>
      </w:pPr>
      <w:r>
        <w:t xml:space="preserve">and compliance evidence.</w:t>
      </w:r>
    </w:p>
    <w:bookmarkEnd w:id="37"/>
    <w:bookmarkStart w:id="38" w:name="architectural-role"/>
    <w:p>
      <w:pPr>
        <w:pStyle w:val="Heading3"/>
      </w:pPr>
      <w:r>
        <w:t xml:space="preserve">Architectural role</w:t>
      </w:r>
    </w:p>
    <w:p>
      <w:pPr>
        <w:pStyle w:val="FirstParagraph"/>
      </w:pPr>
      <w:r>
        <w:t xml:space="preserve">IT Operations Systems may act as:</w:t>
      </w:r>
    </w:p>
    <w:p>
      <w:pPr>
        <w:pStyle w:val="Compact"/>
        <w:numPr>
          <w:ilvl w:val="0"/>
          <w:numId w:val="1015"/>
        </w:numPr>
      </w:pPr>
      <w:r>
        <w:t xml:space="preserve">context sources;</w:t>
      </w:r>
    </w:p>
    <w:p>
      <w:pPr>
        <w:pStyle w:val="Compact"/>
        <w:numPr>
          <w:ilvl w:val="0"/>
          <w:numId w:val="1015"/>
        </w:numPr>
      </w:pPr>
      <w:r>
        <w:t xml:space="preserve">workflow triggers;</w:t>
      </w:r>
    </w:p>
    <w:p>
      <w:pPr>
        <w:pStyle w:val="Compact"/>
        <w:numPr>
          <w:ilvl w:val="0"/>
          <w:numId w:val="1015"/>
        </w:numPr>
      </w:pPr>
      <w:r>
        <w:t xml:space="preserve">systems of record;</w:t>
      </w:r>
    </w:p>
    <w:p>
      <w:pPr>
        <w:pStyle w:val="Compact"/>
        <w:numPr>
          <w:ilvl w:val="0"/>
          <w:numId w:val="1015"/>
        </w:numPr>
      </w:pPr>
      <w:r>
        <w:t xml:space="preserve">approval systems;</w:t>
      </w:r>
    </w:p>
    <w:p>
      <w:pPr>
        <w:pStyle w:val="Compact"/>
        <w:numPr>
          <w:ilvl w:val="0"/>
          <w:numId w:val="1015"/>
        </w:numPr>
      </w:pPr>
      <w:r>
        <w:t xml:space="preserve">notification destinations;</w:t>
      </w:r>
    </w:p>
    <w:p>
      <w:pPr>
        <w:pStyle w:val="Compact"/>
        <w:numPr>
          <w:ilvl w:val="0"/>
          <w:numId w:val="1015"/>
        </w:numPr>
      </w:pPr>
      <w:r>
        <w:t xml:space="preserve">or execution targets.</w:t>
      </w:r>
    </w:p>
    <w:p>
      <w:pPr>
        <w:pStyle w:val="FirstParagraph"/>
      </w:pPr>
      <w:r>
        <w:t xml:space="preserve">For example, a ServiceNow change record may be a required precondition before AccuSec executes an infrastructure upgrade.</w:t>
      </w:r>
    </w:p>
    <w:p>
      <w:r>
        <w:pict>
          <v:rect style="width:0;height:1.5pt" o:hralign="center" o:hrstd="t" o:hr="t"/>
        </w:pict>
      </w:r>
    </w:p>
    <w:bookmarkEnd w:id="38"/>
    <w:bookmarkEnd w:id="39"/>
    <w:bookmarkStart w:id="40" w:name="enterprise-data"/>
    <w:p>
      <w:pPr>
        <w:pStyle w:val="Heading2"/>
      </w:pPr>
      <w:r>
        <w:t xml:space="preserve">2.5.3 Enterprise Data</w:t>
      </w:r>
    </w:p>
    <w:p>
      <w:pPr>
        <w:pStyle w:val="FirstParagraph"/>
      </w:pPr>
      <w:r>
        <w:t xml:space="preserve">Enterprise data includes:</w:t>
      </w:r>
    </w:p>
    <w:p>
      <w:pPr>
        <w:pStyle w:val="Compact"/>
        <w:numPr>
          <w:ilvl w:val="0"/>
          <w:numId w:val="1016"/>
        </w:numPr>
      </w:pPr>
      <w:r>
        <w:t xml:space="preserve">logs;</w:t>
      </w:r>
    </w:p>
    <w:p>
      <w:pPr>
        <w:pStyle w:val="Compact"/>
        <w:numPr>
          <w:ilvl w:val="0"/>
          <w:numId w:val="1016"/>
        </w:numPr>
      </w:pPr>
      <w:r>
        <w:t xml:space="preserve">metrics;</w:t>
      </w:r>
    </w:p>
    <w:p>
      <w:pPr>
        <w:pStyle w:val="Compact"/>
        <w:numPr>
          <w:ilvl w:val="0"/>
          <w:numId w:val="1016"/>
        </w:numPr>
      </w:pPr>
      <w:r>
        <w:t xml:space="preserve">traces;</w:t>
      </w:r>
    </w:p>
    <w:p>
      <w:pPr>
        <w:pStyle w:val="Compact"/>
        <w:numPr>
          <w:ilvl w:val="0"/>
          <w:numId w:val="1016"/>
        </w:numPr>
      </w:pPr>
      <w:r>
        <w:t xml:space="preserve">events;</w:t>
      </w:r>
    </w:p>
    <w:p>
      <w:pPr>
        <w:pStyle w:val="Compact"/>
        <w:numPr>
          <w:ilvl w:val="0"/>
          <w:numId w:val="1016"/>
        </w:numPr>
      </w:pPr>
      <w:r>
        <w:t xml:space="preserve">tickets;</w:t>
      </w:r>
    </w:p>
    <w:p>
      <w:pPr>
        <w:pStyle w:val="Compact"/>
        <w:numPr>
          <w:ilvl w:val="0"/>
          <w:numId w:val="1016"/>
        </w:numPr>
      </w:pPr>
      <w:r>
        <w:t xml:space="preserve">documents;</w:t>
      </w:r>
    </w:p>
    <w:p>
      <w:pPr>
        <w:pStyle w:val="Compact"/>
        <w:numPr>
          <w:ilvl w:val="0"/>
          <w:numId w:val="1016"/>
        </w:numPr>
      </w:pPr>
      <w:r>
        <w:t xml:space="preserve">topology;</w:t>
      </w:r>
    </w:p>
    <w:p>
      <w:pPr>
        <w:pStyle w:val="Compact"/>
        <w:numPr>
          <w:ilvl w:val="0"/>
          <w:numId w:val="1016"/>
        </w:numPr>
      </w:pPr>
      <w:r>
        <w:t xml:space="preserve">inventory;</w:t>
      </w:r>
    </w:p>
    <w:p>
      <w:pPr>
        <w:pStyle w:val="Compact"/>
        <w:numPr>
          <w:ilvl w:val="0"/>
          <w:numId w:val="1016"/>
        </w:numPr>
      </w:pPr>
      <w:r>
        <w:t xml:space="preserve">configurations;</w:t>
      </w:r>
    </w:p>
    <w:p>
      <w:pPr>
        <w:pStyle w:val="Compact"/>
        <w:numPr>
          <w:ilvl w:val="0"/>
          <w:numId w:val="1016"/>
        </w:numPr>
      </w:pPr>
      <w:r>
        <w:t xml:space="preserve">operational procedures;</w:t>
      </w:r>
    </w:p>
    <w:p>
      <w:pPr>
        <w:pStyle w:val="Compact"/>
        <w:numPr>
          <w:ilvl w:val="0"/>
          <w:numId w:val="1016"/>
        </w:numPr>
      </w:pPr>
      <w:r>
        <w:t xml:space="preserve">policies;</w:t>
      </w:r>
    </w:p>
    <w:p>
      <w:pPr>
        <w:pStyle w:val="Compact"/>
        <w:numPr>
          <w:ilvl w:val="0"/>
          <w:numId w:val="1016"/>
        </w:numPr>
      </w:pPr>
      <w:r>
        <w:t xml:space="preserve">knowledge articles;</w:t>
      </w:r>
    </w:p>
    <w:p>
      <w:pPr>
        <w:pStyle w:val="Compact"/>
        <w:numPr>
          <w:ilvl w:val="0"/>
          <w:numId w:val="1016"/>
        </w:numPr>
      </w:pPr>
      <w:r>
        <w:t xml:space="preserve">and historical execution records.</w:t>
      </w:r>
    </w:p>
    <w:p>
      <w:pPr>
        <w:pStyle w:val="FirstParagraph"/>
      </w:pPr>
      <w:r>
        <w:t xml:space="preserve">Enterprise data may arrive through pull-based collection, push-based events, file ingestion, API calls, streaming subscriptions, or scheduled synchronization.</w:t>
      </w:r>
    </w:p>
    <w:p>
      <w:pPr>
        <w:pStyle w:val="BodyText"/>
      </w:pPr>
      <w:r>
        <w:t xml:space="preserve">Enterprise data must be classified before it is stored or supplied to an AI model.</w:t>
      </w:r>
    </w:p>
    <w:p>
      <w:pPr>
        <w:pStyle w:val="BodyText"/>
      </w:pPr>
      <w:r>
        <w:t xml:space="preserve">Classification must consider:</w:t>
      </w:r>
    </w:p>
    <w:p>
      <w:pPr>
        <w:pStyle w:val="Compact"/>
        <w:numPr>
          <w:ilvl w:val="0"/>
          <w:numId w:val="1017"/>
        </w:numPr>
      </w:pPr>
      <w:r>
        <w:t xml:space="preserve">tenant ownership;</w:t>
      </w:r>
    </w:p>
    <w:p>
      <w:pPr>
        <w:pStyle w:val="Compact"/>
        <w:numPr>
          <w:ilvl w:val="0"/>
          <w:numId w:val="1017"/>
        </w:numPr>
      </w:pPr>
      <w:r>
        <w:t xml:space="preserve">confidentiality;</w:t>
      </w:r>
    </w:p>
    <w:p>
      <w:pPr>
        <w:pStyle w:val="Compact"/>
        <w:numPr>
          <w:ilvl w:val="0"/>
          <w:numId w:val="1017"/>
        </w:numPr>
      </w:pPr>
      <w:r>
        <w:t xml:space="preserve">regulated content;</w:t>
      </w:r>
    </w:p>
    <w:p>
      <w:pPr>
        <w:pStyle w:val="Compact"/>
        <w:numPr>
          <w:ilvl w:val="0"/>
          <w:numId w:val="1017"/>
        </w:numPr>
      </w:pPr>
      <w:r>
        <w:t xml:space="preserve">credentials and secrets;</w:t>
      </w:r>
    </w:p>
    <w:p>
      <w:pPr>
        <w:pStyle w:val="Compact"/>
        <w:numPr>
          <w:ilvl w:val="0"/>
          <w:numId w:val="1017"/>
        </w:numPr>
      </w:pPr>
      <w:r>
        <w:t xml:space="preserve">personal information;</w:t>
      </w:r>
    </w:p>
    <w:p>
      <w:pPr>
        <w:pStyle w:val="Compact"/>
        <w:numPr>
          <w:ilvl w:val="0"/>
          <w:numId w:val="1017"/>
        </w:numPr>
      </w:pPr>
      <w:r>
        <w:t xml:space="preserve">operational sensitivity;</w:t>
      </w:r>
    </w:p>
    <w:p>
      <w:pPr>
        <w:pStyle w:val="Compact"/>
        <w:numPr>
          <w:ilvl w:val="0"/>
          <w:numId w:val="1017"/>
        </w:numPr>
      </w:pPr>
      <w:r>
        <w:t xml:space="preserve">geographic restrictions;</w:t>
      </w:r>
    </w:p>
    <w:p>
      <w:pPr>
        <w:pStyle w:val="Compact"/>
        <w:numPr>
          <w:ilvl w:val="0"/>
          <w:numId w:val="1017"/>
        </w:numPr>
      </w:pPr>
      <w:r>
        <w:t xml:space="preserve">retention requirements;</w:t>
      </w:r>
    </w:p>
    <w:p>
      <w:pPr>
        <w:pStyle w:val="Compact"/>
        <w:numPr>
          <w:ilvl w:val="0"/>
          <w:numId w:val="1017"/>
        </w:numPr>
      </w:pPr>
      <w:r>
        <w:t xml:space="preserve">and model-provider restrictions.</w:t>
      </w:r>
    </w:p>
    <w:p>
      <w:r>
        <w:pict>
          <v:rect style="width:0;height:1.5pt" o:hralign="center" o:hrstd="t" o:hr="t"/>
        </w:pict>
      </w:r>
    </w:p>
    <w:bookmarkEnd w:id="40"/>
    <w:bookmarkStart w:id="43" w:name="identity-providers"/>
    <w:p>
      <w:pPr>
        <w:pStyle w:val="Heading2"/>
      </w:pPr>
      <w:r>
        <w:t xml:space="preserve">2.5.4 Identity Providers</w:t>
      </w:r>
    </w:p>
    <w:p>
      <w:pPr>
        <w:pStyle w:val="FirstParagraph"/>
      </w:pPr>
      <w:r>
        <w:t xml:space="preserve">Identity Providers include:</w:t>
      </w:r>
    </w:p>
    <w:p>
      <w:pPr>
        <w:pStyle w:val="Compact"/>
        <w:numPr>
          <w:ilvl w:val="0"/>
          <w:numId w:val="1018"/>
        </w:numPr>
      </w:pPr>
      <w:r>
        <w:t xml:space="preserve">Microsoft Entra ID;</w:t>
      </w:r>
    </w:p>
    <w:p>
      <w:pPr>
        <w:pStyle w:val="Compact"/>
        <w:numPr>
          <w:ilvl w:val="0"/>
          <w:numId w:val="1018"/>
        </w:numPr>
      </w:pPr>
      <w:r>
        <w:t xml:space="preserve">Okta;</w:t>
      </w:r>
    </w:p>
    <w:p>
      <w:pPr>
        <w:pStyle w:val="Compact"/>
        <w:numPr>
          <w:ilvl w:val="0"/>
          <w:numId w:val="1018"/>
        </w:numPr>
      </w:pPr>
      <w:r>
        <w:t xml:space="preserve">LDAP-compatible directories;</w:t>
      </w:r>
    </w:p>
    <w:p>
      <w:pPr>
        <w:pStyle w:val="Compact"/>
        <w:numPr>
          <w:ilvl w:val="0"/>
          <w:numId w:val="1018"/>
        </w:numPr>
      </w:pPr>
      <w:r>
        <w:t xml:space="preserve">and other enterprise identity systems.</w:t>
      </w:r>
    </w:p>
    <w:bookmarkStart w:id="41" w:name="responsibilities-2"/>
    <w:p>
      <w:pPr>
        <w:pStyle w:val="Heading3"/>
      </w:pPr>
      <w:r>
        <w:t xml:space="preserve">Responsibilities</w:t>
      </w:r>
    </w:p>
    <w:p>
      <w:pPr>
        <w:pStyle w:val="FirstParagraph"/>
      </w:pPr>
      <w:r>
        <w:t xml:space="preserve">Identity Providers authenticate human and workload identities and provide identity claims.</w:t>
      </w:r>
    </w:p>
    <w:bookmarkEnd w:id="41"/>
    <w:bookmarkStart w:id="42" w:name="accusec-responsibilities"/>
    <w:p>
      <w:pPr>
        <w:pStyle w:val="Heading3"/>
      </w:pPr>
      <w:r>
        <w:t xml:space="preserve">AccuSec responsibilities</w:t>
      </w:r>
    </w:p>
    <w:p>
      <w:pPr>
        <w:pStyle w:val="FirstParagraph"/>
      </w:pPr>
      <w:r>
        <w:t xml:space="preserve">AccuSec must:</w:t>
      </w:r>
    </w:p>
    <w:p>
      <w:pPr>
        <w:pStyle w:val="Compact"/>
        <w:numPr>
          <w:ilvl w:val="0"/>
          <w:numId w:val="1019"/>
        </w:numPr>
      </w:pPr>
      <w:r>
        <w:t xml:space="preserve">validate identity tokens;</w:t>
      </w:r>
    </w:p>
    <w:p>
      <w:pPr>
        <w:pStyle w:val="Compact"/>
        <w:numPr>
          <w:ilvl w:val="0"/>
          <w:numId w:val="1019"/>
        </w:numPr>
      </w:pPr>
      <w:r>
        <w:t xml:space="preserve">map external identities to internal principals;</w:t>
      </w:r>
    </w:p>
    <w:p>
      <w:pPr>
        <w:pStyle w:val="Compact"/>
        <w:numPr>
          <w:ilvl w:val="0"/>
          <w:numId w:val="1019"/>
        </w:numPr>
      </w:pPr>
      <w:r>
        <w:t xml:space="preserve">establish tenant and workspace context;</w:t>
      </w:r>
    </w:p>
    <w:p>
      <w:pPr>
        <w:pStyle w:val="Compact"/>
        <w:numPr>
          <w:ilvl w:val="0"/>
          <w:numId w:val="1019"/>
        </w:numPr>
      </w:pPr>
      <w:r>
        <w:t xml:space="preserve">resolve group and role mappings;</w:t>
      </w:r>
    </w:p>
    <w:p>
      <w:pPr>
        <w:pStyle w:val="Compact"/>
        <w:numPr>
          <w:ilvl w:val="0"/>
          <w:numId w:val="1019"/>
        </w:numPr>
      </w:pPr>
      <w:r>
        <w:t xml:space="preserve">enforce session policies;</w:t>
      </w:r>
    </w:p>
    <w:p>
      <w:pPr>
        <w:pStyle w:val="Compact"/>
        <w:numPr>
          <w:ilvl w:val="0"/>
          <w:numId w:val="1019"/>
        </w:numPr>
      </w:pPr>
      <w:r>
        <w:t xml:space="preserve">and create an auditable security context for every request.</w:t>
      </w:r>
    </w:p>
    <w:p>
      <w:pPr>
        <w:pStyle w:val="FirstParagraph"/>
      </w:pPr>
      <w:r>
        <w:t xml:space="preserve">Authentication does not imply authorization. Authorization is evaluated separately by AccuSec and, where applicable, again by the target enterprise system.</w:t>
      </w:r>
    </w:p>
    <w:p>
      <w:r>
        <w:pict>
          <v:rect style="width:0;height:1.5pt" o:hralign="center" o:hrstd="t" o:hr="t"/>
        </w:pict>
      </w:r>
    </w:p>
    <w:bookmarkEnd w:id="42"/>
    <w:bookmarkEnd w:id="43"/>
    <w:bookmarkEnd w:id="44"/>
    <w:bookmarkStart w:id="51" w:name="connectors-and-collectors"/>
    <w:p>
      <w:pPr>
        <w:pStyle w:val="Heading1"/>
      </w:pPr>
      <w:r>
        <w:t xml:space="preserve">2.6 Connectors and Collectors</w:t>
      </w:r>
    </w:p>
    <w:p>
      <w:pPr>
        <w:pStyle w:val="FirstParagraph"/>
      </w:pPr>
      <w:r>
        <w:t xml:space="preserve">Connectors and Collectors form the controlled integration boundary between AccuSec and external enterprise systems.</w:t>
      </w:r>
    </w:p>
    <w:p>
      <w:pPr>
        <w:pStyle w:val="BodyText"/>
      </w:pPr>
      <w:r>
        <w:t xml:space="preserve">The diagram represents them as a logical boundary rather than a single service.</w:t>
      </w:r>
    </w:p>
    <w:bookmarkStart w:id="45" w:name="connector-responsibilities"/>
    <w:p>
      <w:pPr>
        <w:pStyle w:val="Heading2"/>
      </w:pPr>
      <w:r>
        <w:t xml:space="preserve">2.6.1 Connector responsibilities</w:t>
      </w:r>
    </w:p>
    <w:p>
      <w:pPr>
        <w:pStyle w:val="FirstParagraph"/>
      </w:pPr>
      <w:r>
        <w:t xml:space="preserve">A connector provides controlled interaction with an external platform.</w:t>
      </w:r>
    </w:p>
    <w:p>
      <w:pPr>
        <w:pStyle w:val="BodyText"/>
      </w:pPr>
      <w:r>
        <w:t xml:space="preserve">Its responsibilities may include:</w:t>
      </w:r>
    </w:p>
    <w:p>
      <w:pPr>
        <w:pStyle w:val="Compact"/>
        <w:numPr>
          <w:ilvl w:val="0"/>
          <w:numId w:val="1020"/>
        </w:numPr>
      </w:pPr>
      <w:r>
        <w:t xml:space="preserve">authentication to the target platform;</w:t>
      </w:r>
    </w:p>
    <w:p>
      <w:pPr>
        <w:pStyle w:val="Compact"/>
        <w:numPr>
          <w:ilvl w:val="0"/>
          <w:numId w:val="1020"/>
        </w:numPr>
      </w:pPr>
      <w:r>
        <w:t xml:space="preserve">connection pooling;</w:t>
      </w:r>
    </w:p>
    <w:p>
      <w:pPr>
        <w:pStyle w:val="Compact"/>
        <w:numPr>
          <w:ilvl w:val="0"/>
          <w:numId w:val="1020"/>
        </w:numPr>
      </w:pPr>
      <w:r>
        <w:t xml:space="preserve">API version handling;</w:t>
      </w:r>
    </w:p>
    <w:p>
      <w:pPr>
        <w:pStyle w:val="Compact"/>
        <w:numPr>
          <w:ilvl w:val="0"/>
          <w:numId w:val="1020"/>
        </w:numPr>
      </w:pPr>
      <w:r>
        <w:t xml:space="preserve">protocol translation;</w:t>
      </w:r>
    </w:p>
    <w:p>
      <w:pPr>
        <w:pStyle w:val="Compact"/>
        <w:numPr>
          <w:ilvl w:val="0"/>
          <w:numId w:val="1020"/>
        </w:numPr>
      </w:pPr>
      <w:r>
        <w:t xml:space="preserve">request normalization;</w:t>
      </w:r>
    </w:p>
    <w:p>
      <w:pPr>
        <w:pStyle w:val="Compact"/>
        <w:numPr>
          <w:ilvl w:val="0"/>
          <w:numId w:val="1020"/>
        </w:numPr>
      </w:pPr>
      <w:r>
        <w:t xml:space="preserve">response normalization;</w:t>
      </w:r>
    </w:p>
    <w:p>
      <w:pPr>
        <w:pStyle w:val="Compact"/>
        <w:numPr>
          <w:ilvl w:val="0"/>
          <w:numId w:val="1020"/>
        </w:numPr>
      </w:pPr>
      <w:r>
        <w:t xml:space="preserve">pagination;</w:t>
      </w:r>
    </w:p>
    <w:p>
      <w:pPr>
        <w:pStyle w:val="Compact"/>
        <w:numPr>
          <w:ilvl w:val="0"/>
          <w:numId w:val="1020"/>
        </w:numPr>
      </w:pPr>
      <w:r>
        <w:t xml:space="preserve">rate-limit handling;</w:t>
      </w:r>
    </w:p>
    <w:p>
      <w:pPr>
        <w:pStyle w:val="Compact"/>
        <w:numPr>
          <w:ilvl w:val="0"/>
          <w:numId w:val="1020"/>
        </w:numPr>
      </w:pPr>
      <w:r>
        <w:t xml:space="preserve">retry behavior;</w:t>
      </w:r>
    </w:p>
    <w:p>
      <w:pPr>
        <w:pStyle w:val="Compact"/>
        <w:numPr>
          <w:ilvl w:val="0"/>
          <w:numId w:val="1020"/>
        </w:numPr>
      </w:pPr>
      <w:r>
        <w:t xml:space="preserve">error translation;</w:t>
      </w:r>
    </w:p>
    <w:p>
      <w:pPr>
        <w:pStyle w:val="Compact"/>
        <w:numPr>
          <w:ilvl w:val="0"/>
          <w:numId w:val="1020"/>
        </w:numPr>
      </w:pPr>
      <w:r>
        <w:t xml:space="preserve">capability discovery;</w:t>
      </w:r>
    </w:p>
    <w:p>
      <w:pPr>
        <w:pStyle w:val="Compact"/>
        <w:numPr>
          <w:ilvl w:val="0"/>
          <w:numId w:val="1020"/>
        </w:numPr>
      </w:pPr>
      <w:r>
        <w:t xml:space="preserve">idempotency support;</w:t>
      </w:r>
    </w:p>
    <w:p>
      <w:pPr>
        <w:pStyle w:val="Compact"/>
        <w:numPr>
          <w:ilvl w:val="0"/>
          <w:numId w:val="1020"/>
        </w:numPr>
      </w:pPr>
      <w:r>
        <w:t xml:space="preserve">and target-specific telemetry.</w:t>
      </w:r>
    </w:p>
    <w:p>
      <w:pPr>
        <w:pStyle w:val="FirstParagraph"/>
      </w:pPr>
      <w:r>
        <w:t xml:space="preserve">Connectors must expose normalized capabilities to AccuSec while retaining access to vendor-specific functionality where required.</w:t>
      </w:r>
    </w:p>
    <w:p>
      <w:r>
        <w:pict>
          <v:rect style="width:0;height:1.5pt" o:hralign="center" o:hrstd="t" o:hr="t"/>
        </w:pict>
      </w:r>
    </w:p>
    <w:bookmarkEnd w:id="45"/>
    <w:bookmarkStart w:id="46" w:name="collector-responsibilities"/>
    <w:p>
      <w:pPr>
        <w:pStyle w:val="Heading2"/>
      </w:pPr>
      <w:r>
        <w:t xml:space="preserve">2.6.2 Collector responsibilities</w:t>
      </w:r>
    </w:p>
    <w:p>
      <w:pPr>
        <w:pStyle w:val="FirstParagraph"/>
      </w:pPr>
      <w:r>
        <w:t xml:space="preserve">A collector acquires information from external systems and supplies it to AccuSec data and context services.</w:t>
      </w:r>
    </w:p>
    <w:p>
      <w:pPr>
        <w:pStyle w:val="BodyText"/>
      </w:pPr>
      <w:r>
        <w:t xml:space="preserve">Collectors may gather:</w:t>
      </w:r>
    </w:p>
    <w:p>
      <w:pPr>
        <w:pStyle w:val="Compact"/>
        <w:numPr>
          <w:ilvl w:val="0"/>
          <w:numId w:val="1021"/>
        </w:numPr>
      </w:pPr>
      <w:r>
        <w:t xml:space="preserve">inventory;</w:t>
      </w:r>
    </w:p>
    <w:p>
      <w:pPr>
        <w:pStyle w:val="Compact"/>
        <w:numPr>
          <w:ilvl w:val="0"/>
          <w:numId w:val="1021"/>
        </w:numPr>
      </w:pPr>
      <w:r>
        <w:t xml:space="preserve">topology;</w:t>
      </w:r>
    </w:p>
    <w:p>
      <w:pPr>
        <w:pStyle w:val="Compact"/>
        <w:numPr>
          <w:ilvl w:val="0"/>
          <w:numId w:val="1021"/>
        </w:numPr>
      </w:pPr>
      <w:r>
        <w:t xml:space="preserve">configuration;</w:t>
      </w:r>
    </w:p>
    <w:p>
      <w:pPr>
        <w:pStyle w:val="Compact"/>
        <w:numPr>
          <w:ilvl w:val="0"/>
          <w:numId w:val="1021"/>
        </w:numPr>
      </w:pPr>
      <w:r>
        <w:t xml:space="preserve">alerts;</w:t>
      </w:r>
    </w:p>
    <w:p>
      <w:pPr>
        <w:pStyle w:val="Compact"/>
        <w:numPr>
          <w:ilvl w:val="0"/>
          <w:numId w:val="1021"/>
        </w:numPr>
      </w:pPr>
      <w:r>
        <w:t xml:space="preserve">metrics;</w:t>
      </w:r>
    </w:p>
    <w:p>
      <w:pPr>
        <w:pStyle w:val="Compact"/>
        <w:numPr>
          <w:ilvl w:val="0"/>
          <w:numId w:val="1021"/>
        </w:numPr>
      </w:pPr>
      <w:r>
        <w:t xml:space="preserve">events;</w:t>
      </w:r>
    </w:p>
    <w:p>
      <w:pPr>
        <w:pStyle w:val="Compact"/>
        <w:numPr>
          <w:ilvl w:val="0"/>
          <w:numId w:val="1021"/>
        </w:numPr>
      </w:pPr>
      <w:r>
        <w:t xml:space="preserve">logs;</w:t>
      </w:r>
    </w:p>
    <w:p>
      <w:pPr>
        <w:pStyle w:val="Compact"/>
        <w:numPr>
          <w:ilvl w:val="0"/>
          <w:numId w:val="1021"/>
        </w:numPr>
      </w:pPr>
      <w:r>
        <w:t xml:space="preserve">compliance state;</w:t>
      </w:r>
    </w:p>
    <w:p>
      <w:pPr>
        <w:pStyle w:val="Compact"/>
        <w:numPr>
          <w:ilvl w:val="0"/>
          <w:numId w:val="1021"/>
        </w:numPr>
      </w:pPr>
      <w:r>
        <w:t xml:space="preserve">task status;</w:t>
      </w:r>
    </w:p>
    <w:p>
      <w:pPr>
        <w:pStyle w:val="Compact"/>
        <w:numPr>
          <w:ilvl w:val="0"/>
          <w:numId w:val="1021"/>
        </w:numPr>
      </w:pPr>
      <w:r>
        <w:t xml:space="preserve">and capacity information.</w:t>
      </w:r>
    </w:p>
    <w:p>
      <w:pPr>
        <w:pStyle w:val="FirstParagraph"/>
      </w:pPr>
      <w:r>
        <w:t xml:space="preserve">Collectors may operate using:</w:t>
      </w:r>
    </w:p>
    <w:p>
      <w:pPr>
        <w:pStyle w:val="Compact"/>
        <w:numPr>
          <w:ilvl w:val="0"/>
          <w:numId w:val="1022"/>
        </w:numPr>
      </w:pPr>
      <w:r>
        <w:t xml:space="preserve">scheduled polling;</w:t>
      </w:r>
    </w:p>
    <w:p>
      <w:pPr>
        <w:pStyle w:val="Compact"/>
        <w:numPr>
          <w:ilvl w:val="0"/>
          <w:numId w:val="1022"/>
        </w:numPr>
      </w:pPr>
      <w:r>
        <w:t xml:space="preserve">incremental synchronization;</w:t>
      </w:r>
    </w:p>
    <w:p>
      <w:pPr>
        <w:pStyle w:val="Compact"/>
        <w:numPr>
          <w:ilvl w:val="0"/>
          <w:numId w:val="1022"/>
        </w:numPr>
      </w:pPr>
      <w:r>
        <w:t xml:space="preserve">event subscriptions;</w:t>
      </w:r>
    </w:p>
    <w:p>
      <w:pPr>
        <w:pStyle w:val="Compact"/>
        <w:numPr>
          <w:ilvl w:val="0"/>
          <w:numId w:val="1022"/>
        </w:numPr>
      </w:pPr>
      <w:r>
        <w:t xml:space="preserve">change-data capture;</w:t>
      </w:r>
    </w:p>
    <w:p>
      <w:pPr>
        <w:pStyle w:val="Compact"/>
        <w:numPr>
          <w:ilvl w:val="0"/>
          <w:numId w:val="1022"/>
        </w:numPr>
      </w:pPr>
      <w:r>
        <w:t xml:space="preserve">streaming ingestion;</w:t>
      </w:r>
    </w:p>
    <w:p>
      <w:pPr>
        <w:pStyle w:val="Compact"/>
        <w:numPr>
          <w:ilvl w:val="0"/>
          <w:numId w:val="1022"/>
        </w:numPr>
      </w:pPr>
      <w:r>
        <w:t xml:space="preserve">inbound webhooks;</w:t>
      </w:r>
    </w:p>
    <w:p>
      <w:pPr>
        <w:pStyle w:val="Compact"/>
        <w:numPr>
          <w:ilvl w:val="0"/>
          <w:numId w:val="1022"/>
        </w:numPr>
      </w:pPr>
      <w:r>
        <w:t xml:space="preserve">or on-demand refresh.</w:t>
      </w:r>
    </w:p>
    <w:p>
      <w:r>
        <w:pict>
          <v:rect style="width:0;height:1.5pt" o:hralign="center" o:hrstd="t" o:hr="t"/>
        </w:pict>
      </w:r>
    </w:p>
    <w:bookmarkEnd w:id="46"/>
    <w:bookmarkStart w:id="47" w:name="connector-security-boundary"/>
    <w:p>
      <w:pPr>
        <w:pStyle w:val="Heading2"/>
      </w:pPr>
      <w:r>
        <w:t xml:space="preserve">2.6.3 Connector security boundary</w:t>
      </w:r>
    </w:p>
    <w:p>
      <w:pPr>
        <w:pStyle w:val="FirstParagraph"/>
      </w:pPr>
      <w:r>
        <w:t xml:space="preserve">Connectors are privileged components because they may possess access to enterprise systems.</w:t>
      </w:r>
    </w:p>
    <w:p>
      <w:pPr>
        <w:pStyle w:val="BodyText"/>
      </w:pPr>
      <w:r>
        <w:t xml:space="preserve">They must:</w:t>
      </w:r>
    </w:p>
    <w:p>
      <w:pPr>
        <w:pStyle w:val="Compact"/>
        <w:numPr>
          <w:ilvl w:val="0"/>
          <w:numId w:val="1023"/>
        </w:numPr>
      </w:pPr>
      <w:r>
        <w:t xml:space="preserve">use workload identities or managed service accounts where available;</w:t>
      </w:r>
    </w:p>
    <w:p>
      <w:pPr>
        <w:pStyle w:val="Compact"/>
        <w:numPr>
          <w:ilvl w:val="0"/>
          <w:numId w:val="1023"/>
        </w:numPr>
      </w:pPr>
      <w:r>
        <w:t xml:space="preserve">retrieve secrets only through the Security and Secrets Manager;</w:t>
      </w:r>
    </w:p>
    <w:p>
      <w:pPr>
        <w:pStyle w:val="Compact"/>
        <w:numPr>
          <w:ilvl w:val="0"/>
          <w:numId w:val="1023"/>
        </w:numPr>
      </w:pPr>
      <w:r>
        <w:t xml:space="preserve">avoid placing secrets in logs, prompts, events, or persistent workflow state;</w:t>
      </w:r>
    </w:p>
    <w:p>
      <w:pPr>
        <w:pStyle w:val="Compact"/>
        <w:numPr>
          <w:ilvl w:val="0"/>
          <w:numId w:val="1023"/>
        </w:numPr>
      </w:pPr>
      <w:r>
        <w:t xml:space="preserve">enforce tenant and endpoint isolation;</w:t>
      </w:r>
    </w:p>
    <w:p>
      <w:pPr>
        <w:pStyle w:val="Compact"/>
        <w:numPr>
          <w:ilvl w:val="0"/>
          <w:numId w:val="1023"/>
        </w:numPr>
      </w:pPr>
      <w:r>
        <w:t xml:space="preserve">validate target certificates;</w:t>
      </w:r>
    </w:p>
    <w:p>
      <w:pPr>
        <w:pStyle w:val="Compact"/>
        <w:numPr>
          <w:ilvl w:val="0"/>
          <w:numId w:val="1023"/>
        </w:numPr>
      </w:pPr>
      <w:r>
        <w:t xml:space="preserve">restrict network destinations;</w:t>
      </w:r>
    </w:p>
    <w:p>
      <w:pPr>
        <w:pStyle w:val="Compact"/>
        <w:numPr>
          <w:ilvl w:val="0"/>
          <w:numId w:val="1023"/>
        </w:numPr>
      </w:pPr>
      <w:r>
        <w:t xml:space="preserve">and emit a complete audit trail of privileged operations.</w:t>
      </w:r>
    </w:p>
    <w:p>
      <w:pPr>
        <w:pStyle w:val="FirstParagraph"/>
      </w:pPr>
      <w:r>
        <w:t xml:space="preserve">A connector must not grant the model unrestricted access to a target API.</w:t>
      </w:r>
    </w:p>
    <w:p>
      <w:r>
        <w:pict>
          <v:rect style="width:0;height:1.5pt" o:hralign="center" o:hrstd="t" o:hr="t"/>
        </w:pict>
      </w:r>
    </w:p>
    <w:bookmarkEnd w:id="47"/>
    <w:bookmarkStart w:id="50" w:name="connector-execution-modes"/>
    <w:p>
      <w:pPr>
        <w:pStyle w:val="Heading2"/>
      </w:pPr>
      <w:r>
        <w:t xml:space="preserve">2.6.4 Connector execution modes</w:t>
      </w:r>
    </w:p>
    <w:p>
      <w:pPr>
        <w:pStyle w:val="FirstParagraph"/>
      </w:pPr>
      <w:r>
        <w:t xml:space="preserve">Connectors support two principal execution modes:</w:t>
      </w:r>
    </w:p>
    <w:bookmarkStart w:id="48" w:name="synchronous-mode"/>
    <w:p>
      <w:pPr>
        <w:pStyle w:val="Heading3"/>
      </w:pPr>
      <w:r>
        <w:t xml:space="preserve">Synchronous mode</w:t>
      </w:r>
    </w:p>
    <w:p>
      <w:pPr>
        <w:pStyle w:val="FirstParagraph"/>
      </w:pPr>
      <w:r>
        <w:t xml:space="preserve">Used for bounded operations where a response can reasonably be returned within the request lifecycle.</w:t>
      </w:r>
    </w:p>
    <w:p>
      <w:pPr>
        <w:pStyle w:val="BodyText"/>
      </w:pPr>
      <w:r>
        <w:t xml:space="preserve">Examples:</w:t>
      </w:r>
    </w:p>
    <w:p>
      <w:pPr>
        <w:pStyle w:val="Compact"/>
        <w:numPr>
          <w:ilvl w:val="0"/>
          <w:numId w:val="1024"/>
        </w:numPr>
      </w:pPr>
      <w:r>
        <w:t xml:space="preserve">retrieve VM details;</w:t>
      </w:r>
    </w:p>
    <w:p>
      <w:pPr>
        <w:pStyle w:val="Compact"/>
        <w:numPr>
          <w:ilvl w:val="0"/>
          <w:numId w:val="1024"/>
        </w:numPr>
      </w:pPr>
      <w:r>
        <w:t xml:space="preserve">validate a cluster name;</w:t>
      </w:r>
    </w:p>
    <w:p>
      <w:pPr>
        <w:pStyle w:val="Compact"/>
        <w:numPr>
          <w:ilvl w:val="0"/>
          <w:numId w:val="1024"/>
        </w:numPr>
      </w:pPr>
      <w:r>
        <w:t xml:space="preserve">list available storage containers;</w:t>
      </w:r>
    </w:p>
    <w:p>
      <w:pPr>
        <w:pStyle w:val="Compact"/>
        <w:numPr>
          <w:ilvl w:val="0"/>
          <w:numId w:val="1024"/>
        </w:numPr>
      </w:pPr>
      <w:r>
        <w:t xml:space="preserve">check task status;</w:t>
      </w:r>
    </w:p>
    <w:p>
      <w:pPr>
        <w:pStyle w:val="Compact"/>
        <w:numPr>
          <w:ilvl w:val="0"/>
          <w:numId w:val="1024"/>
        </w:numPr>
      </w:pPr>
      <w:r>
        <w:t xml:space="preserve">inspect a policy;</w:t>
      </w:r>
    </w:p>
    <w:p>
      <w:pPr>
        <w:pStyle w:val="Compact"/>
        <w:numPr>
          <w:ilvl w:val="0"/>
          <w:numId w:val="1024"/>
        </w:numPr>
      </w:pPr>
      <w:r>
        <w:t xml:space="preserve">or submit a short-running action.</w:t>
      </w:r>
    </w:p>
    <w:bookmarkEnd w:id="48"/>
    <w:bookmarkStart w:id="49" w:name="asynchronous-mode"/>
    <w:p>
      <w:pPr>
        <w:pStyle w:val="Heading3"/>
      </w:pPr>
      <w:r>
        <w:t xml:space="preserve">Asynchronous mode</w:t>
      </w:r>
    </w:p>
    <w:p>
      <w:pPr>
        <w:pStyle w:val="FirstParagraph"/>
      </w:pPr>
      <w:r>
        <w:t xml:space="preserve">Used for long-running, event-driven, rate-limited, distributed, or failure-prone operations.</w:t>
      </w:r>
    </w:p>
    <w:p>
      <w:pPr>
        <w:pStyle w:val="BodyText"/>
      </w:pPr>
      <w:r>
        <w:t xml:space="preserve">Examples:</w:t>
      </w:r>
    </w:p>
    <w:p>
      <w:pPr>
        <w:pStyle w:val="Compact"/>
        <w:numPr>
          <w:ilvl w:val="0"/>
          <w:numId w:val="1025"/>
        </w:numPr>
      </w:pPr>
      <w:r>
        <w:t xml:space="preserve">upgrade a cluster;</w:t>
      </w:r>
    </w:p>
    <w:p>
      <w:pPr>
        <w:pStyle w:val="Compact"/>
        <w:numPr>
          <w:ilvl w:val="0"/>
          <w:numId w:val="1025"/>
        </w:numPr>
      </w:pPr>
      <w:r>
        <w:t xml:space="preserve">deploy a Kubernetes environment;</w:t>
      </w:r>
    </w:p>
    <w:p>
      <w:pPr>
        <w:pStyle w:val="Compact"/>
        <w:numPr>
          <w:ilvl w:val="0"/>
          <w:numId w:val="1025"/>
        </w:numPr>
      </w:pPr>
      <w:r>
        <w:t xml:space="preserve">evacuate a host;</w:t>
      </w:r>
    </w:p>
    <w:p>
      <w:pPr>
        <w:pStyle w:val="Compact"/>
        <w:numPr>
          <w:ilvl w:val="0"/>
          <w:numId w:val="1025"/>
        </w:numPr>
      </w:pPr>
      <w:r>
        <w:t xml:space="preserve">restore a workload;</w:t>
      </w:r>
    </w:p>
    <w:p>
      <w:pPr>
        <w:pStyle w:val="Compact"/>
        <w:numPr>
          <w:ilvl w:val="0"/>
          <w:numId w:val="1025"/>
        </w:numPr>
      </w:pPr>
      <w:r>
        <w:t xml:space="preserve">synchronize a large inventory;</w:t>
      </w:r>
    </w:p>
    <w:p>
      <w:pPr>
        <w:pStyle w:val="Compact"/>
        <w:numPr>
          <w:ilvl w:val="0"/>
          <w:numId w:val="1025"/>
        </w:numPr>
      </w:pPr>
      <w:r>
        <w:t xml:space="preserve">or collect telemetry from multiple data centers.</w:t>
      </w:r>
    </w:p>
    <w:p>
      <w:pPr>
        <w:pStyle w:val="FirstParagraph"/>
      </w:pPr>
      <w:r>
        <w:t xml:space="preserve">An asynchronous connector operation returns an operation reference rather than waiting for final completion.</w:t>
      </w:r>
    </w:p>
    <w:p>
      <w:r>
        <w:pict>
          <v:rect style="width:0;height:1.5pt" o:hralign="center" o:hrstd="t" o:hr="t"/>
        </w:pict>
      </w:r>
    </w:p>
    <w:bookmarkEnd w:id="49"/>
    <w:bookmarkEnd w:id="50"/>
    <w:bookmarkEnd w:id="51"/>
    <w:bookmarkStart w:id="59" w:name="user-interfaces"/>
    <w:p>
      <w:pPr>
        <w:pStyle w:val="Heading1"/>
      </w:pPr>
      <w:r>
        <w:t xml:space="preserve">2.7 User Interfaces</w:t>
      </w:r>
    </w:p>
    <w:p>
      <w:pPr>
        <w:pStyle w:val="FirstParagraph"/>
      </w:pPr>
      <w:r>
        <w:t xml:space="preserve">The User Interfaces region provides human and programmatic access to AccuSec.</w:t>
      </w:r>
    </w:p>
    <w:p>
      <w:pPr>
        <w:pStyle w:val="BodyText"/>
      </w:pPr>
      <w:r>
        <w:t xml:space="preserve">All interfaces use common platform APIs and must not bypass orchestration, identity, policy, or audit controls.</w:t>
      </w:r>
    </w:p>
    <w:bookmarkStart w:id="53" w:name="accusec-desktop"/>
    <w:p>
      <w:pPr>
        <w:pStyle w:val="Heading2"/>
      </w:pPr>
      <w:r>
        <w:t xml:space="preserve">2.7.1 AccuSec Desktop</w:t>
      </w:r>
    </w:p>
    <w:p>
      <w:pPr>
        <w:pStyle w:val="FirstParagraph"/>
      </w:pPr>
      <w:r>
        <w:t xml:space="preserve">The desktop interface supports the Basic Edition and potentially selected Enterprise use cases.</w:t>
      </w:r>
    </w:p>
    <w:bookmarkStart w:id="52" w:name="responsibilities-3"/>
    <w:p>
      <w:pPr>
        <w:pStyle w:val="Heading3"/>
      </w:pPr>
      <w:r>
        <w:t xml:space="preserve">Responsibilities</w:t>
      </w:r>
    </w:p>
    <w:p>
      <w:pPr>
        <w:pStyle w:val="Compact"/>
        <w:numPr>
          <w:ilvl w:val="0"/>
          <w:numId w:val="1026"/>
        </w:numPr>
      </w:pPr>
      <w:r>
        <w:t xml:space="preserve">authenticate the user;</w:t>
      </w:r>
    </w:p>
    <w:p>
      <w:pPr>
        <w:pStyle w:val="Compact"/>
        <w:numPr>
          <w:ilvl w:val="0"/>
          <w:numId w:val="1026"/>
        </w:numPr>
      </w:pPr>
      <w:r>
        <w:t xml:space="preserve">configure approved enterprise endpoints;</w:t>
      </w:r>
    </w:p>
    <w:p>
      <w:pPr>
        <w:pStyle w:val="Compact"/>
        <w:numPr>
          <w:ilvl w:val="0"/>
          <w:numId w:val="1026"/>
        </w:numPr>
      </w:pPr>
      <w:r>
        <w:t xml:space="preserve">provide conversational and task-oriented interaction;</w:t>
      </w:r>
    </w:p>
    <w:p>
      <w:pPr>
        <w:pStyle w:val="Compact"/>
        <w:numPr>
          <w:ilvl w:val="0"/>
          <w:numId w:val="1026"/>
        </w:numPr>
      </w:pPr>
      <w:r>
        <w:t xml:space="preserve">show discovered resources and topology;</w:t>
      </w:r>
    </w:p>
    <w:p>
      <w:pPr>
        <w:pStyle w:val="Compact"/>
        <w:numPr>
          <w:ilvl w:val="0"/>
          <w:numId w:val="1026"/>
        </w:numPr>
      </w:pPr>
      <w:r>
        <w:t xml:space="preserve">display plans before execution;</w:t>
      </w:r>
    </w:p>
    <w:p>
      <w:pPr>
        <w:pStyle w:val="Compact"/>
        <w:numPr>
          <w:ilvl w:val="0"/>
          <w:numId w:val="1026"/>
        </w:numPr>
      </w:pPr>
      <w:r>
        <w:t xml:space="preserve">collect approvals;</w:t>
      </w:r>
    </w:p>
    <w:p>
      <w:pPr>
        <w:pStyle w:val="Compact"/>
        <w:numPr>
          <w:ilvl w:val="0"/>
          <w:numId w:val="1026"/>
        </w:numPr>
      </w:pPr>
      <w:r>
        <w:t xml:space="preserve">stream operation progress;</w:t>
      </w:r>
    </w:p>
    <w:p>
      <w:pPr>
        <w:pStyle w:val="Compact"/>
        <w:numPr>
          <w:ilvl w:val="0"/>
          <w:numId w:val="1026"/>
        </w:numPr>
      </w:pPr>
      <w:r>
        <w:t xml:space="preserve">display evidence and audit history;</w:t>
      </w:r>
    </w:p>
    <w:p>
      <w:pPr>
        <w:pStyle w:val="Compact"/>
        <w:numPr>
          <w:ilvl w:val="0"/>
          <w:numId w:val="1026"/>
        </w:numPr>
      </w:pPr>
      <w:r>
        <w:t xml:space="preserve">and manage local user preferences.</w:t>
      </w:r>
    </w:p>
    <w:p>
      <w:pPr>
        <w:pStyle w:val="FirstParagraph"/>
      </w:pPr>
      <w:r>
        <w:t xml:space="preserve">The desktop application is a client. It must not become the authoritative location for enterprise policy, audit records, shared operational state, or long-lived credentials.</w:t>
      </w:r>
    </w:p>
    <w:p>
      <w:pPr>
        <w:pStyle w:val="BodyText"/>
      </w:pPr>
      <w:r>
        <w:t xml:space="preserve">In a local Basic deployment, some logical platform services may run on the same workstation, but the logical separation remains.</w:t>
      </w:r>
    </w:p>
    <w:p>
      <w:r>
        <w:pict>
          <v:rect style="width:0;height:1.5pt" o:hralign="center" o:hrstd="t" o:hr="t"/>
        </w:pict>
      </w:r>
    </w:p>
    <w:bookmarkEnd w:id="52"/>
    <w:bookmarkEnd w:id="53"/>
    <w:bookmarkStart w:id="55" w:name="web-console"/>
    <w:p>
      <w:pPr>
        <w:pStyle w:val="Heading2"/>
      </w:pPr>
      <w:r>
        <w:t xml:space="preserve">2.7.2 Web Console</w:t>
      </w:r>
    </w:p>
    <w:p>
      <w:pPr>
        <w:pStyle w:val="FirstParagraph"/>
      </w:pPr>
      <w:r>
        <w:t xml:space="preserve">The Web Console is the primary browser-based interface for Enterprise Edition.</w:t>
      </w:r>
    </w:p>
    <w:bookmarkStart w:id="54" w:name="responsibilities-4"/>
    <w:p>
      <w:pPr>
        <w:pStyle w:val="Heading3"/>
      </w:pPr>
      <w:r>
        <w:t xml:space="preserve">Responsibilities</w:t>
      </w:r>
    </w:p>
    <w:p>
      <w:pPr>
        <w:pStyle w:val="Compact"/>
        <w:numPr>
          <w:ilvl w:val="0"/>
          <w:numId w:val="1027"/>
        </w:numPr>
      </w:pPr>
      <w:r>
        <w:t xml:space="preserve">tenant and workspace administration;</w:t>
      </w:r>
    </w:p>
    <w:p>
      <w:pPr>
        <w:pStyle w:val="Compact"/>
        <w:numPr>
          <w:ilvl w:val="0"/>
          <w:numId w:val="1027"/>
        </w:numPr>
      </w:pPr>
      <w:r>
        <w:t xml:space="preserve">endpoint onboarding;</w:t>
      </w:r>
    </w:p>
    <w:p>
      <w:pPr>
        <w:pStyle w:val="Compact"/>
        <w:numPr>
          <w:ilvl w:val="0"/>
          <w:numId w:val="1027"/>
        </w:numPr>
      </w:pPr>
      <w:r>
        <w:t xml:space="preserve">identity and role administration;</w:t>
      </w:r>
    </w:p>
    <w:p>
      <w:pPr>
        <w:pStyle w:val="Compact"/>
        <w:numPr>
          <w:ilvl w:val="0"/>
          <w:numId w:val="1027"/>
        </w:numPr>
      </w:pPr>
      <w:r>
        <w:t xml:space="preserve">policy configuration;</w:t>
      </w:r>
    </w:p>
    <w:p>
      <w:pPr>
        <w:pStyle w:val="Compact"/>
        <w:numPr>
          <w:ilvl w:val="0"/>
          <w:numId w:val="1027"/>
        </w:numPr>
      </w:pPr>
      <w:r>
        <w:t xml:space="preserve">agent and skill administration;</w:t>
      </w:r>
    </w:p>
    <w:p>
      <w:pPr>
        <w:pStyle w:val="Compact"/>
        <w:numPr>
          <w:ilvl w:val="0"/>
          <w:numId w:val="1027"/>
        </w:numPr>
      </w:pPr>
      <w:r>
        <w:t xml:space="preserve">operational dashboards;</w:t>
      </w:r>
    </w:p>
    <w:p>
      <w:pPr>
        <w:pStyle w:val="Compact"/>
        <w:numPr>
          <w:ilvl w:val="0"/>
          <w:numId w:val="1027"/>
        </w:numPr>
      </w:pPr>
      <w:r>
        <w:t xml:space="preserve">workflow supervision;</w:t>
      </w:r>
    </w:p>
    <w:p>
      <w:pPr>
        <w:pStyle w:val="Compact"/>
        <w:numPr>
          <w:ilvl w:val="0"/>
          <w:numId w:val="1027"/>
        </w:numPr>
      </w:pPr>
      <w:r>
        <w:t xml:space="preserve">approval queues;</w:t>
      </w:r>
    </w:p>
    <w:p>
      <w:pPr>
        <w:pStyle w:val="Compact"/>
        <w:numPr>
          <w:ilvl w:val="0"/>
          <w:numId w:val="1027"/>
        </w:numPr>
      </w:pPr>
      <w:r>
        <w:t xml:space="preserve">audit review;</w:t>
      </w:r>
    </w:p>
    <w:p>
      <w:pPr>
        <w:pStyle w:val="Compact"/>
        <w:numPr>
          <w:ilvl w:val="0"/>
          <w:numId w:val="1027"/>
        </w:numPr>
      </w:pPr>
      <w:r>
        <w:t xml:space="preserve">model and cost administration;</w:t>
      </w:r>
    </w:p>
    <w:p>
      <w:pPr>
        <w:pStyle w:val="Compact"/>
        <w:numPr>
          <w:ilvl w:val="0"/>
          <w:numId w:val="1027"/>
        </w:numPr>
      </w:pPr>
      <w:r>
        <w:t xml:space="preserve">and compliance reporting.</w:t>
      </w:r>
    </w:p>
    <w:p>
      <w:pPr>
        <w:pStyle w:val="FirstParagraph"/>
      </w:pPr>
      <w:r>
        <w:t xml:space="preserve">Administrative functions must be clearly separated from operational functions.</w:t>
      </w:r>
    </w:p>
    <w:p>
      <w:pPr>
        <w:pStyle w:val="BodyText"/>
      </w:pPr>
      <w:r>
        <w:t xml:space="preserve">A user authorized to execute a VM operation is not automatically authorized to modify the policy governing that operation.</w:t>
      </w:r>
    </w:p>
    <w:p>
      <w:r>
        <w:pict>
          <v:rect style="width:0;height:1.5pt" o:hralign="center" o:hrstd="t" o:hr="t"/>
        </w:pict>
      </w:r>
    </w:p>
    <w:bookmarkEnd w:id="54"/>
    <w:bookmarkEnd w:id="55"/>
    <w:bookmarkStart w:id="56" w:name="chat-and-conversational-interface"/>
    <w:p>
      <w:pPr>
        <w:pStyle w:val="Heading2"/>
      </w:pPr>
      <w:r>
        <w:t xml:space="preserve">2.7.3 Chat and Conversational Interface</w:t>
      </w:r>
    </w:p>
    <w:p>
      <w:pPr>
        <w:pStyle w:val="FirstParagraph"/>
      </w:pPr>
      <w:r>
        <w:t xml:space="preserve">The conversational interface translates natural-language requests into governed tasks.</w:t>
      </w:r>
    </w:p>
    <w:p>
      <w:pPr>
        <w:pStyle w:val="BodyText"/>
      </w:pPr>
      <w:r>
        <w:t xml:space="preserve">It may support:</w:t>
      </w:r>
    </w:p>
    <w:p>
      <w:pPr>
        <w:pStyle w:val="Compact"/>
        <w:numPr>
          <w:ilvl w:val="0"/>
          <w:numId w:val="1028"/>
        </w:numPr>
      </w:pPr>
      <w:r>
        <w:t xml:space="preserve">interactive questioning;</w:t>
      </w:r>
    </w:p>
    <w:p>
      <w:pPr>
        <w:pStyle w:val="Compact"/>
        <w:numPr>
          <w:ilvl w:val="0"/>
          <w:numId w:val="1028"/>
        </w:numPr>
      </w:pPr>
      <w:r>
        <w:t xml:space="preserve">intent clarification;</w:t>
      </w:r>
    </w:p>
    <w:p>
      <w:pPr>
        <w:pStyle w:val="Compact"/>
        <w:numPr>
          <w:ilvl w:val="0"/>
          <w:numId w:val="1028"/>
        </w:numPr>
      </w:pPr>
      <w:r>
        <w:t xml:space="preserve">context-aware recommendations;</w:t>
      </w:r>
    </w:p>
    <w:p>
      <w:pPr>
        <w:pStyle w:val="Compact"/>
        <w:numPr>
          <w:ilvl w:val="0"/>
          <w:numId w:val="1028"/>
        </w:numPr>
      </w:pPr>
      <w:r>
        <w:t xml:space="preserve">plan presentation;</w:t>
      </w:r>
    </w:p>
    <w:p>
      <w:pPr>
        <w:pStyle w:val="Compact"/>
        <w:numPr>
          <w:ilvl w:val="0"/>
          <w:numId w:val="1028"/>
        </w:numPr>
      </w:pPr>
      <w:r>
        <w:t xml:space="preserve">approval prompts;</w:t>
      </w:r>
    </w:p>
    <w:p>
      <w:pPr>
        <w:pStyle w:val="Compact"/>
        <w:numPr>
          <w:ilvl w:val="0"/>
          <w:numId w:val="1028"/>
        </w:numPr>
      </w:pPr>
      <w:r>
        <w:t xml:space="preserve">progress updates;</w:t>
      </w:r>
    </w:p>
    <w:p>
      <w:pPr>
        <w:pStyle w:val="Compact"/>
        <w:numPr>
          <w:ilvl w:val="0"/>
          <w:numId w:val="1028"/>
        </w:numPr>
      </w:pPr>
      <w:r>
        <w:t xml:space="preserve">and result explanation.</w:t>
      </w:r>
    </w:p>
    <w:p>
      <w:pPr>
        <w:pStyle w:val="FirstParagraph"/>
      </w:pPr>
      <w:r>
        <w:t xml:space="preserve">The conversational interface must not imply that every user statement is executable intent.</w:t>
      </w:r>
    </w:p>
    <w:p>
      <w:pPr>
        <w:pStyle w:val="BodyText"/>
      </w:pPr>
      <w:r>
        <w:t xml:space="preserve">The system must distinguish among:</w:t>
      </w:r>
    </w:p>
    <w:p>
      <w:pPr>
        <w:pStyle w:val="Compact"/>
        <w:numPr>
          <w:ilvl w:val="0"/>
          <w:numId w:val="1029"/>
        </w:numPr>
      </w:pPr>
      <w:r>
        <w:t xml:space="preserve">informational questions;</w:t>
      </w:r>
    </w:p>
    <w:p>
      <w:pPr>
        <w:pStyle w:val="Compact"/>
        <w:numPr>
          <w:ilvl w:val="0"/>
          <w:numId w:val="1029"/>
        </w:numPr>
      </w:pPr>
      <w:r>
        <w:t xml:space="preserve">diagnostic requests;</w:t>
      </w:r>
    </w:p>
    <w:p>
      <w:pPr>
        <w:pStyle w:val="Compact"/>
        <w:numPr>
          <w:ilvl w:val="0"/>
          <w:numId w:val="1029"/>
        </w:numPr>
      </w:pPr>
      <w:r>
        <w:t xml:space="preserve">planning requests;</w:t>
      </w:r>
    </w:p>
    <w:p>
      <w:pPr>
        <w:pStyle w:val="Compact"/>
        <w:numPr>
          <w:ilvl w:val="0"/>
          <w:numId w:val="1029"/>
        </w:numPr>
      </w:pPr>
      <w:r>
        <w:t xml:space="preserve">simulation requests;</w:t>
      </w:r>
    </w:p>
    <w:p>
      <w:pPr>
        <w:pStyle w:val="Compact"/>
        <w:numPr>
          <w:ilvl w:val="0"/>
          <w:numId w:val="1029"/>
        </w:numPr>
      </w:pPr>
      <w:r>
        <w:t xml:space="preserve">read-only actions;</w:t>
      </w:r>
    </w:p>
    <w:p>
      <w:pPr>
        <w:pStyle w:val="Compact"/>
        <w:numPr>
          <w:ilvl w:val="0"/>
          <w:numId w:val="1029"/>
        </w:numPr>
      </w:pPr>
      <w:r>
        <w:t xml:space="preserve">change requests;</w:t>
      </w:r>
    </w:p>
    <w:p>
      <w:pPr>
        <w:pStyle w:val="Compact"/>
        <w:numPr>
          <w:ilvl w:val="0"/>
          <w:numId w:val="1029"/>
        </w:numPr>
      </w:pPr>
      <w:r>
        <w:t xml:space="preserve">and destructive operations.</w:t>
      </w:r>
    </w:p>
    <w:p>
      <w:r>
        <w:pict>
          <v:rect style="width:0;height:1.5pt" o:hralign="center" o:hrstd="t" o:hr="t"/>
        </w:pict>
      </w:r>
    </w:p>
    <w:bookmarkEnd w:id="56"/>
    <w:bookmarkStart w:id="57" w:name="api-and-sdk"/>
    <w:p>
      <w:pPr>
        <w:pStyle w:val="Heading2"/>
      </w:pPr>
      <w:r>
        <w:t xml:space="preserve">2.7.4 API and SDK</w:t>
      </w:r>
    </w:p>
    <w:p>
      <w:pPr>
        <w:pStyle w:val="FirstParagraph"/>
      </w:pPr>
      <w:r>
        <w:t xml:space="preserve">The API and SDK provide programmatic access for customer applications, automation, scripts, and partner integrations.</w:t>
      </w:r>
    </w:p>
    <w:p>
      <w:pPr>
        <w:pStyle w:val="BodyText"/>
      </w:pPr>
      <w:r>
        <w:t xml:space="preserve">Supported logical interface styles may include:</w:t>
      </w:r>
    </w:p>
    <w:p>
      <w:pPr>
        <w:pStyle w:val="Compact"/>
        <w:numPr>
          <w:ilvl w:val="0"/>
          <w:numId w:val="1030"/>
        </w:numPr>
      </w:pPr>
      <w:r>
        <w:t xml:space="preserve">REST;</w:t>
      </w:r>
    </w:p>
    <w:p>
      <w:pPr>
        <w:pStyle w:val="Compact"/>
        <w:numPr>
          <w:ilvl w:val="0"/>
          <w:numId w:val="1030"/>
        </w:numPr>
      </w:pPr>
      <w:r>
        <w:t xml:space="preserve">gRPC;</w:t>
      </w:r>
    </w:p>
    <w:p>
      <w:pPr>
        <w:pStyle w:val="Compact"/>
        <w:numPr>
          <w:ilvl w:val="0"/>
          <w:numId w:val="1030"/>
        </w:numPr>
      </w:pPr>
      <w:r>
        <w:t xml:space="preserve">event APIs;</w:t>
      </w:r>
    </w:p>
    <w:p>
      <w:pPr>
        <w:pStyle w:val="Compact"/>
        <w:numPr>
          <w:ilvl w:val="0"/>
          <w:numId w:val="1030"/>
        </w:numPr>
      </w:pPr>
      <w:r>
        <w:t xml:space="preserve">streaming APIs;</w:t>
      </w:r>
    </w:p>
    <w:p>
      <w:pPr>
        <w:pStyle w:val="Compact"/>
        <w:numPr>
          <w:ilvl w:val="0"/>
          <w:numId w:val="1030"/>
        </w:numPr>
      </w:pPr>
      <w:r>
        <w:t xml:space="preserve">WebSocket or server-sent event channels;</w:t>
      </w:r>
    </w:p>
    <w:p>
      <w:pPr>
        <w:pStyle w:val="Compact"/>
        <w:numPr>
          <w:ilvl w:val="0"/>
          <w:numId w:val="1030"/>
        </w:numPr>
      </w:pPr>
      <w:r>
        <w:t xml:space="preserve">and language-specific SDKs.</w:t>
      </w:r>
    </w:p>
    <w:p>
      <w:pPr>
        <w:pStyle w:val="FirstParagraph"/>
      </w:pPr>
      <w:r>
        <w:t xml:space="preserve">The API layer must expose stable resource-oriented and task-oriented contracts without exposing internal agent implementation details.</w:t>
      </w:r>
    </w:p>
    <w:p>
      <w:pPr>
        <w:pStyle w:val="BodyText"/>
      </w:pPr>
      <w:r>
        <w:t xml:space="preserve">External API clients must receive the same authorization, policy, audit, and tenancy enforcement as interactive users.</w:t>
      </w:r>
    </w:p>
    <w:p>
      <w:r>
        <w:pict>
          <v:rect style="width:0;height:1.5pt" o:hralign="center" o:hrstd="t" o:hr="t"/>
        </w:pict>
      </w:r>
    </w:p>
    <w:bookmarkEnd w:id="57"/>
    <w:bookmarkStart w:id="58" w:name="enterprise-integrations"/>
    <w:p>
      <w:pPr>
        <w:pStyle w:val="Heading2"/>
      </w:pPr>
      <w:r>
        <w:t xml:space="preserve">2.7.5 Enterprise Integrations</w:t>
      </w:r>
    </w:p>
    <w:p>
      <w:pPr>
        <w:pStyle w:val="FirstParagraph"/>
      </w:pPr>
      <w:r>
        <w:t xml:space="preserve">Enterprise integrations include collaboration and workflow systems such as:</w:t>
      </w:r>
    </w:p>
    <w:p>
      <w:pPr>
        <w:pStyle w:val="Compact"/>
        <w:numPr>
          <w:ilvl w:val="0"/>
          <w:numId w:val="1031"/>
        </w:numPr>
      </w:pPr>
      <w:r>
        <w:t xml:space="preserve">ServiceNow;</w:t>
      </w:r>
    </w:p>
    <w:p>
      <w:pPr>
        <w:pStyle w:val="Compact"/>
        <w:numPr>
          <w:ilvl w:val="0"/>
          <w:numId w:val="1031"/>
        </w:numPr>
      </w:pPr>
      <w:r>
        <w:t xml:space="preserve">Slack;</w:t>
      </w:r>
    </w:p>
    <w:p>
      <w:pPr>
        <w:pStyle w:val="Compact"/>
        <w:numPr>
          <w:ilvl w:val="0"/>
          <w:numId w:val="1031"/>
        </w:numPr>
      </w:pPr>
      <w:r>
        <w:t xml:space="preserve">Microsoft Teams;</w:t>
      </w:r>
    </w:p>
    <w:p>
      <w:pPr>
        <w:pStyle w:val="Compact"/>
        <w:numPr>
          <w:ilvl w:val="0"/>
          <w:numId w:val="1031"/>
        </w:numPr>
      </w:pPr>
      <w:r>
        <w:t xml:space="preserve">ticketing tools;</w:t>
      </w:r>
    </w:p>
    <w:p>
      <w:pPr>
        <w:pStyle w:val="Compact"/>
        <w:numPr>
          <w:ilvl w:val="0"/>
          <w:numId w:val="1031"/>
        </w:numPr>
      </w:pPr>
      <w:r>
        <w:t xml:space="preserve">approval systems;</w:t>
      </w:r>
    </w:p>
    <w:p>
      <w:pPr>
        <w:pStyle w:val="Compact"/>
        <w:numPr>
          <w:ilvl w:val="0"/>
          <w:numId w:val="1031"/>
        </w:numPr>
      </w:pPr>
      <w:r>
        <w:t xml:space="preserve">and notification destinations.</w:t>
      </w:r>
    </w:p>
    <w:p>
      <w:pPr>
        <w:pStyle w:val="FirstParagraph"/>
      </w:pPr>
      <w:r>
        <w:t xml:space="preserve">These integrations can:</w:t>
      </w:r>
    </w:p>
    <w:p>
      <w:pPr>
        <w:pStyle w:val="Compact"/>
        <w:numPr>
          <w:ilvl w:val="0"/>
          <w:numId w:val="1032"/>
        </w:numPr>
      </w:pPr>
      <w:r>
        <w:t xml:space="preserve">initiate requests;</w:t>
      </w:r>
    </w:p>
    <w:p>
      <w:pPr>
        <w:pStyle w:val="Compact"/>
        <w:numPr>
          <w:ilvl w:val="0"/>
          <w:numId w:val="1032"/>
        </w:numPr>
      </w:pPr>
      <w:r>
        <w:t xml:space="preserve">provide approvals;</w:t>
      </w:r>
    </w:p>
    <w:p>
      <w:pPr>
        <w:pStyle w:val="Compact"/>
        <w:numPr>
          <w:ilvl w:val="0"/>
          <w:numId w:val="1032"/>
        </w:numPr>
      </w:pPr>
      <w:r>
        <w:t xml:space="preserve">receive notifications;</w:t>
      </w:r>
    </w:p>
    <w:p>
      <w:pPr>
        <w:pStyle w:val="Compact"/>
        <w:numPr>
          <w:ilvl w:val="0"/>
          <w:numId w:val="1032"/>
        </w:numPr>
      </w:pPr>
      <w:r>
        <w:t xml:space="preserve">display summaries;</w:t>
      </w:r>
    </w:p>
    <w:p>
      <w:pPr>
        <w:pStyle w:val="Compact"/>
        <w:numPr>
          <w:ilvl w:val="0"/>
          <w:numId w:val="1032"/>
        </w:numPr>
      </w:pPr>
      <w:r>
        <w:t xml:space="preserve">or synchronize task state.</w:t>
      </w:r>
    </w:p>
    <w:p>
      <w:pPr>
        <w:pStyle w:val="FirstParagraph"/>
      </w:pPr>
      <w:r>
        <w:t xml:space="preserve">An instruction received through Slack or Teams is not inherently trusted. It must be mapped to an authenticated principal and evaluated through the same authorization pipeline as other requests.</w:t>
      </w:r>
    </w:p>
    <w:p>
      <w:r>
        <w:pict>
          <v:rect style="width:0;height:1.5pt" o:hralign="center" o:hrstd="t" o:hr="t"/>
        </w:pict>
      </w:r>
    </w:p>
    <w:bookmarkEnd w:id="58"/>
    <w:bookmarkEnd w:id="59"/>
    <w:bookmarkStart w:id="60" w:name="accusec-platform"/>
    <w:p>
      <w:pPr>
        <w:pStyle w:val="Heading1"/>
      </w:pPr>
      <w:r>
        <w:t xml:space="preserve">2.8 AccuSec Platform</w:t>
      </w:r>
    </w:p>
    <w:p>
      <w:pPr>
        <w:pStyle w:val="FirstParagraph"/>
      </w:pPr>
      <w:r>
        <w:t xml:space="preserve">The AccuSec Platform is the logical control plane and runtime that governs AI-assisted enterprise operations.</w:t>
      </w:r>
    </w:p>
    <w:p>
      <w:pPr>
        <w:pStyle w:val="BodyText"/>
      </w:pPr>
      <w:r>
        <w:t xml:space="preserve">It contains:</w:t>
      </w:r>
    </w:p>
    <w:p>
      <w:pPr>
        <w:pStyle w:val="Compact"/>
        <w:numPr>
          <w:ilvl w:val="0"/>
          <w:numId w:val="1033"/>
        </w:numPr>
      </w:pPr>
      <w:r>
        <w:t xml:space="preserve">the AI Orchestration Layer;</w:t>
      </w:r>
    </w:p>
    <w:p>
      <w:pPr>
        <w:pStyle w:val="Compact"/>
        <w:numPr>
          <w:ilvl w:val="0"/>
          <w:numId w:val="1033"/>
        </w:numPr>
      </w:pPr>
      <w:r>
        <w:t xml:space="preserve">the Agent Framework;</w:t>
      </w:r>
    </w:p>
    <w:p>
      <w:pPr>
        <w:pStyle w:val="Compact"/>
        <w:numPr>
          <w:ilvl w:val="0"/>
          <w:numId w:val="1033"/>
        </w:numPr>
      </w:pPr>
      <w:r>
        <w:t xml:space="preserve">Platform Services;</w:t>
      </w:r>
    </w:p>
    <w:p>
      <w:pPr>
        <w:pStyle w:val="Compact"/>
        <w:numPr>
          <w:ilvl w:val="0"/>
          <w:numId w:val="1033"/>
        </w:numPr>
      </w:pPr>
      <w:r>
        <w:t xml:space="preserve">the Data Layer;</w:t>
      </w:r>
    </w:p>
    <w:p>
      <w:pPr>
        <w:pStyle w:val="Compact"/>
        <w:numPr>
          <w:ilvl w:val="0"/>
          <w:numId w:val="1033"/>
        </w:numPr>
      </w:pPr>
      <w:r>
        <w:t xml:space="preserve">and the Integration and Connectivity Layer.</w:t>
      </w:r>
    </w:p>
    <w:p>
      <w:pPr>
        <w:pStyle w:val="FirstParagraph"/>
      </w:pPr>
      <w:r>
        <w:t xml:space="preserve">The platform controls reasoning, state transitions, policy enforcement, tool execution, evidence capture, and lifecycle management.</w:t>
      </w:r>
    </w:p>
    <w:p>
      <w:r>
        <w:pict>
          <v:rect style="width:0;height:1.5pt" o:hralign="center" o:hrstd="t" o:hr="t"/>
        </w:pict>
      </w:r>
    </w:p>
    <w:bookmarkEnd w:id="60"/>
    <w:bookmarkStart w:id="75" w:name="ai-orchestration-layer"/>
    <w:p>
      <w:pPr>
        <w:pStyle w:val="Heading1"/>
      </w:pPr>
      <w:r>
        <w:t xml:space="preserve">2.9 AI Orchestration Layer</w:t>
      </w:r>
    </w:p>
    <w:p>
      <w:pPr>
        <w:pStyle w:val="FirstParagraph"/>
      </w:pPr>
      <w:r>
        <w:t xml:space="preserve">The AI Orchestration Layer coordinates the lifecycle of a user request from interpretation through completion.</w:t>
      </w:r>
    </w:p>
    <w:p>
      <w:pPr>
        <w:pStyle w:val="BodyText"/>
      </w:pPr>
      <w:r>
        <w:t xml:space="preserve">It owns the execution graph and is responsible for ensuring that reasoning and actions occur in the required order.</w:t>
      </w:r>
    </w:p>
    <w:bookmarkStart w:id="63" w:name="agent-orchestrator"/>
    <w:p>
      <w:pPr>
        <w:pStyle w:val="Heading2"/>
      </w:pPr>
      <w:r>
        <w:t xml:space="preserve">2.9.1 Agent Orchestrator</w:t>
      </w:r>
    </w:p>
    <w:p>
      <w:pPr>
        <w:pStyle w:val="FirstParagraph"/>
      </w:pPr>
      <w:r>
        <w:t xml:space="preserve">The Agent Orchestrator is the primary coordination component.</w:t>
      </w:r>
    </w:p>
    <w:bookmarkStart w:id="61" w:name="responsibilities-5"/>
    <w:p>
      <w:pPr>
        <w:pStyle w:val="Heading3"/>
      </w:pPr>
      <w:r>
        <w:t xml:space="preserve">Responsibilities</w:t>
      </w:r>
    </w:p>
    <w:p>
      <w:pPr>
        <w:pStyle w:val="Compact"/>
        <w:numPr>
          <w:ilvl w:val="0"/>
          <w:numId w:val="1034"/>
        </w:numPr>
      </w:pPr>
      <w:r>
        <w:t xml:space="preserve">accept normalized requests;</w:t>
      </w:r>
    </w:p>
    <w:p>
      <w:pPr>
        <w:pStyle w:val="Compact"/>
        <w:numPr>
          <w:ilvl w:val="0"/>
          <w:numId w:val="1034"/>
        </w:numPr>
      </w:pPr>
      <w:r>
        <w:t xml:space="preserve">establish execution context;</w:t>
      </w:r>
    </w:p>
    <w:p>
      <w:pPr>
        <w:pStyle w:val="Compact"/>
        <w:numPr>
          <w:ilvl w:val="0"/>
          <w:numId w:val="1034"/>
        </w:numPr>
      </w:pPr>
      <w:r>
        <w:t xml:space="preserve">select the appropriate Enterprise AI Engineer;</w:t>
      </w:r>
    </w:p>
    <w:p>
      <w:pPr>
        <w:pStyle w:val="Compact"/>
        <w:numPr>
          <w:ilvl w:val="0"/>
          <w:numId w:val="1034"/>
        </w:numPr>
      </w:pPr>
      <w:r>
        <w:t xml:space="preserve">instantiate or resume an agent execution;</w:t>
      </w:r>
    </w:p>
    <w:p>
      <w:pPr>
        <w:pStyle w:val="Compact"/>
        <w:numPr>
          <w:ilvl w:val="0"/>
          <w:numId w:val="1034"/>
        </w:numPr>
      </w:pPr>
      <w:r>
        <w:t xml:space="preserve">coordinate planner, tools, memory, policy, and human approval;</w:t>
      </w:r>
    </w:p>
    <w:p>
      <w:pPr>
        <w:pStyle w:val="Compact"/>
        <w:numPr>
          <w:ilvl w:val="0"/>
          <w:numId w:val="1034"/>
        </w:numPr>
      </w:pPr>
      <w:r>
        <w:t xml:space="preserve">manage state transitions;</w:t>
      </w:r>
    </w:p>
    <w:p>
      <w:pPr>
        <w:pStyle w:val="Compact"/>
        <w:numPr>
          <w:ilvl w:val="0"/>
          <w:numId w:val="1034"/>
        </w:numPr>
      </w:pPr>
      <w:r>
        <w:t xml:space="preserve">persist checkpoints;</w:t>
      </w:r>
    </w:p>
    <w:p>
      <w:pPr>
        <w:pStyle w:val="Compact"/>
        <w:numPr>
          <w:ilvl w:val="0"/>
          <w:numId w:val="1034"/>
        </w:numPr>
      </w:pPr>
      <w:r>
        <w:t xml:space="preserve">enforce iteration limits;</w:t>
      </w:r>
    </w:p>
    <w:p>
      <w:pPr>
        <w:pStyle w:val="Compact"/>
        <w:numPr>
          <w:ilvl w:val="0"/>
          <w:numId w:val="1034"/>
        </w:numPr>
      </w:pPr>
      <w:r>
        <w:t xml:space="preserve">detect stalled execution;</w:t>
      </w:r>
    </w:p>
    <w:p>
      <w:pPr>
        <w:pStyle w:val="Compact"/>
        <w:numPr>
          <w:ilvl w:val="0"/>
          <w:numId w:val="1034"/>
        </w:numPr>
      </w:pPr>
      <w:r>
        <w:t xml:space="preserve">coordinate recovery;</w:t>
      </w:r>
    </w:p>
    <w:p>
      <w:pPr>
        <w:pStyle w:val="Compact"/>
        <w:numPr>
          <w:ilvl w:val="0"/>
          <w:numId w:val="1034"/>
        </w:numPr>
      </w:pPr>
      <w:r>
        <w:t xml:space="preserve">and produce the final result.</w:t>
      </w:r>
    </w:p>
    <w:p>
      <w:pPr>
        <w:pStyle w:val="FirstParagraph"/>
      </w:pPr>
      <w:r>
        <w:t xml:space="preserve">The orchestrator may use LangGraph or an equivalent graph-based runtime, but LangGraph is an implementation choice rather than the logical architecture itself.</w:t>
      </w:r>
    </w:p>
    <w:bookmarkEnd w:id="61"/>
    <w:bookmarkStart w:id="62" w:name="architectural-constraint"/>
    <w:p>
      <w:pPr>
        <w:pStyle w:val="Heading3"/>
      </w:pPr>
      <w:r>
        <w:t xml:space="preserve">Architectural constraint</w:t>
      </w:r>
    </w:p>
    <w:p>
      <w:pPr>
        <w:pStyle w:val="FirstParagraph"/>
      </w:pPr>
      <w:r>
        <w:t xml:space="preserve">The orchestrator must operate as a stateful workflow coordinator, not as an unbounded recursive prompt loop.</w:t>
      </w:r>
    </w:p>
    <w:p>
      <w:pPr>
        <w:pStyle w:val="BodyText"/>
      </w:pPr>
      <w:r>
        <w:t xml:space="preserve">Each execution must have:</w:t>
      </w:r>
    </w:p>
    <w:p>
      <w:pPr>
        <w:pStyle w:val="Compact"/>
        <w:numPr>
          <w:ilvl w:val="0"/>
          <w:numId w:val="1035"/>
        </w:numPr>
      </w:pPr>
      <w:r>
        <w:t xml:space="preserve">explicit states;</w:t>
      </w:r>
    </w:p>
    <w:p>
      <w:pPr>
        <w:pStyle w:val="Compact"/>
        <w:numPr>
          <w:ilvl w:val="0"/>
          <w:numId w:val="1035"/>
        </w:numPr>
      </w:pPr>
      <w:r>
        <w:t xml:space="preserve">allowed transitions;</w:t>
      </w:r>
    </w:p>
    <w:p>
      <w:pPr>
        <w:pStyle w:val="Compact"/>
        <w:numPr>
          <w:ilvl w:val="0"/>
          <w:numId w:val="1035"/>
        </w:numPr>
      </w:pPr>
      <w:r>
        <w:t xml:space="preserve">termination conditions;</w:t>
      </w:r>
    </w:p>
    <w:p>
      <w:pPr>
        <w:pStyle w:val="Compact"/>
        <w:numPr>
          <w:ilvl w:val="0"/>
          <w:numId w:val="1035"/>
        </w:numPr>
      </w:pPr>
      <w:r>
        <w:t xml:space="preserve">timeout rules;</w:t>
      </w:r>
    </w:p>
    <w:p>
      <w:pPr>
        <w:pStyle w:val="Compact"/>
        <w:numPr>
          <w:ilvl w:val="0"/>
          <w:numId w:val="1035"/>
        </w:numPr>
      </w:pPr>
      <w:r>
        <w:t xml:space="preserve">retry limits;</w:t>
      </w:r>
    </w:p>
    <w:p>
      <w:pPr>
        <w:pStyle w:val="Compact"/>
        <w:numPr>
          <w:ilvl w:val="0"/>
          <w:numId w:val="1035"/>
        </w:numPr>
      </w:pPr>
      <w:r>
        <w:t xml:space="preserve">token and cost budgets;</w:t>
      </w:r>
    </w:p>
    <w:p>
      <w:pPr>
        <w:pStyle w:val="Compact"/>
        <w:numPr>
          <w:ilvl w:val="0"/>
          <w:numId w:val="1035"/>
        </w:numPr>
      </w:pPr>
      <w:r>
        <w:t xml:space="preserve">and escalation paths.</w:t>
      </w:r>
    </w:p>
    <w:p>
      <w:r>
        <w:pict>
          <v:rect style="width:0;height:1.5pt" o:hralign="center" o:hrstd="t" o:hr="t"/>
        </w:pict>
      </w:r>
    </w:p>
    <w:bookmarkEnd w:id="62"/>
    <w:bookmarkEnd w:id="63"/>
    <w:bookmarkStart w:id="66" w:name="planner"/>
    <w:p>
      <w:pPr>
        <w:pStyle w:val="Heading2"/>
      </w:pPr>
      <w:r>
        <w:t xml:space="preserve">2.9.2 Planner</w:t>
      </w:r>
    </w:p>
    <w:p>
      <w:pPr>
        <w:pStyle w:val="FirstParagraph"/>
      </w:pPr>
      <w:r>
        <w:t xml:space="preserve">The Planner converts a validated request into a proposed sequence or graph of tasks.</w:t>
      </w:r>
    </w:p>
    <w:bookmarkStart w:id="64" w:name="responsibilities-6"/>
    <w:p>
      <w:pPr>
        <w:pStyle w:val="Heading3"/>
      </w:pPr>
      <w:r>
        <w:t xml:space="preserve">Responsibilities</w:t>
      </w:r>
    </w:p>
    <w:p>
      <w:pPr>
        <w:pStyle w:val="Compact"/>
        <w:numPr>
          <w:ilvl w:val="0"/>
          <w:numId w:val="1036"/>
        </w:numPr>
      </w:pPr>
      <w:r>
        <w:t xml:space="preserve">interpret the requested outcome;</w:t>
      </w:r>
    </w:p>
    <w:p>
      <w:pPr>
        <w:pStyle w:val="Compact"/>
        <w:numPr>
          <w:ilvl w:val="0"/>
          <w:numId w:val="1036"/>
        </w:numPr>
      </w:pPr>
      <w:r>
        <w:t xml:space="preserve">identify missing information;</w:t>
      </w:r>
    </w:p>
    <w:p>
      <w:pPr>
        <w:pStyle w:val="Compact"/>
        <w:numPr>
          <w:ilvl w:val="0"/>
          <w:numId w:val="1036"/>
        </w:numPr>
      </w:pPr>
      <w:r>
        <w:t xml:space="preserve">request relevant operational context;</w:t>
      </w:r>
    </w:p>
    <w:p>
      <w:pPr>
        <w:pStyle w:val="Compact"/>
        <w:numPr>
          <w:ilvl w:val="0"/>
          <w:numId w:val="1036"/>
        </w:numPr>
      </w:pPr>
      <w:r>
        <w:t xml:space="preserve">determine preconditions;</w:t>
      </w:r>
    </w:p>
    <w:p>
      <w:pPr>
        <w:pStyle w:val="Compact"/>
        <w:numPr>
          <w:ilvl w:val="0"/>
          <w:numId w:val="1036"/>
        </w:numPr>
      </w:pPr>
      <w:r>
        <w:t xml:space="preserve">decompose the objective into tasks;</w:t>
      </w:r>
    </w:p>
    <w:p>
      <w:pPr>
        <w:pStyle w:val="Compact"/>
        <w:numPr>
          <w:ilvl w:val="0"/>
          <w:numId w:val="1036"/>
        </w:numPr>
      </w:pPr>
      <w:r>
        <w:t xml:space="preserve">identify candidate skills and tools;</w:t>
      </w:r>
    </w:p>
    <w:p>
      <w:pPr>
        <w:pStyle w:val="Compact"/>
        <w:numPr>
          <w:ilvl w:val="0"/>
          <w:numId w:val="1036"/>
        </w:numPr>
      </w:pPr>
      <w:r>
        <w:t xml:space="preserve">determine dependencies;</w:t>
      </w:r>
    </w:p>
    <w:p>
      <w:pPr>
        <w:pStyle w:val="Compact"/>
        <w:numPr>
          <w:ilvl w:val="0"/>
          <w:numId w:val="1036"/>
        </w:numPr>
      </w:pPr>
      <w:r>
        <w:t xml:space="preserve">identify required approvals;</w:t>
      </w:r>
    </w:p>
    <w:p>
      <w:pPr>
        <w:pStyle w:val="Compact"/>
        <w:numPr>
          <w:ilvl w:val="0"/>
          <w:numId w:val="1036"/>
        </w:numPr>
      </w:pPr>
      <w:r>
        <w:t xml:space="preserve">define expected postconditions;</w:t>
      </w:r>
    </w:p>
    <w:p>
      <w:pPr>
        <w:pStyle w:val="Compact"/>
        <w:numPr>
          <w:ilvl w:val="0"/>
          <w:numId w:val="1036"/>
        </w:numPr>
      </w:pPr>
      <w:r>
        <w:t xml:space="preserve">assign risk classifications;</w:t>
      </w:r>
    </w:p>
    <w:p>
      <w:pPr>
        <w:pStyle w:val="Compact"/>
        <w:numPr>
          <w:ilvl w:val="0"/>
          <w:numId w:val="1036"/>
        </w:numPr>
      </w:pPr>
      <w:r>
        <w:t xml:space="preserve">and produce a machine-readable plan.</w:t>
      </w:r>
    </w:p>
    <w:p>
      <w:pPr>
        <w:pStyle w:val="FirstParagraph"/>
      </w:pPr>
      <w:r>
        <w:t xml:space="preserve">The planner may use AI reasoning, deterministic templates, policy rules, or a combination.</w:t>
      </w:r>
    </w:p>
    <w:bookmarkEnd w:id="64"/>
    <w:bookmarkStart w:id="65" w:name="planner-output"/>
    <w:p>
      <w:pPr>
        <w:pStyle w:val="Heading3"/>
      </w:pPr>
      <w:r>
        <w:t xml:space="preserve">Planner output</w:t>
      </w:r>
    </w:p>
    <w:p>
      <w:pPr>
        <w:pStyle w:val="FirstParagraph"/>
      </w:pPr>
      <w:r>
        <w:t xml:space="preserve">A plan should contain, at minimum:</w:t>
      </w:r>
    </w:p>
    <w:p>
      <w:pPr>
        <w:pStyle w:val="Compact"/>
        <w:numPr>
          <w:ilvl w:val="0"/>
          <w:numId w:val="1037"/>
        </w:numPr>
      </w:pPr>
      <w:r>
        <w:t xml:space="preserve">plan ID and version;</w:t>
      </w:r>
    </w:p>
    <w:p>
      <w:pPr>
        <w:pStyle w:val="Compact"/>
        <w:numPr>
          <w:ilvl w:val="0"/>
          <w:numId w:val="1037"/>
        </w:numPr>
      </w:pPr>
      <w:r>
        <w:t xml:space="preserve">objective;</w:t>
      </w:r>
    </w:p>
    <w:p>
      <w:pPr>
        <w:pStyle w:val="Compact"/>
        <w:numPr>
          <w:ilvl w:val="0"/>
          <w:numId w:val="1037"/>
        </w:numPr>
      </w:pPr>
      <w:r>
        <w:t xml:space="preserve">assumptions;</w:t>
      </w:r>
    </w:p>
    <w:p>
      <w:pPr>
        <w:pStyle w:val="Compact"/>
        <w:numPr>
          <w:ilvl w:val="0"/>
          <w:numId w:val="1037"/>
        </w:numPr>
      </w:pPr>
      <w:r>
        <w:t xml:space="preserve">input references;</w:t>
      </w:r>
    </w:p>
    <w:p>
      <w:pPr>
        <w:pStyle w:val="Compact"/>
        <w:numPr>
          <w:ilvl w:val="0"/>
          <w:numId w:val="1037"/>
        </w:numPr>
      </w:pPr>
      <w:r>
        <w:t xml:space="preserve">resource scope;</w:t>
      </w:r>
    </w:p>
    <w:p>
      <w:pPr>
        <w:pStyle w:val="Compact"/>
        <w:numPr>
          <w:ilvl w:val="0"/>
          <w:numId w:val="1037"/>
        </w:numPr>
      </w:pPr>
      <w:r>
        <w:t xml:space="preserve">task graph;</w:t>
      </w:r>
    </w:p>
    <w:p>
      <w:pPr>
        <w:pStyle w:val="Compact"/>
        <w:numPr>
          <w:ilvl w:val="0"/>
          <w:numId w:val="1037"/>
        </w:numPr>
      </w:pPr>
      <w:r>
        <w:t xml:space="preserve">preconditions;</w:t>
      </w:r>
    </w:p>
    <w:p>
      <w:pPr>
        <w:pStyle w:val="Compact"/>
        <w:numPr>
          <w:ilvl w:val="0"/>
          <w:numId w:val="1037"/>
        </w:numPr>
      </w:pPr>
      <w:r>
        <w:t xml:space="preserve">selected capabilities;</w:t>
      </w:r>
    </w:p>
    <w:p>
      <w:pPr>
        <w:pStyle w:val="Compact"/>
        <w:numPr>
          <w:ilvl w:val="0"/>
          <w:numId w:val="1037"/>
        </w:numPr>
      </w:pPr>
      <w:r>
        <w:t xml:space="preserve">expected effects;</w:t>
      </w:r>
    </w:p>
    <w:p>
      <w:pPr>
        <w:pStyle w:val="Compact"/>
        <w:numPr>
          <w:ilvl w:val="0"/>
          <w:numId w:val="1037"/>
        </w:numPr>
      </w:pPr>
      <w:r>
        <w:t xml:space="preserve">risk level;</w:t>
      </w:r>
    </w:p>
    <w:p>
      <w:pPr>
        <w:pStyle w:val="Compact"/>
        <w:numPr>
          <w:ilvl w:val="0"/>
          <w:numId w:val="1037"/>
        </w:numPr>
      </w:pPr>
      <w:r>
        <w:t xml:space="preserve">approval requirements;</w:t>
      </w:r>
    </w:p>
    <w:p>
      <w:pPr>
        <w:pStyle w:val="Compact"/>
        <w:numPr>
          <w:ilvl w:val="0"/>
          <w:numId w:val="1037"/>
        </w:numPr>
      </w:pPr>
      <w:r>
        <w:t xml:space="preserve">validation steps;</w:t>
      </w:r>
    </w:p>
    <w:p>
      <w:pPr>
        <w:pStyle w:val="Compact"/>
        <w:numPr>
          <w:ilvl w:val="0"/>
          <w:numId w:val="1037"/>
        </w:numPr>
      </w:pPr>
      <w:r>
        <w:t xml:space="preserve">rollback or compensation options;</w:t>
      </w:r>
    </w:p>
    <w:p>
      <w:pPr>
        <w:pStyle w:val="Compact"/>
        <w:numPr>
          <w:ilvl w:val="0"/>
          <w:numId w:val="1037"/>
        </w:numPr>
      </w:pPr>
      <w:r>
        <w:t xml:space="preserve">and estimated execution characteristics.</w:t>
      </w:r>
    </w:p>
    <w:p>
      <w:pPr>
        <w:pStyle w:val="FirstParagraph"/>
      </w:pPr>
      <w:r>
        <w:t xml:space="preserve">The plan is a proposal. It does not itself grant execution authority.</w:t>
      </w:r>
    </w:p>
    <w:p>
      <w:r>
        <w:pict>
          <v:rect style="width:0;height:1.5pt" o:hralign="center" o:hrstd="t" o:hr="t"/>
        </w:pict>
      </w:r>
    </w:p>
    <w:bookmarkEnd w:id="65"/>
    <w:bookmarkEnd w:id="66"/>
    <w:bookmarkStart w:id="69" w:name="task-and-workflow-engine"/>
    <w:p>
      <w:pPr>
        <w:pStyle w:val="Heading2"/>
      </w:pPr>
      <w:r>
        <w:t xml:space="preserve">2.9.3 Task and Workflow Engine</w:t>
      </w:r>
    </w:p>
    <w:p>
      <w:pPr>
        <w:pStyle w:val="FirstParagraph"/>
      </w:pPr>
      <w:r>
        <w:t xml:space="preserve">The Task and Workflow Engine executes approved task graphs.</w:t>
      </w:r>
    </w:p>
    <w:bookmarkStart w:id="67" w:name="responsibilities-7"/>
    <w:p>
      <w:pPr>
        <w:pStyle w:val="Heading3"/>
      </w:pPr>
      <w:r>
        <w:t xml:space="preserve">Responsibilities</w:t>
      </w:r>
    </w:p>
    <w:p>
      <w:pPr>
        <w:pStyle w:val="Compact"/>
        <w:numPr>
          <w:ilvl w:val="0"/>
          <w:numId w:val="1038"/>
        </w:numPr>
      </w:pPr>
      <w:r>
        <w:t xml:space="preserve">maintain task state;</w:t>
      </w:r>
    </w:p>
    <w:p>
      <w:pPr>
        <w:pStyle w:val="Compact"/>
        <w:numPr>
          <w:ilvl w:val="0"/>
          <w:numId w:val="1038"/>
        </w:numPr>
      </w:pPr>
      <w:r>
        <w:t xml:space="preserve">resolve dependencies;</w:t>
      </w:r>
    </w:p>
    <w:p>
      <w:pPr>
        <w:pStyle w:val="Compact"/>
        <w:numPr>
          <w:ilvl w:val="0"/>
          <w:numId w:val="1038"/>
        </w:numPr>
      </w:pPr>
      <w:r>
        <w:t xml:space="preserve">dispatch work;</w:t>
      </w:r>
    </w:p>
    <w:p>
      <w:pPr>
        <w:pStyle w:val="Compact"/>
        <w:numPr>
          <w:ilvl w:val="0"/>
          <w:numId w:val="1038"/>
        </w:numPr>
      </w:pPr>
      <w:r>
        <w:t xml:space="preserve">manage retries;</w:t>
      </w:r>
    </w:p>
    <w:p>
      <w:pPr>
        <w:pStyle w:val="Compact"/>
        <w:numPr>
          <w:ilvl w:val="0"/>
          <w:numId w:val="1038"/>
        </w:numPr>
      </w:pPr>
      <w:r>
        <w:t xml:space="preserve">enforce idempotency;</w:t>
      </w:r>
    </w:p>
    <w:p>
      <w:pPr>
        <w:pStyle w:val="Compact"/>
        <w:numPr>
          <w:ilvl w:val="0"/>
          <w:numId w:val="1038"/>
        </w:numPr>
      </w:pPr>
      <w:r>
        <w:t xml:space="preserve">wait for external events;</w:t>
      </w:r>
    </w:p>
    <w:p>
      <w:pPr>
        <w:pStyle w:val="Compact"/>
        <w:numPr>
          <w:ilvl w:val="0"/>
          <w:numId w:val="1038"/>
        </w:numPr>
      </w:pPr>
      <w:r>
        <w:t xml:space="preserve">manage long-running operations;</w:t>
      </w:r>
    </w:p>
    <w:p>
      <w:pPr>
        <w:pStyle w:val="Compact"/>
        <w:numPr>
          <w:ilvl w:val="0"/>
          <w:numId w:val="1038"/>
        </w:numPr>
      </w:pPr>
      <w:r>
        <w:t xml:space="preserve">persist checkpoints;</w:t>
      </w:r>
    </w:p>
    <w:p>
      <w:pPr>
        <w:pStyle w:val="Compact"/>
        <w:numPr>
          <w:ilvl w:val="0"/>
          <w:numId w:val="1038"/>
        </w:numPr>
      </w:pPr>
      <w:r>
        <w:t xml:space="preserve">coordinate compensating actions;</w:t>
      </w:r>
    </w:p>
    <w:p>
      <w:pPr>
        <w:pStyle w:val="Compact"/>
        <w:numPr>
          <w:ilvl w:val="0"/>
          <w:numId w:val="1038"/>
        </w:numPr>
      </w:pPr>
      <w:r>
        <w:t xml:space="preserve">and expose progress.</w:t>
      </w:r>
    </w:p>
    <w:p>
      <w:pPr>
        <w:pStyle w:val="FirstParagraph"/>
      </w:pPr>
      <w:r>
        <w:t xml:space="preserve">The workflow engine handles deterministic lifecycle management even when individual reasoning steps use an LLM.</w:t>
      </w:r>
    </w:p>
    <w:bookmarkEnd w:id="67"/>
    <w:bookmarkStart w:id="68" w:name="state-model"/>
    <w:p>
      <w:pPr>
        <w:pStyle w:val="Heading3"/>
      </w:pPr>
      <w:r>
        <w:t xml:space="preserve">State model</w:t>
      </w:r>
    </w:p>
    <w:p>
      <w:pPr>
        <w:pStyle w:val="FirstParagraph"/>
      </w:pPr>
      <w:r>
        <w:t xml:space="preserve">A task may transition through states such as:</w:t>
      </w:r>
    </w:p>
    <w:p>
      <w:pPr>
        <w:pStyle w:val="Compact"/>
        <w:numPr>
          <w:ilvl w:val="0"/>
          <w:numId w:val="1039"/>
        </w:numPr>
      </w:pPr>
      <w:r>
        <w:t xml:space="preserve">created;</w:t>
      </w:r>
    </w:p>
    <w:p>
      <w:pPr>
        <w:pStyle w:val="Compact"/>
        <w:numPr>
          <w:ilvl w:val="0"/>
          <w:numId w:val="1039"/>
        </w:numPr>
      </w:pPr>
      <w:r>
        <w:t xml:space="preserve">awaiting context;</w:t>
      </w:r>
    </w:p>
    <w:p>
      <w:pPr>
        <w:pStyle w:val="Compact"/>
        <w:numPr>
          <w:ilvl w:val="0"/>
          <w:numId w:val="1039"/>
        </w:numPr>
      </w:pPr>
      <w:r>
        <w:t xml:space="preserve">planning;</w:t>
      </w:r>
    </w:p>
    <w:p>
      <w:pPr>
        <w:pStyle w:val="Compact"/>
        <w:numPr>
          <w:ilvl w:val="0"/>
          <w:numId w:val="1039"/>
        </w:numPr>
      </w:pPr>
      <w:r>
        <w:t xml:space="preserve">awaiting authorization;</w:t>
      </w:r>
    </w:p>
    <w:p>
      <w:pPr>
        <w:pStyle w:val="Compact"/>
        <w:numPr>
          <w:ilvl w:val="0"/>
          <w:numId w:val="1039"/>
        </w:numPr>
      </w:pPr>
      <w:r>
        <w:t xml:space="preserve">awaiting approval;</w:t>
      </w:r>
    </w:p>
    <w:p>
      <w:pPr>
        <w:pStyle w:val="Compact"/>
        <w:numPr>
          <w:ilvl w:val="0"/>
          <w:numId w:val="1039"/>
        </w:numPr>
      </w:pPr>
      <w:r>
        <w:t xml:space="preserve">ready;</w:t>
      </w:r>
    </w:p>
    <w:p>
      <w:pPr>
        <w:pStyle w:val="Compact"/>
        <w:numPr>
          <w:ilvl w:val="0"/>
          <w:numId w:val="1039"/>
        </w:numPr>
      </w:pPr>
      <w:r>
        <w:t xml:space="preserve">dispatched;</w:t>
      </w:r>
    </w:p>
    <w:p>
      <w:pPr>
        <w:pStyle w:val="Compact"/>
        <w:numPr>
          <w:ilvl w:val="0"/>
          <w:numId w:val="1039"/>
        </w:numPr>
      </w:pPr>
      <w:r>
        <w:t xml:space="preserve">running;</w:t>
      </w:r>
    </w:p>
    <w:p>
      <w:pPr>
        <w:pStyle w:val="Compact"/>
        <w:numPr>
          <w:ilvl w:val="0"/>
          <w:numId w:val="1039"/>
        </w:numPr>
      </w:pPr>
      <w:r>
        <w:t xml:space="preserve">waiting;</w:t>
      </w:r>
    </w:p>
    <w:p>
      <w:pPr>
        <w:pStyle w:val="Compact"/>
        <w:numPr>
          <w:ilvl w:val="0"/>
          <w:numId w:val="1039"/>
        </w:numPr>
      </w:pPr>
      <w:r>
        <w:t xml:space="preserve">validating;</w:t>
      </w:r>
    </w:p>
    <w:p>
      <w:pPr>
        <w:pStyle w:val="Compact"/>
        <w:numPr>
          <w:ilvl w:val="0"/>
          <w:numId w:val="1039"/>
        </w:numPr>
      </w:pPr>
      <w:r>
        <w:t xml:space="preserve">succeeded;</w:t>
      </w:r>
    </w:p>
    <w:p>
      <w:pPr>
        <w:pStyle w:val="Compact"/>
        <w:numPr>
          <w:ilvl w:val="0"/>
          <w:numId w:val="1039"/>
        </w:numPr>
      </w:pPr>
      <w:r>
        <w:t xml:space="preserve">partially succeeded;</w:t>
      </w:r>
    </w:p>
    <w:p>
      <w:pPr>
        <w:pStyle w:val="Compact"/>
        <w:numPr>
          <w:ilvl w:val="0"/>
          <w:numId w:val="1039"/>
        </w:numPr>
      </w:pPr>
      <w:r>
        <w:t xml:space="preserve">failed;</w:t>
      </w:r>
    </w:p>
    <w:p>
      <w:pPr>
        <w:pStyle w:val="Compact"/>
        <w:numPr>
          <w:ilvl w:val="0"/>
          <w:numId w:val="1039"/>
        </w:numPr>
      </w:pPr>
      <w:r>
        <w:t xml:space="preserve">compensating;</w:t>
      </w:r>
    </w:p>
    <w:p>
      <w:pPr>
        <w:pStyle w:val="Compact"/>
        <w:numPr>
          <w:ilvl w:val="0"/>
          <w:numId w:val="1039"/>
        </w:numPr>
      </w:pPr>
      <w:r>
        <w:t xml:space="preserve">cancelled;</w:t>
      </w:r>
    </w:p>
    <w:p>
      <w:pPr>
        <w:pStyle w:val="Compact"/>
        <w:numPr>
          <w:ilvl w:val="0"/>
          <w:numId w:val="1039"/>
        </w:numPr>
      </w:pPr>
      <w:r>
        <w:t xml:space="preserve">expired;</w:t>
      </w:r>
    </w:p>
    <w:p>
      <w:pPr>
        <w:pStyle w:val="Compact"/>
        <w:numPr>
          <w:ilvl w:val="0"/>
          <w:numId w:val="1039"/>
        </w:numPr>
      </w:pPr>
      <w:r>
        <w:t xml:space="preserve">or escalated.</w:t>
      </w:r>
    </w:p>
    <w:p>
      <w:pPr>
        <w:pStyle w:val="FirstParagraph"/>
      </w:pPr>
      <w:r>
        <w:t xml:space="preserve">The detailed state machine will be specified in the orchestration chapter.</w:t>
      </w:r>
    </w:p>
    <w:p>
      <w:r>
        <w:pict>
          <v:rect style="width:0;height:1.5pt" o:hralign="center" o:hrstd="t" o:hr="t"/>
        </w:pict>
      </w:r>
    </w:p>
    <w:bookmarkEnd w:id="68"/>
    <w:bookmarkEnd w:id="69"/>
    <w:bookmarkStart w:id="71" w:name="scheduler"/>
    <w:p>
      <w:pPr>
        <w:pStyle w:val="Heading2"/>
      </w:pPr>
      <w:r>
        <w:t xml:space="preserve">2.9.4 Scheduler</w:t>
      </w:r>
    </w:p>
    <w:p>
      <w:pPr>
        <w:pStyle w:val="FirstParagraph"/>
      </w:pPr>
      <w:r>
        <w:t xml:space="preserve">The Scheduler initiates work based on time, recurrence, events, policies, or deferred execution.</w:t>
      </w:r>
    </w:p>
    <w:bookmarkStart w:id="70" w:name="responsibilities-8"/>
    <w:p>
      <w:pPr>
        <w:pStyle w:val="Heading3"/>
      </w:pPr>
      <w:r>
        <w:t xml:space="preserve">Responsibilities</w:t>
      </w:r>
    </w:p>
    <w:p>
      <w:pPr>
        <w:pStyle w:val="Compact"/>
        <w:numPr>
          <w:ilvl w:val="0"/>
          <w:numId w:val="1040"/>
        </w:numPr>
      </w:pPr>
      <w:r>
        <w:t xml:space="preserve">cron-like schedules;</w:t>
      </w:r>
    </w:p>
    <w:p>
      <w:pPr>
        <w:pStyle w:val="Compact"/>
        <w:numPr>
          <w:ilvl w:val="0"/>
          <w:numId w:val="1040"/>
        </w:numPr>
      </w:pPr>
      <w:r>
        <w:t xml:space="preserve">maintenance windows;</w:t>
      </w:r>
    </w:p>
    <w:p>
      <w:pPr>
        <w:pStyle w:val="Compact"/>
        <w:numPr>
          <w:ilvl w:val="0"/>
          <w:numId w:val="1040"/>
        </w:numPr>
      </w:pPr>
      <w:r>
        <w:t xml:space="preserve">deferred execution;</w:t>
      </w:r>
    </w:p>
    <w:p>
      <w:pPr>
        <w:pStyle w:val="Compact"/>
        <w:numPr>
          <w:ilvl w:val="0"/>
          <w:numId w:val="1040"/>
        </w:numPr>
      </w:pPr>
      <w:r>
        <w:t xml:space="preserve">recurring health checks;</w:t>
      </w:r>
    </w:p>
    <w:p>
      <w:pPr>
        <w:pStyle w:val="Compact"/>
        <w:numPr>
          <w:ilvl w:val="0"/>
          <w:numId w:val="1040"/>
        </w:numPr>
      </w:pPr>
      <w:r>
        <w:t xml:space="preserve">periodic inventory synchronization;</w:t>
      </w:r>
    </w:p>
    <w:p>
      <w:pPr>
        <w:pStyle w:val="Compact"/>
        <w:numPr>
          <w:ilvl w:val="0"/>
          <w:numId w:val="1040"/>
        </w:numPr>
      </w:pPr>
      <w:r>
        <w:t xml:space="preserve">retry scheduling;</w:t>
      </w:r>
    </w:p>
    <w:p>
      <w:pPr>
        <w:pStyle w:val="Compact"/>
        <w:numPr>
          <w:ilvl w:val="0"/>
          <w:numId w:val="1040"/>
        </w:numPr>
      </w:pPr>
      <w:r>
        <w:t xml:space="preserve">timeout and lease management;</w:t>
      </w:r>
    </w:p>
    <w:p>
      <w:pPr>
        <w:pStyle w:val="Compact"/>
        <w:numPr>
          <w:ilvl w:val="0"/>
          <w:numId w:val="1040"/>
        </w:numPr>
      </w:pPr>
      <w:r>
        <w:t xml:space="preserve">and scheduled policy evaluation.</w:t>
      </w:r>
    </w:p>
    <w:p>
      <w:pPr>
        <w:pStyle w:val="FirstParagraph"/>
      </w:pPr>
      <w:r>
        <w:t xml:space="preserve">The Scheduler creates governed tasks. It does not bypass identity, policy, approval, or orchestration.</w:t>
      </w:r>
    </w:p>
    <w:p>
      <w:pPr>
        <w:pStyle w:val="BodyText"/>
      </w:pPr>
      <w:r>
        <w:t xml:space="preserve">A scheduled task must execute under an explicitly defined workload identity and tenant context.</w:t>
      </w:r>
    </w:p>
    <w:p>
      <w:r>
        <w:pict>
          <v:rect style="width:0;height:1.5pt" o:hralign="center" o:hrstd="t" o:hr="t"/>
        </w:pict>
      </w:r>
    </w:p>
    <w:bookmarkEnd w:id="70"/>
    <w:bookmarkEnd w:id="71"/>
    <w:bookmarkStart w:id="74" w:name="human-in-the-loop-service"/>
    <w:p>
      <w:pPr>
        <w:pStyle w:val="Heading2"/>
      </w:pPr>
      <w:r>
        <w:t xml:space="preserve">2.9.5 Human-in-the-Loop Service</w:t>
      </w:r>
    </w:p>
    <w:p>
      <w:pPr>
        <w:pStyle w:val="FirstParagraph"/>
      </w:pPr>
      <w:r>
        <w:t xml:space="preserve">The Human-in-the-Loop service manages approvals, confirmations, escalations, and human decisions.</w:t>
      </w:r>
    </w:p>
    <w:bookmarkStart w:id="72" w:name="responsibilities-9"/>
    <w:p>
      <w:pPr>
        <w:pStyle w:val="Heading3"/>
      </w:pPr>
      <w:r>
        <w:t xml:space="preserve">Responsibilities</w:t>
      </w:r>
    </w:p>
    <w:p>
      <w:pPr>
        <w:pStyle w:val="Compact"/>
        <w:numPr>
          <w:ilvl w:val="0"/>
          <w:numId w:val="1041"/>
        </w:numPr>
      </w:pPr>
      <w:r>
        <w:t xml:space="preserve">create approval requests;</w:t>
      </w:r>
    </w:p>
    <w:p>
      <w:pPr>
        <w:pStyle w:val="Compact"/>
        <w:numPr>
          <w:ilvl w:val="0"/>
          <w:numId w:val="1041"/>
        </w:numPr>
      </w:pPr>
      <w:r>
        <w:t xml:space="preserve">identify eligible approvers;</w:t>
      </w:r>
    </w:p>
    <w:p>
      <w:pPr>
        <w:pStyle w:val="Compact"/>
        <w:numPr>
          <w:ilvl w:val="0"/>
          <w:numId w:val="1041"/>
        </w:numPr>
      </w:pPr>
      <w:r>
        <w:t xml:space="preserve">present the proposed action and evidence;</w:t>
      </w:r>
    </w:p>
    <w:p>
      <w:pPr>
        <w:pStyle w:val="Compact"/>
        <w:numPr>
          <w:ilvl w:val="0"/>
          <w:numId w:val="1041"/>
        </w:numPr>
      </w:pPr>
      <w:r>
        <w:t xml:space="preserve">enforce separation of duties;</w:t>
      </w:r>
    </w:p>
    <w:p>
      <w:pPr>
        <w:pStyle w:val="Compact"/>
        <w:numPr>
          <w:ilvl w:val="0"/>
          <w:numId w:val="1041"/>
        </w:numPr>
      </w:pPr>
      <w:r>
        <w:t xml:space="preserve">collect approval, rejection, modification, or deferral;</w:t>
      </w:r>
    </w:p>
    <w:p>
      <w:pPr>
        <w:pStyle w:val="Compact"/>
        <w:numPr>
          <w:ilvl w:val="0"/>
          <w:numId w:val="1041"/>
        </w:numPr>
      </w:pPr>
      <w:r>
        <w:t xml:space="preserve">enforce approval expiry;</w:t>
      </w:r>
    </w:p>
    <w:p>
      <w:pPr>
        <w:pStyle w:val="Compact"/>
        <w:numPr>
          <w:ilvl w:val="0"/>
          <w:numId w:val="1041"/>
        </w:numPr>
      </w:pPr>
      <w:r>
        <w:t xml:space="preserve">record approver identity;</w:t>
      </w:r>
    </w:p>
    <w:p>
      <w:pPr>
        <w:pStyle w:val="Compact"/>
        <w:numPr>
          <w:ilvl w:val="0"/>
          <w:numId w:val="1041"/>
        </w:numPr>
      </w:pPr>
      <w:r>
        <w:t xml:space="preserve">and resume or terminate the workflow.</w:t>
      </w:r>
    </w:p>
    <w:bookmarkEnd w:id="72"/>
    <w:bookmarkStart w:id="73" w:name="approval-context"/>
    <w:p>
      <w:pPr>
        <w:pStyle w:val="Heading3"/>
      </w:pPr>
      <w:r>
        <w:t xml:space="preserve">Approval context</w:t>
      </w:r>
    </w:p>
    <w:p>
      <w:pPr>
        <w:pStyle w:val="FirstParagraph"/>
      </w:pPr>
      <w:r>
        <w:t xml:space="preserve">An approval request must provide enough information for an informed decision, including:</w:t>
      </w:r>
    </w:p>
    <w:p>
      <w:pPr>
        <w:pStyle w:val="Compact"/>
        <w:numPr>
          <w:ilvl w:val="0"/>
          <w:numId w:val="1042"/>
        </w:numPr>
      </w:pPr>
      <w:r>
        <w:t xml:space="preserve">requested outcome;</w:t>
      </w:r>
    </w:p>
    <w:p>
      <w:pPr>
        <w:pStyle w:val="Compact"/>
        <w:numPr>
          <w:ilvl w:val="0"/>
          <w:numId w:val="1042"/>
        </w:numPr>
      </w:pPr>
      <w:r>
        <w:t xml:space="preserve">affected resources;</w:t>
      </w:r>
    </w:p>
    <w:p>
      <w:pPr>
        <w:pStyle w:val="Compact"/>
        <w:numPr>
          <w:ilvl w:val="0"/>
          <w:numId w:val="1042"/>
        </w:numPr>
      </w:pPr>
      <w:r>
        <w:t xml:space="preserve">proposed changes;</w:t>
      </w:r>
    </w:p>
    <w:p>
      <w:pPr>
        <w:pStyle w:val="Compact"/>
        <w:numPr>
          <w:ilvl w:val="0"/>
          <w:numId w:val="1042"/>
        </w:numPr>
      </w:pPr>
      <w:r>
        <w:t xml:space="preserve">expected impact;</w:t>
      </w:r>
    </w:p>
    <w:p>
      <w:pPr>
        <w:pStyle w:val="Compact"/>
        <w:numPr>
          <w:ilvl w:val="0"/>
          <w:numId w:val="1042"/>
        </w:numPr>
      </w:pPr>
      <w:r>
        <w:t xml:space="preserve">risk classification;</w:t>
      </w:r>
    </w:p>
    <w:p>
      <w:pPr>
        <w:pStyle w:val="Compact"/>
        <w:numPr>
          <w:ilvl w:val="0"/>
          <w:numId w:val="1042"/>
        </w:numPr>
      </w:pPr>
      <w:r>
        <w:t xml:space="preserve">evidence and assumptions;</w:t>
      </w:r>
    </w:p>
    <w:p>
      <w:pPr>
        <w:pStyle w:val="Compact"/>
        <w:numPr>
          <w:ilvl w:val="0"/>
          <w:numId w:val="1042"/>
        </w:numPr>
      </w:pPr>
      <w:r>
        <w:t xml:space="preserve">policy reason;</w:t>
      </w:r>
    </w:p>
    <w:p>
      <w:pPr>
        <w:pStyle w:val="Compact"/>
        <w:numPr>
          <w:ilvl w:val="0"/>
          <w:numId w:val="1042"/>
        </w:numPr>
      </w:pPr>
      <w:r>
        <w:t xml:space="preserve">validation plan;</w:t>
      </w:r>
    </w:p>
    <w:p>
      <w:pPr>
        <w:pStyle w:val="Compact"/>
        <w:numPr>
          <w:ilvl w:val="0"/>
          <w:numId w:val="1042"/>
        </w:numPr>
      </w:pPr>
      <w:r>
        <w:t xml:space="preserve">rollback or compensation plan where applicable;</w:t>
      </w:r>
    </w:p>
    <w:p>
      <w:pPr>
        <w:pStyle w:val="Compact"/>
        <w:numPr>
          <w:ilvl w:val="0"/>
          <w:numId w:val="1042"/>
        </w:numPr>
      </w:pPr>
      <w:r>
        <w:t xml:space="preserve">and approval expiration.</w:t>
      </w:r>
    </w:p>
    <w:p>
      <w:pPr>
        <w:pStyle w:val="FirstParagraph"/>
      </w:pPr>
      <w:r>
        <w:t xml:space="preserve">A generic</w:t>
      </w:r>
      <w:r>
        <w:t xml:space="preserve"> </w:t>
      </w:r>
      <w:r>
        <w:t xml:space="preserve">“Approve”</w:t>
      </w:r>
      <w:r>
        <w:t xml:space="preserve"> </w:t>
      </w:r>
      <w:r>
        <w:t xml:space="preserve">prompt without sufficient operational context is not acceptable for high-impact operations.</w:t>
      </w:r>
    </w:p>
    <w:p>
      <w:r>
        <w:pict>
          <v:rect style="width:0;height:1.5pt" o:hralign="center" o:hrstd="t" o:hr="t"/>
        </w:pict>
      </w:r>
    </w:p>
    <w:bookmarkEnd w:id="73"/>
    <w:bookmarkEnd w:id="74"/>
    <w:bookmarkEnd w:id="75"/>
    <w:bookmarkStart w:id="86" w:name="agent-framework"/>
    <w:p>
      <w:pPr>
        <w:pStyle w:val="Heading1"/>
      </w:pPr>
      <w:r>
        <w:t xml:space="preserve">2.10 Agent Framework</w:t>
      </w:r>
    </w:p>
    <w:p>
      <w:pPr>
        <w:pStyle w:val="FirstParagraph"/>
      </w:pPr>
      <w:r>
        <w:t xml:space="preserve">The Agent Framework defines how domain-specific Enterprise AI Engineers reason and operate within AccuSec.</w:t>
      </w:r>
    </w:p>
    <w:p>
      <w:pPr>
        <w:pStyle w:val="BodyText"/>
      </w:pPr>
      <w:r>
        <w:t xml:space="preserve">It prevents each agent from independently implementing security, memory, policy, execution, and lifecycle behavior.</w:t>
      </w:r>
    </w:p>
    <w:bookmarkStart w:id="76" w:name="enterprise-ai-engineers"/>
    <w:p>
      <w:pPr>
        <w:pStyle w:val="Heading2"/>
      </w:pPr>
      <w:r>
        <w:t xml:space="preserve">2.10.1 Enterprise AI Engineers</w:t>
      </w:r>
    </w:p>
    <w:p>
      <w:pPr>
        <w:pStyle w:val="FirstParagraph"/>
      </w:pPr>
      <w:r>
        <w:t xml:space="preserve">An Enterprise AI Engineer is a governed domain agent with:</w:t>
      </w:r>
    </w:p>
    <w:p>
      <w:pPr>
        <w:pStyle w:val="Compact"/>
        <w:numPr>
          <w:ilvl w:val="0"/>
          <w:numId w:val="1043"/>
        </w:numPr>
      </w:pPr>
      <w:r>
        <w:t xml:space="preserve">a defined mission;</w:t>
      </w:r>
    </w:p>
    <w:p>
      <w:pPr>
        <w:pStyle w:val="Compact"/>
        <w:numPr>
          <w:ilvl w:val="0"/>
          <w:numId w:val="1043"/>
        </w:numPr>
      </w:pPr>
      <w:r>
        <w:t xml:space="preserve">an allowed resource scope;</w:t>
      </w:r>
    </w:p>
    <w:p>
      <w:pPr>
        <w:pStyle w:val="Compact"/>
        <w:numPr>
          <w:ilvl w:val="0"/>
          <w:numId w:val="1043"/>
        </w:numPr>
      </w:pPr>
      <w:r>
        <w:t xml:space="preserve">approved skills;</w:t>
      </w:r>
    </w:p>
    <w:p>
      <w:pPr>
        <w:pStyle w:val="Compact"/>
        <w:numPr>
          <w:ilvl w:val="0"/>
          <w:numId w:val="1043"/>
        </w:numPr>
      </w:pPr>
      <w:r>
        <w:t xml:space="preserve">approved tools;</w:t>
      </w:r>
    </w:p>
    <w:p>
      <w:pPr>
        <w:pStyle w:val="Compact"/>
        <w:numPr>
          <w:ilvl w:val="0"/>
          <w:numId w:val="1043"/>
        </w:numPr>
      </w:pPr>
      <w:r>
        <w:t xml:space="preserve">context requirements;</w:t>
      </w:r>
    </w:p>
    <w:p>
      <w:pPr>
        <w:pStyle w:val="Compact"/>
        <w:numPr>
          <w:ilvl w:val="0"/>
          <w:numId w:val="1043"/>
        </w:numPr>
      </w:pPr>
      <w:r>
        <w:t xml:space="preserve">policies;</w:t>
      </w:r>
    </w:p>
    <w:p>
      <w:pPr>
        <w:pStyle w:val="Compact"/>
        <w:numPr>
          <w:ilvl w:val="0"/>
          <w:numId w:val="1043"/>
        </w:numPr>
      </w:pPr>
      <w:r>
        <w:t xml:space="preserve">risk limits;</w:t>
      </w:r>
    </w:p>
    <w:p>
      <w:pPr>
        <w:pStyle w:val="Compact"/>
        <w:numPr>
          <w:ilvl w:val="0"/>
          <w:numId w:val="1043"/>
        </w:numPr>
      </w:pPr>
      <w:r>
        <w:t xml:space="preserve">evaluation criteria;</w:t>
      </w:r>
    </w:p>
    <w:p>
      <w:pPr>
        <w:pStyle w:val="Compact"/>
        <w:numPr>
          <w:ilvl w:val="0"/>
          <w:numId w:val="1043"/>
        </w:numPr>
      </w:pPr>
      <w:r>
        <w:t xml:space="preserve">and execution constraints.</w:t>
      </w:r>
    </w:p>
    <w:p>
      <w:pPr>
        <w:pStyle w:val="FirstParagraph"/>
      </w:pPr>
      <w:r>
        <w:t xml:space="preserve">Initial examples may include:</w:t>
      </w:r>
    </w:p>
    <w:p>
      <w:pPr>
        <w:pStyle w:val="Compact"/>
        <w:numPr>
          <w:ilvl w:val="0"/>
          <w:numId w:val="1044"/>
        </w:numPr>
      </w:pPr>
      <w:r>
        <w:t xml:space="preserve">Hybrid Cloud Engineer;</w:t>
      </w:r>
    </w:p>
    <w:p>
      <w:pPr>
        <w:pStyle w:val="Compact"/>
        <w:numPr>
          <w:ilvl w:val="0"/>
          <w:numId w:val="1044"/>
        </w:numPr>
      </w:pPr>
      <w:r>
        <w:t xml:space="preserve">Virtualization Engineer;</w:t>
      </w:r>
    </w:p>
    <w:p>
      <w:pPr>
        <w:pStyle w:val="Compact"/>
        <w:numPr>
          <w:ilvl w:val="0"/>
          <w:numId w:val="1044"/>
        </w:numPr>
      </w:pPr>
      <w:r>
        <w:t xml:space="preserve">Kubernetes Engineer;</w:t>
      </w:r>
    </w:p>
    <w:p>
      <w:pPr>
        <w:pStyle w:val="Compact"/>
        <w:numPr>
          <w:ilvl w:val="0"/>
          <w:numId w:val="1044"/>
        </w:numPr>
      </w:pPr>
      <w:r>
        <w:t xml:space="preserve">Storage Engineer;</w:t>
      </w:r>
    </w:p>
    <w:p>
      <w:pPr>
        <w:pStyle w:val="Compact"/>
        <w:numPr>
          <w:ilvl w:val="0"/>
          <w:numId w:val="1044"/>
        </w:numPr>
      </w:pPr>
      <w:r>
        <w:t xml:space="preserve">Network Engineer;</w:t>
      </w:r>
    </w:p>
    <w:p>
      <w:pPr>
        <w:pStyle w:val="Compact"/>
        <w:numPr>
          <w:ilvl w:val="0"/>
          <w:numId w:val="1044"/>
        </w:numPr>
      </w:pPr>
      <w:r>
        <w:t xml:space="preserve">Capacity Engineer;</w:t>
      </w:r>
    </w:p>
    <w:p>
      <w:pPr>
        <w:pStyle w:val="Compact"/>
        <w:numPr>
          <w:ilvl w:val="0"/>
          <w:numId w:val="1044"/>
        </w:numPr>
      </w:pPr>
      <w:r>
        <w:t xml:space="preserve">Operations Engineer;</w:t>
      </w:r>
    </w:p>
    <w:p>
      <w:pPr>
        <w:pStyle w:val="Compact"/>
        <w:numPr>
          <w:ilvl w:val="0"/>
          <w:numId w:val="1044"/>
        </w:numPr>
      </w:pPr>
      <w:r>
        <w:t xml:space="preserve">and Security Operations Engineer.</w:t>
      </w:r>
    </w:p>
    <w:p>
      <w:pPr>
        <w:pStyle w:val="FirstParagraph"/>
      </w:pPr>
      <w:r>
        <w:t xml:space="preserve">An Enterprise AI Engineer is not equivalent to an LLM prompt. It is a versioned runtime definition that combines instructions, capabilities, policies, context contracts, evaluation rules, and lifecycle behavior.</w:t>
      </w:r>
    </w:p>
    <w:p>
      <w:r>
        <w:pict>
          <v:rect style="width:0;height:1.5pt" o:hralign="center" o:hrstd="t" o:hr="t"/>
        </w:pict>
      </w:r>
    </w:p>
    <w:bookmarkEnd w:id="76"/>
    <w:bookmarkStart w:id="77" w:name="system-skills"/>
    <w:p>
      <w:pPr>
        <w:pStyle w:val="Heading2"/>
      </w:pPr>
      <w:r>
        <w:t xml:space="preserve">2.10.2 System Skills</w:t>
      </w:r>
    </w:p>
    <w:p>
      <w:pPr>
        <w:pStyle w:val="FirstParagraph"/>
      </w:pPr>
      <w:r>
        <w:t xml:space="preserve">A Skill is a reusable, versioned capability available to one or more Enterprise AI Engineers.</w:t>
      </w:r>
    </w:p>
    <w:p>
      <w:pPr>
        <w:pStyle w:val="BodyText"/>
      </w:pPr>
      <w:r>
        <w:t xml:space="preserve">A skill may encapsulate:</w:t>
      </w:r>
    </w:p>
    <w:p>
      <w:pPr>
        <w:pStyle w:val="Compact"/>
        <w:numPr>
          <w:ilvl w:val="0"/>
          <w:numId w:val="1045"/>
        </w:numPr>
      </w:pPr>
      <w:r>
        <w:t xml:space="preserve">domain knowledge;</w:t>
      </w:r>
    </w:p>
    <w:p>
      <w:pPr>
        <w:pStyle w:val="Compact"/>
        <w:numPr>
          <w:ilvl w:val="0"/>
          <w:numId w:val="1045"/>
        </w:numPr>
      </w:pPr>
      <w:r>
        <w:t xml:space="preserve">reasoning instructions;</w:t>
      </w:r>
    </w:p>
    <w:p>
      <w:pPr>
        <w:pStyle w:val="Compact"/>
        <w:numPr>
          <w:ilvl w:val="0"/>
          <w:numId w:val="1045"/>
        </w:numPr>
      </w:pPr>
      <w:r>
        <w:t xml:space="preserve">workflow logic;</w:t>
      </w:r>
    </w:p>
    <w:p>
      <w:pPr>
        <w:pStyle w:val="Compact"/>
        <w:numPr>
          <w:ilvl w:val="0"/>
          <w:numId w:val="1045"/>
        </w:numPr>
      </w:pPr>
      <w:r>
        <w:t xml:space="preserve">tool-selection guidance;</w:t>
      </w:r>
    </w:p>
    <w:p>
      <w:pPr>
        <w:pStyle w:val="Compact"/>
        <w:numPr>
          <w:ilvl w:val="0"/>
          <w:numId w:val="1045"/>
        </w:numPr>
      </w:pPr>
      <w:r>
        <w:t xml:space="preserve">parameter requirements;</w:t>
      </w:r>
    </w:p>
    <w:p>
      <w:pPr>
        <w:pStyle w:val="Compact"/>
        <w:numPr>
          <w:ilvl w:val="0"/>
          <w:numId w:val="1045"/>
        </w:numPr>
      </w:pPr>
      <w:r>
        <w:t xml:space="preserve">validation rules;</w:t>
      </w:r>
    </w:p>
    <w:p>
      <w:pPr>
        <w:pStyle w:val="Compact"/>
        <w:numPr>
          <w:ilvl w:val="0"/>
          <w:numId w:val="1045"/>
        </w:numPr>
      </w:pPr>
      <w:r>
        <w:t xml:space="preserve">risk classification;</w:t>
      </w:r>
    </w:p>
    <w:p>
      <w:pPr>
        <w:pStyle w:val="Compact"/>
        <w:numPr>
          <w:ilvl w:val="0"/>
          <w:numId w:val="1045"/>
        </w:numPr>
      </w:pPr>
      <w:r>
        <w:t xml:space="preserve">and expected outputs.</w:t>
      </w:r>
    </w:p>
    <w:p>
      <w:pPr>
        <w:pStyle w:val="FirstParagraph"/>
      </w:pPr>
      <w:r>
        <w:t xml:space="preserve">Examples include:</w:t>
      </w:r>
    </w:p>
    <w:p>
      <w:pPr>
        <w:pStyle w:val="Compact"/>
        <w:numPr>
          <w:ilvl w:val="0"/>
          <w:numId w:val="1046"/>
        </w:numPr>
      </w:pPr>
      <w:r>
        <w:t xml:space="preserve">discover cluster health;</w:t>
      </w:r>
    </w:p>
    <w:p>
      <w:pPr>
        <w:pStyle w:val="Compact"/>
        <w:numPr>
          <w:ilvl w:val="0"/>
          <w:numId w:val="1046"/>
        </w:numPr>
      </w:pPr>
      <w:r>
        <w:t xml:space="preserve">diagnose VM performance;</w:t>
      </w:r>
    </w:p>
    <w:p>
      <w:pPr>
        <w:pStyle w:val="Compact"/>
        <w:numPr>
          <w:ilvl w:val="0"/>
          <w:numId w:val="1046"/>
        </w:numPr>
      </w:pPr>
      <w:r>
        <w:t xml:space="preserve">create a VM deployment plan;</w:t>
      </w:r>
    </w:p>
    <w:p>
      <w:pPr>
        <w:pStyle w:val="Compact"/>
        <w:numPr>
          <w:ilvl w:val="0"/>
          <w:numId w:val="1046"/>
        </w:numPr>
      </w:pPr>
      <w:r>
        <w:t xml:space="preserve">expand storage;</w:t>
      </w:r>
    </w:p>
    <w:p>
      <w:pPr>
        <w:pStyle w:val="Compact"/>
        <w:numPr>
          <w:ilvl w:val="0"/>
          <w:numId w:val="1046"/>
        </w:numPr>
      </w:pPr>
      <w:r>
        <w:t xml:space="preserve">validate upgrade readiness;</w:t>
      </w:r>
    </w:p>
    <w:p>
      <w:pPr>
        <w:pStyle w:val="Compact"/>
        <w:numPr>
          <w:ilvl w:val="0"/>
          <w:numId w:val="1046"/>
        </w:numPr>
      </w:pPr>
      <w:r>
        <w:t xml:space="preserve">generate a change plan;</w:t>
      </w:r>
    </w:p>
    <w:p>
      <w:pPr>
        <w:pStyle w:val="Compact"/>
        <w:numPr>
          <w:ilvl w:val="0"/>
          <w:numId w:val="1046"/>
        </w:numPr>
      </w:pPr>
      <w:r>
        <w:t xml:space="preserve">or perform post-change verification.</w:t>
      </w:r>
    </w:p>
    <w:p>
      <w:pPr>
        <w:pStyle w:val="FirstParagraph"/>
      </w:pPr>
      <w:r>
        <w:t xml:space="preserve">A skill is logically different from a tool.</w:t>
      </w:r>
    </w:p>
    <w:p>
      <w:pPr>
        <w:pStyle w:val="Compact"/>
        <w:numPr>
          <w:ilvl w:val="0"/>
          <w:numId w:val="1047"/>
        </w:numPr>
      </w:pPr>
      <w:r>
        <w:t xml:space="preserve">A</w:t>
      </w:r>
      <w:r>
        <w:t xml:space="preserve"> </w:t>
      </w:r>
      <w:r>
        <w:rPr>
          <w:b/>
          <w:bCs/>
        </w:rPr>
        <w:t xml:space="preserve">skill</w:t>
      </w:r>
      <w:r>
        <w:t xml:space="preserve"> </w:t>
      </w:r>
      <w:r>
        <w:t xml:space="preserve">describes how to accomplish a domain task.</w:t>
      </w:r>
    </w:p>
    <w:p>
      <w:pPr>
        <w:pStyle w:val="Compact"/>
        <w:numPr>
          <w:ilvl w:val="0"/>
          <w:numId w:val="1047"/>
        </w:numPr>
      </w:pPr>
      <w:r>
        <w:t xml:space="preserve">A</w:t>
      </w:r>
      <w:r>
        <w:t xml:space="preserve"> </w:t>
      </w:r>
      <w:r>
        <w:rPr>
          <w:b/>
          <w:bCs/>
        </w:rPr>
        <w:t xml:space="preserve">tool</w:t>
      </w:r>
      <w:r>
        <w:t xml:space="preserve"> </w:t>
      </w:r>
      <w:r>
        <w:t xml:space="preserve">performs a bounded operation against a service or system.</w:t>
      </w:r>
    </w:p>
    <w:p>
      <w:pPr>
        <w:pStyle w:val="FirstParagraph"/>
      </w:pPr>
      <w:r>
        <w:t xml:space="preserve">A skill may call multiple tools.</w:t>
      </w:r>
    </w:p>
    <w:p>
      <w:r>
        <w:pict>
          <v:rect style="width:0;height:1.5pt" o:hralign="center" o:hrstd="t" o:hr="t"/>
        </w:pict>
      </w:r>
    </w:p>
    <w:bookmarkEnd w:id="77"/>
    <w:bookmarkStart w:id="79" w:name="skill-harness"/>
    <w:p>
      <w:pPr>
        <w:pStyle w:val="Heading2"/>
      </w:pPr>
      <w:r>
        <w:t xml:space="preserve">2.10.3 Skill Harness</w:t>
      </w:r>
    </w:p>
    <w:p>
      <w:pPr>
        <w:pStyle w:val="FirstParagraph"/>
      </w:pPr>
      <w:r>
        <w:t xml:space="preserve">The Skill Harness is the controlled runtime surrounding skill execution.</w:t>
      </w:r>
    </w:p>
    <w:bookmarkStart w:id="78" w:name="responsibilities-10"/>
    <w:p>
      <w:pPr>
        <w:pStyle w:val="Heading3"/>
      </w:pPr>
      <w:r>
        <w:t xml:space="preserve">Responsibilities</w:t>
      </w:r>
    </w:p>
    <w:p>
      <w:pPr>
        <w:pStyle w:val="Compact"/>
        <w:numPr>
          <w:ilvl w:val="0"/>
          <w:numId w:val="1048"/>
        </w:numPr>
      </w:pPr>
      <w:r>
        <w:t xml:space="preserve">validate skill identity and version;</w:t>
      </w:r>
    </w:p>
    <w:p>
      <w:pPr>
        <w:pStyle w:val="Compact"/>
        <w:numPr>
          <w:ilvl w:val="0"/>
          <w:numId w:val="1048"/>
        </w:numPr>
      </w:pPr>
      <w:r>
        <w:t xml:space="preserve">verify that the invoking agent may use the skill;</w:t>
      </w:r>
    </w:p>
    <w:p>
      <w:pPr>
        <w:pStyle w:val="Compact"/>
        <w:numPr>
          <w:ilvl w:val="0"/>
          <w:numId w:val="1048"/>
        </w:numPr>
      </w:pPr>
      <w:r>
        <w:t xml:space="preserve">validate inputs;</w:t>
      </w:r>
    </w:p>
    <w:p>
      <w:pPr>
        <w:pStyle w:val="Compact"/>
        <w:numPr>
          <w:ilvl w:val="0"/>
          <w:numId w:val="1048"/>
        </w:numPr>
      </w:pPr>
      <w:r>
        <w:t xml:space="preserve">bind tenant and execution context;</w:t>
      </w:r>
    </w:p>
    <w:p>
      <w:pPr>
        <w:pStyle w:val="Compact"/>
        <w:numPr>
          <w:ilvl w:val="0"/>
          <w:numId w:val="1048"/>
        </w:numPr>
      </w:pPr>
      <w:r>
        <w:t xml:space="preserve">enforce sandboxing;</w:t>
      </w:r>
    </w:p>
    <w:p>
      <w:pPr>
        <w:pStyle w:val="Compact"/>
        <w:numPr>
          <w:ilvl w:val="0"/>
          <w:numId w:val="1048"/>
        </w:numPr>
      </w:pPr>
      <w:r>
        <w:t xml:space="preserve">enforce timeout and budget limits;</w:t>
      </w:r>
    </w:p>
    <w:p>
      <w:pPr>
        <w:pStyle w:val="Compact"/>
        <w:numPr>
          <w:ilvl w:val="0"/>
          <w:numId w:val="1048"/>
        </w:numPr>
      </w:pPr>
      <w:r>
        <w:t xml:space="preserve">apply retry and idempotency rules;</w:t>
      </w:r>
    </w:p>
    <w:p>
      <w:pPr>
        <w:pStyle w:val="Compact"/>
        <w:numPr>
          <w:ilvl w:val="0"/>
          <w:numId w:val="1048"/>
        </w:numPr>
      </w:pPr>
      <w:r>
        <w:t xml:space="preserve">mediate tool access;</w:t>
      </w:r>
    </w:p>
    <w:p>
      <w:pPr>
        <w:pStyle w:val="Compact"/>
        <w:numPr>
          <w:ilvl w:val="0"/>
          <w:numId w:val="1048"/>
        </w:numPr>
      </w:pPr>
      <w:r>
        <w:t xml:space="preserve">validate outputs;</w:t>
      </w:r>
    </w:p>
    <w:p>
      <w:pPr>
        <w:pStyle w:val="Compact"/>
        <w:numPr>
          <w:ilvl w:val="0"/>
          <w:numId w:val="1048"/>
        </w:numPr>
      </w:pPr>
      <w:r>
        <w:t xml:space="preserve">capture telemetry;</w:t>
      </w:r>
    </w:p>
    <w:p>
      <w:pPr>
        <w:pStyle w:val="Compact"/>
        <w:numPr>
          <w:ilvl w:val="0"/>
          <w:numId w:val="1048"/>
        </w:numPr>
      </w:pPr>
      <w:r>
        <w:t xml:space="preserve">and return structured results.</w:t>
      </w:r>
    </w:p>
    <w:p>
      <w:pPr>
        <w:pStyle w:val="FirstParagraph"/>
      </w:pPr>
      <w:r>
        <w:t xml:space="preserve">The harness is a key security and reliability boundary.</w:t>
      </w:r>
    </w:p>
    <w:p>
      <w:pPr>
        <w:pStyle w:val="BodyText"/>
      </w:pPr>
      <w:r>
        <w:t xml:space="preserve">It ensures that reusable skills cannot bypass platform controls even when their internal reasoning changes.</w:t>
      </w:r>
    </w:p>
    <w:p>
      <w:r>
        <w:pict>
          <v:rect style="width:0;height:1.5pt" o:hralign="center" o:hrstd="t" o:hr="t"/>
        </w:pict>
      </w:r>
    </w:p>
    <w:bookmarkEnd w:id="78"/>
    <w:bookmarkEnd w:id="79"/>
    <w:bookmarkStart w:id="82" w:name="mcp-client"/>
    <w:p>
      <w:pPr>
        <w:pStyle w:val="Heading2"/>
      </w:pPr>
      <w:r>
        <w:t xml:space="preserve">2.10.4 MCP Client</w:t>
      </w:r>
    </w:p>
    <w:p>
      <w:pPr>
        <w:pStyle w:val="FirstParagraph"/>
      </w:pPr>
      <w:r>
        <w:t xml:space="preserve">The MCP Client provides governed access to capabilities exposed through Model Context Protocol servers.</w:t>
      </w:r>
    </w:p>
    <w:bookmarkStart w:id="80" w:name="responsibilities-11"/>
    <w:p>
      <w:pPr>
        <w:pStyle w:val="Heading3"/>
      </w:pPr>
      <w:r>
        <w:t xml:space="preserve">Responsibilities</w:t>
      </w:r>
    </w:p>
    <w:p>
      <w:pPr>
        <w:pStyle w:val="Compact"/>
        <w:numPr>
          <w:ilvl w:val="0"/>
          <w:numId w:val="1049"/>
        </w:numPr>
      </w:pPr>
      <w:r>
        <w:t xml:space="preserve">discover configured MCP servers;</w:t>
      </w:r>
    </w:p>
    <w:p>
      <w:pPr>
        <w:pStyle w:val="Compact"/>
        <w:numPr>
          <w:ilvl w:val="0"/>
          <w:numId w:val="1049"/>
        </w:numPr>
      </w:pPr>
      <w:r>
        <w:t xml:space="preserve">authenticate to approved servers;</w:t>
      </w:r>
    </w:p>
    <w:p>
      <w:pPr>
        <w:pStyle w:val="Compact"/>
        <w:numPr>
          <w:ilvl w:val="0"/>
          <w:numId w:val="1049"/>
        </w:numPr>
      </w:pPr>
      <w:r>
        <w:t xml:space="preserve">retrieve tool, resource, and prompt metadata where permitted;</w:t>
      </w:r>
    </w:p>
    <w:p>
      <w:pPr>
        <w:pStyle w:val="Compact"/>
        <w:numPr>
          <w:ilvl w:val="0"/>
          <w:numId w:val="1049"/>
        </w:numPr>
      </w:pPr>
      <w:r>
        <w:t xml:space="preserve">maintain a trusted capability catalog;</w:t>
      </w:r>
    </w:p>
    <w:p>
      <w:pPr>
        <w:pStyle w:val="Compact"/>
        <w:numPr>
          <w:ilvl w:val="0"/>
          <w:numId w:val="1049"/>
        </w:numPr>
      </w:pPr>
      <w:r>
        <w:t xml:space="preserve">validate schemas;</w:t>
      </w:r>
    </w:p>
    <w:p>
      <w:pPr>
        <w:pStyle w:val="Compact"/>
        <w:numPr>
          <w:ilvl w:val="0"/>
          <w:numId w:val="1049"/>
        </w:numPr>
      </w:pPr>
      <w:r>
        <w:t xml:space="preserve">invoke approved tools;</w:t>
      </w:r>
    </w:p>
    <w:p>
      <w:pPr>
        <w:pStyle w:val="Compact"/>
        <w:numPr>
          <w:ilvl w:val="0"/>
          <w:numId w:val="1049"/>
        </w:numPr>
      </w:pPr>
      <w:r>
        <w:t xml:space="preserve">normalize responses;</w:t>
      </w:r>
    </w:p>
    <w:p>
      <w:pPr>
        <w:pStyle w:val="Compact"/>
        <w:numPr>
          <w:ilvl w:val="0"/>
          <w:numId w:val="1049"/>
        </w:numPr>
      </w:pPr>
      <w:r>
        <w:t xml:space="preserve">enforce timeouts;</w:t>
      </w:r>
    </w:p>
    <w:p>
      <w:pPr>
        <w:pStyle w:val="Compact"/>
        <w:numPr>
          <w:ilvl w:val="0"/>
          <w:numId w:val="1049"/>
        </w:numPr>
      </w:pPr>
      <w:r>
        <w:t xml:space="preserve">and capture invocation evidence.</w:t>
      </w:r>
    </w:p>
    <w:bookmarkEnd w:id="80"/>
    <w:bookmarkStart w:id="81" w:name="architectural-constraint-1"/>
    <w:p>
      <w:pPr>
        <w:pStyle w:val="Heading3"/>
      </w:pPr>
      <w:r>
        <w:t xml:space="preserve">Architectural constraint</w:t>
      </w:r>
    </w:p>
    <w:p>
      <w:pPr>
        <w:pStyle w:val="FirstParagraph"/>
      </w:pPr>
      <w:r>
        <w:t xml:space="preserve">Dynamic discovery does not equal automatic trust.</w:t>
      </w:r>
    </w:p>
    <w:p>
      <w:pPr>
        <w:pStyle w:val="BodyText"/>
      </w:pPr>
      <w:r>
        <w:t xml:space="preserve">A newly discovered MCP tool must not become executable merely because a server advertises it.</w:t>
      </w:r>
    </w:p>
    <w:p>
      <w:pPr>
        <w:pStyle w:val="BodyText"/>
      </w:pPr>
      <w:r>
        <w:t xml:space="preserve">Tool availability must be constrained by:</w:t>
      </w:r>
    </w:p>
    <w:p>
      <w:pPr>
        <w:pStyle w:val="Compact"/>
        <w:numPr>
          <w:ilvl w:val="0"/>
          <w:numId w:val="1050"/>
        </w:numPr>
      </w:pPr>
      <w:r>
        <w:t xml:space="preserve">server registration;</w:t>
      </w:r>
    </w:p>
    <w:p>
      <w:pPr>
        <w:pStyle w:val="Compact"/>
        <w:numPr>
          <w:ilvl w:val="0"/>
          <w:numId w:val="1050"/>
        </w:numPr>
      </w:pPr>
      <w:r>
        <w:t xml:space="preserve">server identity;</w:t>
      </w:r>
    </w:p>
    <w:p>
      <w:pPr>
        <w:pStyle w:val="Compact"/>
        <w:numPr>
          <w:ilvl w:val="0"/>
          <w:numId w:val="1050"/>
        </w:numPr>
      </w:pPr>
      <w:r>
        <w:t xml:space="preserve">tenant configuration;</w:t>
      </w:r>
    </w:p>
    <w:p>
      <w:pPr>
        <w:pStyle w:val="Compact"/>
        <w:numPr>
          <w:ilvl w:val="0"/>
          <w:numId w:val="1050"/>
        </w:numPr>
      </w:pPr>
      <w:r>
        <w:t xml:space="preserve">trust level;</w:t>
      </w:r>
    </w:p>
    <w:p>
      <w:pPr>
        <w:pStyle w:val="Compact"/>
        <w:numPr>
          <w:ilvl w:val="0"/>
          <w:numId w:val="1050"/>
        </w:numPr>
      </w:pPr>
      <w:r>
        <w:t xml:space="preserve">tool allowlists;</w:t>
      </w:r>
    </w:p>
    <w:p>
      <w:pPr>
        <w:pStyle w:val="Compact"/>
        <w:numPr>
          <w:ilvl w:val="0"/>
          <w:numId w:val="1050"/>
        </w:numPr>
      </w:pPr>
      <w:r>
        <w:t xml:space="preserve">schema validation;</w:t>
      </w:r>
    </w:p>
    <w:p>
      <w:pPr>
        <w:pStyle w:val="Compact"/>
        <w:numPr>
          <w:ilvl w:val="0"/>
          <w:numId w:val="1050"/>
        </w:numPr>
      </w:pPr>
      <w:r>
        <w:t xml:space="preserve">agent entitlement;</w:t>
      </w:r>
    </w:p>
    <w:p>
      <w:pPr>
        <w:pStyle w:val="Compact"/>
        <w:numPr>
          <w:ilvl w:val="0"/>
          <w:numId w:val="1050"/>
        </w:numPr>
      </w:pPr>
      <w:r>
        <w:t xml:space="preserve">policy;</w:t>
      </w:r>
    </w:p>
    <w:p>
      <w:pPr>
        <w:pStyle w:val="Compact"/>
        <w:numPr>
          <w:ilvl w:val="0"/>
          <w:numId w:val="1050"/>
        </w:numPr>
      </w:pPr>
      <w:r>
        <w:t xml:space="preserve">and risk classification.</w:t>
      </w:r>
    </w:p>
    <w:p>
      <w:r>
        <w:pict>
          <v:rect style="width:0;height:1.5pt" o:hralign="center" o:hrstd="t" o:hr="t"/>
        </w:pict>
      </w:r>
    </w:p>
    <w:bookmarkEnd w:id="81"/>
    <w:bookmarkEnd w:id="82"/>
    <w:bookmarkStart w:id="85" w:name="memory-manager"/>
    <w:p>
      <w:pPr>
        <w:pStyle w:val="Heading2"/>
      </w:pPr>
      <w:r>
        <w:t xml:space="preserve">2.10.5 Memory Manager</w:t>
      </w:r>
    </w:p>
    <w:p>
      <w:pPr>
        <w:pStyle w:val="FirstParagraph"/>
      </w:pPr>
      <w:r>
        <w:t xml:space="preserve">The Memory Manager controls short-term and long-term agent memory.</w:t>
      </w:r>
    </w:p>
    <w:bookmarkStart w:id="83" w:name="short-term-memory"/>
    <w:p>
      <w:pPr>
        <w:pStyle w:val="Heading3"/>
      </w:pPr>
      <w:r>
        <w:t xml:space="preserve">Short-term memory</w:t>
      </w:r>
    </w:p>
    <w:p>
      <w:pPr>
        <w:pStyle w:val="FirstParagraph"/>
      </w:pPr>
      <w:r>
        <w:t xml:space="preserve">Short-term memory supports the active execution and may include:</w:t>
      </w:r>
    </w:p>
    <w:p>
      <w:pPr>
        <w:pStyle w:val="Compact"/>
        <w:numPr>
          <w:ilvl w:val="0"/>
          <w:numId w:val="1051"/>
        </w:numPr>
      </w:pPr>
      <w:r>
        <w:t xml:space="preserve">conversation context;</w:t>
      </w:r>
    </w:p>
    <w:p>
      <w:pPr>
        <w:pStyle w:val="Compact"/>
        <w:numPr>
          <w:ilvl w:val="0"/>
          <w:numId w:val="1051"/>
        </w:numPr>
      </w:pPr>
      <w:r>
        <w:t xml:space="preserve">current plan;</w:t>
      </w:r>
    </w:p>
    <w:p>
      <w:pPr>
        <w:pStyle w:val="Compact"/>
        <w:numPr>
          <w:ilvl w:val="0"/>
          <w:numId w:val="1051"/>
        </w:numPr>
      </w:pPr>
      <w:r>
        <w:t xml:space="preserve">recent observations;</w:t>
      </w:r>
    </w:p>
    <w:p>
      <w:pPr>
        <w:pStyle w:val="Compact"/>
        <w:numPr>
          <w:ilvl w:val="0"/>
          <w:numId w:val="1051"/>
        </w:numPr>
      </w:pPr>
      <w:r>
        <w:t xml:space="preserve">tool results;</w:t>
      </w:r>
    </w:p>
    <w:p>
      <w:pPr>
        <w:pStyle w:val="Compact"/>
        <w:numPr>
          <w:ilvl w:val="0"/>
          <w:numId w:val="1051"/>
        </w:numPr>
      </w:pPr>
      <w:r>
        <w:t xml:space="preserve">intermediate reasoning summaries;</w:t>
      </w:r>
    </w:p>
    <w:p>
      <w:pPr>
        <w:pStyle w:val="Compact"/>
        <w:numPr>
          <w:ilvl w:val="0"/>
          <w:numId w:val="1051"/>
        </w:numPr>
      </w:pPr>
      <w:r>
        <w:t xml:space="preserve">unresolved questions;</w:t>
      </w:r>
    </w:p>
    <w:p>
      <w:pPr>
        <w:pStyle w:val="Compact"/>
        <w:numPr>
          <w:ilvl w:val="0"/>
          <w:numId w:val="1051"/>
        </w:numPr>
      </w:pPr>
      <w:r>
        <w:t xml:space="preserve">and execution state.</w:t>
      </w:r>
    </w:p>
    <w:p>
      <w:pPr>
        <w:pStyle w:val="FirstParagraph"/>
      </w:pPr>
      <w:r>
        <w:t xml:space="preserve">Short-term memory is scoped to an execution, session, or conversation and must have explicit retention limits.</w:t>
      </w:r>
    </w:p>
    <w:bookmarkEnd w:id="83"/>
    <w:bookmarkStart w:id="84" w:name="long-term-memory"/>
    <w:p>
      <w:pPr>
        <w:pStyle w:val="Heading3"/>
      </w:pPr>
      <w:r>
        <w:t xml:space="preserve">Long-term memory</w:t>
      </w:r>
    </w:p>
    <w:p>
      <w:pPr>
        <w:pStyle w:val="FirstParagraph"/>
      </w:pPr>
      <w:r>
        <w:t xml:space="preserve">Long-term memory may include:</w:t>
      </w:r>
    </w:p>
    <w:p>
      <w:pPr>
        <w:pStyle w:val="Compact"/>
        <w:numPr>
          <w:ilvl w:val="0"/>
          <w:numId w:val="1052"/>
        </w:numPr>
      </w:pPr>
      <w:r>
        <w:t xml:space="preserve">approved operational preferences;</w:t>
      </w:r>
    </w:p>
    <w:p>
      <w:pPr>
        <w:pStyle w:val="Compact"/>
        <w:numPr>
          <w:ilvl w:val="0"/>
          <w:numId w:val="1052"/>
        </w:numPr>
      </w:pPr>
      <w:r>
        <w:t xml:space="preserve">prior incident patterns;</w:t>
      </w:r>
    </w:p>
    <w:p>
      <w:pPr>
        <w:pStyle w:val="Compact"/>
        <w:numPr>
          <w:ilvl w:val="0"/>
          <w:numId w:val="1052"/>
        </w:numPr>
      </w:pPr>
      <w:r>
        <w:t xml:space="preserve">validated remediation outcomes;</w:t>
      </w:r>
    </w:p>
    <w:p>
      <w:pPr>
        <w:pStyle w:val="Compact"/>
        <w:numPr>
          <w:ilvl w:val="0"/>
          <w:numId w:val="1052"/>
        </w:numPr>
      </w:pPr>
      <w:r>
        <w:t xml:space="preserve">environment-specific facts;</w:t>
      </w:r>
    </w:p>
    <w:p>
      <w:pPr>
        <w:pStyle w:val="Compact"/>
        <w:numPr>
          <w:ilvl w:val="0"/>
          <w:numId w:val="1052"/>
        </w:numPr>
      </w:pPr>
      <w:r>
        <w:t xml:space="preserve">user-approved procedures;</w:t>
      </w:r>
    </w:p>
    <w:p>
      <w:pPr>
        <w:pStyle w:val="Compact"/>
        <w:numPr>
          <w:ilvl w:val="0"/>
          <w:numId w:val="1052"/>
        </w:numPr>
      </w:pPr>
      <w:r>
        <w:t xml:space="preserve">and reusable task history.</w:t>
      </w:r>
    </w:p>
    <w:p>
      <w:pPr>
        <w:pStyle w:val="FirstParagraph"/>
      </w:pPr>
      <w:r>
        <w:t xml:space="preserve">Long-term memory must not silently convert model-generated content into authoritative enterprise truth.</w:t>
      </w:r>
    </w:p>
    <w:p>
      <w:pPr>
        <w:pStyle w:val="BodyText"/>
      </w:pPr>
      <w:r>
        <w:t xml:space="preserve">Memory entries require:</w:t>
      </w:r>
    </w:p>
    <w:p>
      <w:pPr>
        <w:pStyle w:val="Compact"/>
        <w:numPr>
          <w:ilvl w:val="0"/>
          <w:numId w:val="1053"/>
        </w:numPr>
      </w:pPr>
      <w:r>
        <w:t xml:space="preserve">provenance;</w:t>
      </w:r>
    </w:p>
    <w:p>
      <w:pPr>
        <w:pStyle w:val="Compact"/>
        <w:numPr>
          <w:ilvl w:val="0"/>
          <w:numId w:val="1053"/>
        </w:numPr>
      </w:pPr>
      <w:r>
        <w:t xml:space="preserve">owner;</w:t>
      </w:r>
    </w:p>
    <w:p>
      <w:pPr>
        <w:pStyle w:val="Compact"/>
        <w:numPr>
          <w:ilvl w:val="0"/>
          <w:numId w:val="1053"/>
        </w:numPr>
      </w:pPr>
      <w:r>
        <w:t xml:space="preserve">tenant;</w:t>
      </w:r>
    </w:p>
    <w:p>
      <w:pPr>
        <w:pStyle w:val="Compact"/>
        <w:numPr>
          <w:ilvl w:val="0"/>
          <w:numId w:val="1053"/>
        </w:numPr>
      </w:pPr>
      <w:r>
        <w:t xml:space="preserve">scope;</w:t>
      </w:r>
    </w:p>
    <w:p>
      <w:pPr>
        <w:pStyle w:val="Compact"/>
        <w:numPr>
          <w:ilvl w:val="0"/>
          <w:numId w:val="1053"/>
        </w:numPr>
      </w:pPr>
      <w:r>
        <w:t xml:space="preserve">timestamp;</w:t>
      </w:r>
    </w:p>
    <w:p>
      <w:pPr>
        <w:pStyle w:val="Compact"/>
        <w:numPr>
          <w:ilvl w:val="0"/>
          <w:numId w:val="1053"/>
        </w:numPr>
      </w:pPr>
      <w:r>
        <w:t xml:space="preserve">confidence or validation status;</w:t>
      </w:r>
    </w:p>
    <w:p>
      <w:pPr>
        <w:pStyle w:val="Compact"/>
        <w:numPr>
          <w:ilvl w:val="0"/>
          <w:numId w:val="1053"/>
        </w:numPr>
      </w:pPr>
      <w:r>
        <w:t xml:space="preserve">retention classification;</w:t>
      </w:r>
    </w:p>
    <w:p>
      <w:pPr>
        <w:pStyle w:val="Compact"/>
        <w:numPr>
          <w:ilvl w:val="0"/>
          <w:numId w:val="1053"/>
        </w:numPr>
      </w:pPr>
      <w:r>
        <w:t xml:space="preserve">and access policy.</w:t>
      </w:r>
    </w:p>
    <w:p>
      <w:pPr>
        <w:pStyle w:val="FirstParagraph"/>
      </w:pPr>
      <w:r>
        <w:t xml:space="preserve">Secrets must never be stored as conversational memory.</w:t>
      </w:r>
    </w:p>
    <w:p>
      <w:r>
        <w:pict>
          <v:rect style="width:0;height:1.5pt" o:hralign="center" o:hrstd="t" o:hr="t"/>
        </w:pict>
      </w:r>
    </w:p>
    <w:bookmarkEnd w:id="84"/>
    <w:bookmarkEnd w:id="85"/>
    <w:bookmarkEnd w:id="86"/>
    <w:bookmarkStart w:id="102" w:name="platform-services"/>
    <w:p>
      <w:pPr>
        <w:pStyle w:val="Heading1"/>
      </w:pPr>
      <w:r>
        <w:t xml:space="preserve">2.11 Platform Services</w:t>
      </w:r>
    </w:p>
    <w:p>
      <w:pPr>
        <w:pStyle w:val="FirstParagraph"/>
      </w:pPr>
      <w:r>
        <w:t xml:space="preserve">Platform Services provide common deterministic capabilities used across agents, workflows, interfaces, and integrations.</w:t>
      </w:r>
    </w:p>
    <w:bookmarkStart w:id="88" w:name="operational-context-service"/>
    <w:p>
      <w:pPr>
        <w:pStyle w:val="Heading2"/>
      </w:pPr>
      <w:r>
        <w:t xml:space="preserve">2.11.1 Operational Context Service</w:t>
      </w:r>
    </w:p>
    <w:p>
      <w:pPr>
        <w:pStyle w:val="FirstParagraph"/>
      </w:pPr>
      <w:r>
        <w:t xml:space="preserve">The Operational Context Service assembles a current, scoped, explainable view of the enterprise environment.</w:t>
      </w:r>
    </w:p>
    <w:bookmarkStart w:id="87" w:name="responsibilities-12"/>
    <w:p>
      <w:pPr>
        <w:pStyle w:val="Heading3"/>
      </w:pPr>
      <w:r>
        <w:t xml:space="preserve">Responsibilities</w:t>
      </w:r>
    </w:p>
    <w:p>
      <w:pPr>
        <w:pStyle w:val="Compact"/>
        <w:numPr>
          <w:ilvl w:val="0"/>
          <w:numId w:val="1054"/>
        </w:numPr>
      </w:pPr>
      <w:r>
        <w:t xml:space="preserve">normalize inventory;</w:t>
      </w:r>
    </w:p>
    <w:p>
      <w:pPr>
        <w:pStyle w:val="Compact"/>
        <w:numPr>
          <w:ilvl w:val="0"/>
          <w:numId w:val="1054"/>
        </w:numPr>
      </w:pPr>
      <w:r>
        <w:t xml:space="preserve">maintain topology;</w:t>
      </w:r>
    </w:p>
    <w:p>
      <w:pPr>
        <w:pStyle w:val="Compact"/>
        <w:numPr>
          <w:ilvl w:val="0"/>
          <w:numId w:val="1054"/>
        </w:numPr>
      </w:pPr>
      <w:r>
        <w:t xml:space="preserve">correlate entities across platforms;</w:t>
      </w:r>
    </w:p>
    <w:p>
      <w:pPr>
        <w:pStyle w:val="Compact"/>
        <w:numPr>
          <w:ilvl w:val="0"/>
          <w:numId w:val="1054"/>
        </w:numPr>
      </w:pPr>
      <w:r>
        <w:t xml:space="preserve">track resource identity;</w:t>
      </w:r>
    </w:p>
    <w:p>
      <w:pPr>
        <w:pStyle w:val="Compact"/>
        <w:numPr>
          <w:ilvl w:val="0"/>
          <w:numId w:val="1054"/>
        </w:numPr>
      </w:pPr>
      <w:r>
        <w:t xml:space="preserve">resolve relationships;</w:t>
      </w:r>
    </w:p>
    <w:p>
      <w:pPr>
        <w:pStyle w:val="Compact"/>
        <w:numPr>
          <w:ilvl w:val="0"/>
          <w:numId w:val="1054"/>
        </w:numPr>
      </w:pPr>
      <w:r>
        <w:t xml:space="preserve">evaluate data freshness;</w:t>
      </w:r>
    </w:p>
    <w:p>
      <w:pPr>
        <w:pStyle w:val="Compact"/>
        <w:numPr>
          <w:ilvl w:val="0"/>
          <w:numId w:val="1054"/>
        </w:numPr>
      </w:pPr>
      <w:r>
        <w:t xml:space="preserve">retrieve relevant operational history;</w:t>
      </w:r>
    </w:p>
    <w:p>
      <w:pPr>
        <w:pStyle w:val="Compact"/>
        <w:numPr>
          <w:ilvl w:val="0"/>
          <w:numId w:val="1054"/>
        </w:numPr>
      </w:pPr>
      <w:r>
        <w:t xml:space="preserve">and produce context packages for agents and workflows.</w:t>
      </w:r>
    </w:p>
    <w:p>
      <w:pPr>
        <w:pStyle w:val="FirstParagraph"/>
      </w:pPr>
      <w:r>
        <w:t xml:space="preserve">A context package must be:</w:t>
      </w:r>
    </w:p>
    <w:p>
      <w:pPr>
        <w:pStyle w:val="Compact"/>
        <w:numPr>
          <w:ilvl w:val="0"/>
          <w:numId w:val="1055"/>
        </w:numPr>
      </w:pPr>
      <w:r>
        <w:t xml:space="preserve">tenant-scoped;</w:t>
      </w:r>
    </w:p>
    <w:p>
      <w:pPr>
        <w:pStyle w:val="Compact"/>
        <w:numPr>
          <w:ilvl w:val="0"/>
          <w:numId w:val="1055"/>
        </w:numPr>
      </w:pPr>
      <w:r>
        <w:t xml:space="preserve">identity-filtered;</w:t>
      </w:r>
    </w:p>
    <w:p>
      <w:pPr>
        <w:pStyle w:val="Compact"/>
        <w:numPr>
          <w:ilvl w:val="0"/>
          <w:numId w:val="1055"/>
        </w:numPr>
      </w:pPr>
      <w:r>
        <w:t xml:space="preserve">task-specific;</w:t>
      </w:r>
    </w:p>
    <w:p>
      <w:pPr>
        <w:pStyle w:val="Compact"/>
        <w:numPr>
          <w:ilvl w:val="0"/>
          <w:numId w:val="1055"/>
        </w:numPr>
      </w:pPr>
      <w:r>
        <w:t xml:space="preserve">time-bounded;</w:t>
      </w:r>
    </w:p>
    <w:p>
      <w:pPr>
        <w:pStyle w:val="Compact"/>
        <w:numPr>
          <w:ilvl w:val="0"/>
          <w:numId w:val="1055"/>
        </w:numPr>
      </w:pPr>
      <w:r>
        <w:t xml:space="preserve">provenance-preserving;</w:t>
      </w:r>
    </w:p>
    <w:p>
      <w:pPr>
        <w:pStyle w:val="Compact"/>
        <w:numPr>
          <w:ilvl w:val="0"/>
          <w:numId w:val="1055"/>
        </w:numPr>
      </w:pPr>
      <w:r>
        <w:t xml:space="preserve">and classified for model use.</w:t>
      </w:r>
    </w:p>
    <w:p>
      <w:pPr>
        <w:pStyle w:val="FirstParagraph"/>
      </w:pPr>
      <w:r>
        <w:t xml:space="preserve">The service may use operational, graph, vector, time-series, cache, and object stores, but it presents one logical context interface to the runtime.</w:t>
      </w:r>
    </w:p>
    <w:p>
      <w:r>
        <w:pict>
          <v:rect style="width:0;height:1.5pt" o:hralign="center" o:hrstd="t" o:hr="t"/>
        </w:pict>
      </w:r>
    </w:p>
    <w:bookmarkEnd w:id="87"/>
    <w:bookmarkEnd w:id="88"/>
    <w:bookmarkStart w:id="89" w:name="observability-and-telemetry"/>
    <w:p>
      <w:pPr>
        <w:pStyle w:val="Heading2"/>
      </w:pPr>
      <w:r>
        <w:t xml:space="preserve">2.11.2 Observability and Telemetry</w:t>
      </w:r>
    </w:p>
    <w:p>
      <w:pPr>
        <w:pStyle w:val="FirstParagraph"/>
      </w:pPr>
      <w:r>
        <w:t xml:space="preserve">This service captures platform and workflow observability.</w:t>
      </w:r>
    </w:p>
    <w:p>
      <w:pPr>
        <w:pStyle w:val="BodyText"/>
      </w:pPr>
      <w:r>
        <w:t xml:space="preserve">It includes:</w:t>
      </w:r>
    </w:p>
    <w:p>
      <w:pPr>
        <w:pStyle w:val="Compact"/>
        <w:numPr>
          <w:ilvl w:val="0"/>
          <w:numId w:val="1056"/>
        </w:numPr>
      </w:pPr>
      <w:r>
        <w:t xml:space="preserve">metrics;</w:t>
      </w:r>
    </w:p>
    <w:p>
      <w:pPr>
        <w:pStyle w:val="Compact"/>
        <w:numPr>
          <w:ilvl w:val="0"/>
          <w:numId w:val="1056"/>
        </w:numPr>
      </w:pPr>
      <w:r>
        <w:t xml:space="preserve">logs;</w:t>
      </w:r>
    </w:p>
    <w:p>
      <w:pPr>
        <w:pStyle w:val="Compact"/>
        <w:numPr>
          <w:ilvl w:val="0"/>
          <w:numId w:val="1056"/>
        </w:numPr>
      </w:pPr>
      <w:r>
        <w:t xml:space="preserve">traces;</w:t>
      </w:r>
    </w:p>
    <w:p>
      <w:pPr>
        <w:pStyle w:val="Compact"/>
        <w:numPr>
          <w:ilvl w:val="0"/>
          <w:numId w:val="1056"/>
        </w:numPr>
      </w:pPr>
      <w:r>
        <w:t xml:space="preserve">agent execution telemetry;</w:t>
      </w:r>
    </w:p>
    <w:p>
      <w:pPr>
        <w:pStyle w:val="Compact"/>
        <w:numPr>
          <w:ilvl w:val="0"/>
          <w:numId w:val="1056"/>
        </w:numPr>
      </w:pPr>
      <w:r>
        <w:t xml:space="preserve">model telemetry;</w:t>
      </w:r>
    </w:p>
    <w:p>
      <w:pPr>
        <w:pStyle w:val="Compact"/>
        <w:numPr>
          <w:ilvl w:val="0"/>
          <w:numId w:val="1056"/>
        </w:numPr>
      </w:pPr>
      <w:r>
        <w:t xml:space="preserve">tool telemetry;</w:t>
      </w:r>
    </w:p>
    <w:p>
      <w:pPr>
        <w:pStyle w:val="Compact"/>
        <w:numPr>
          <w:ilvl w:val="0"/>
          <w:numId w:val="1056"/>
        </w:numPr>
      </w:pPr>
      <w:r>
        <w:t xml:space="preserve">workflow state;</w:t>
      </w:r>
    </w:p>
    <w:p>
      <w:pPr>
        <w:pStyle w:val="Compact"/>
        <w:numPr>
          <w:ilvl w:val="0"/>
          <w:numId w:val="1056"/>
        </w:numPr>
      </w:pPr>
      <w:r>
        <w:t xml:space="preserve">latency;</w:t>
      </w:r>
    </w:p>
    <w:p>
      <w:pPr>
        <w:pStyle w:val="Compact"/>
        <w:numPr>
          <w:ilvl w:val="0"/>
          <w:numId w:val="1056"/>
        </w:numPr>
      </w:pPr>
      <w:r>
        <w:t xml:space="preserve">token consumption;</w:t>
      </w:r>
    </w:p>
    <w:p>
      <w:pPr>
        <w:pStyle w:val="Compact"/>
        <w:numPr>
          <w:ilvl w:val="0"/>
          <w:numId w:val="1056"/>
        </w:numPr>
      </w:pPr>
      <w:r>
        <w:t xml:space="preserve">error rates;</w:t>
      </w:r>
    </w:p>
    <w:p>
      <w:pPr>
        <w:pStyle w:val="Compact"/>
        <w:numPr>
          <w:ilvl w:val="0"/>
          <w:numId w:val="1056"/>
        </w:numPr>
      </w:pPr>
      <w:r>
        <w:t xml:space="preserve">and policy outcomes.</w:t>
      </w:r>
    </w:p>
    <w:p>
      <w:pPr>
        <w:pStyle w:val="FirstParagraph"/>
      </w:pPr>
      <w:r>
        <w:t xml:space="preserve">Operational telemetry used to run AccuSec must be separated from immutable audit evidence used for compliance.</w:t>
      </w:r>
    </w:p>
    <w:p>
      <w:pPr>
        <w:pStyle w:val="BodyText"/>
      </w:pPr>
      <w:r>
        <w:t xml:space="preserve">Observability data may be sampled or aggregated. Required audit evidence may not be discarded merely because telemetry sampling is enabled.</w:t>
      </w:r>
    </w:p>
    <w:p>
      <w:r>
        <w:pict>
          <v:rect style="width:0;height:1.5pt" o:hralign="center" o:hrstd="t" o:hr="t"/>
        </w:pict>
      </w:r>
    </w:p>
    <w:bookmarkEnd w:id="89"/>
    <w:bookmarkStart w:id="91" w:name="policy-and-guardrails"/>
    <w:p>
      <w:pPr>
        <w:pStyle w:val="Heading2"/>
      </w:pPr>
      <w:r>
        <w:t xml:space="preserve">2.11.3 Policy and Guardrails</w:t>
      </w:r>
    </w:p>
    <w:p>
      <w:pPr>
        <w:pStyle w:val="FirstParagraph"/>
      </w:pPr>
      <w:r>
        <w:t xml:space="preserve">The Policy and Guardrails service makes deterministic decisions about allowed behavior.</w:t>
      </w:r>
    </w:p>
    <w:bookmarkStart w:id="90" w:name="responsibilities-13"/>
    <w:p>
      <w:pPr>
        <w:pStyle w:val="Heading3"/>
      </w:pPr>
      <w:r>
        <w:t xml:space="preserve">Responsibilities</w:t>
      </w:r>
    </w:p>
    <w:p>
      <w:pPr>
        <w:pStyle w:val="Compact"/>
        <w:numPr>
          <w:ilvl w:val="0"/>
          <w:numId w:val="1057"/>
        </w:numPr>
      </w:pPr>
      <w:r>
        <w:t xml:space="preserve">evaluate authorization policy;</w:t>
      </w:r>
    </w:p>
    <w:p>
      <w:pPr>
        <w:pStyle w:val="Compact"/>
        <w:numPr>
          <w:ilvl w:val="0"/>
          <w:numId w:val="1057"/>
        </w:numPr>
      </w:pPr>
      <w:r>
        <w:t xml:space="preserve">enforce business rules;</w:t>
      </w:r>
    </w:p>
    <w:p>
      <w:pPr>
        <w:pStyle w:val="Compact"/>
        <w:numPr>
          <w:ilvl w:val="0"/>
          <w:numId w:val="1057"/>
        </w:numPr>
      </w:pPr>
      <w:r>
        <w:t xml:space="preserve">determine approval requirements;</w:t>
      </w:r>
    </w:p>
    <w:p>
      <w:pPr>
        <w:pStyle w:val="Compact"/>
        <w:numPr>
          <w:ilvl w:val="0"/>
          <w:numId w:val="1057"/>
        </w:numPr>
      </w:pPr>
      <w:r>
        <w:t xml:space="preserve">classify operational risk;</w:t>
      </w:r>
    </w:p>
    <w:p>
      <w:pPr>
        <w:pStyle w:val="Compact"/>
        <w:numPr>
          <w:ilvl w:val="0"/>
          <w:numId w:val="1057"/>
        </w:numPr>
      </w:pPr>
      <w:r>
        <w:t xml:space="preserve">enforce resource restrictions;</w:t>
      </w:r>
    </w:p>
    <w:p>
      <w:pPr>
        <w:pStyle w:val="Compact"/>
        <w:numPr>
          <w:ilvl w:val="0"/>
          <w:numId w:val="1057"/>
        </w:numPr>
      </w:pPr>
      <w:r>
        <w:t xml:space="preserve">enforce maintenance windows;</w:t>
      </w:r>
    </w:p>
    <w:p>
      <w:pPr>
        <w:pStyle w:val="Compact"/>
        <w:numPr>
          <w:ilvl w:val="0"/>
          <w:numId w:val="1057"/>
        </w:numPr>
      </w:pPr>
      <w:r>
        <w:t xml:space="preserve">enforce model-use restrictions;</w:t>
      </w:r>
    </w:p>
    <w:p>
      <w:pPr>
        <w:pStyle w:val="Compact"/>
        <w:numPr>
          <w:ilvl w:val="0"/>
          <w:numId w:val="1057"/>
        </w:numPr>
      </w:pPr>
      <w:r>
        <w:t xml:space="preserve">validate plan constraints;</w:t>
      </w:r>
    </w:p>
    <w:p>
      <w:pPr>
        <w:pStyle w:val="Compact"/>
        <w:numPr>
          <w:ilvl w:val="0"/>
          <w:numId w:val="1057"/>
        </w:numPr>
      </w:pPr>
      <w:r>
        <w:t xml:space="preserve">and block prohibited actions.</w:t>
      </w:r>
    </w:p>
    <w:p>
      <w:pPr>
        <w:pStyle w:val="FirstParagraph"/>
      </w:pPr>
      <w:r>
        <w:t xml:space="preserve">Policy inputs may include:</w:t>
      </w:r>
    </w:p>
    <w:p>
      <w:pPr>
        <w:pStyle w:val="Compact"/>
        <w:numPr>
          <w:ilvl w:val="0"/>
          <w:numId w:val="1058"/>
        </w:numPr>
      </w:pPr>
      <w:r>
        <w:t xml:space="preserve">principal;</w:t>
      </w:r>
    </w:p>
    <w:p>
      <w:pPr>
        <w:pStyle w:val="Compact"/>
        <w:numPr>
          <w:ilvl w:val="0"/>
          <w:numId w:val="1058"/>
        </w:numPr>
      </w:pPr>
      <w:r>
        <w:t xml:space="preserve">role;</w:t>
      </w:r>
    </w:p>
    <w:p>
      <w:pPr>
        <w:pStyle w:val="Compact"/>
        <w:numPr>
          <w:ilvl w:val="0"/>
          <w:numId w:val="1058"/>
        </w:numPr>
      </w:pPr>
      <w:r>
        <w:t xml:space="preserve">group;</w:t>
      </w:r>
    </w:p>
    <w:p>
      <w:pPr>
        <w:pStyle w:val="Compact"/>
        <w:numPr>
          <w:ilvl w:val="0"/>
          <w:numId w:val="1058"/>
        </w:numPr>
      </w:pPr>
      <w:r>
        <w:t xml:space="preserve">tenant;</w:t>
      </w:r>
    </w:p>
    <w:p>
      <w:pPr>
        <w:pStyle w:val="Compact"/>
        <w:numPr>
          <w:ilvl w:val="0"/>
          <w:numId w:val="1058"/>
        </w:numPr>
      </w:pPr>
      <w:r>
        <w:t xml:space="preserve">workspace;</w:t>
      </w:r>
    </w:p>
    <w:p>
      <w:pPr>
        <w:pStyle w:val="Compact"/>
        <w:numPr>
          <w:ilvl w:val="0"/>
          <w:numId w:val="1058"/>
        </w:numPr>
      </w:pPr>
      <w:r>
        <w:t xml:space="preserve">resource;</w:t>
      </w:r>
    </w:p>
    <w:p>
      <w:pPr>
        <w:pStyle w:val="Compact"/>
        <w:numPr>
          <w:ilvl w:val="0"/>
          <w:numId w:val="1058"/>
        </w:numPr>
      </w:pPr>
      <w:r>
        <w:t xml:space="preserve">action;</w:t>
      </w:r>
    </w:p>
    <w:p>
      <w:pPr>
        <w:pStyle w:val="Compact"/>
        <w:numPr>
          <w:ilvl w:val="0"/>
          <w:numId w:val="1058"/>
        </w:numPr>
      </w:pPr>
      <w:r>
        <w:t xml:space="preserve">environment;</w:t>
      </w:r>
    </w:p>
    <w:p>
      <w:pPr>
        <w:pStyle w:val="Compact"/>
        <w:numPr>
          <w:ilvl w:val="0"/>
          <w:numId w:val="1058"/>
        </w:numPr>
      </w:pPr>
      <w:r>
        <w:t xml:space="preserve">risk;</w:t>
      </w:r>
    </w:p>
    <w:p>
      <w:pPr>
        <w:pStyle w:val="Compact"/>
        <w:numPr>
          <w:ilvl w:val="0"/>
          <w:numId w:val="1058"/>
        </w:numPr>
      </w:pPr>
      <w:r>
        <w:t xml:space="preserve">time;</w:t>
      </w:r>
    </w:p>
    <w:p>
      <w:pPr>
        <w:pStyle w:val="Compact"/>
        <w:numPr>
          <w:ilvl w:val="0"/>
          <w:numId w:val="1058"/>
        </w:numPr>
      </w:pPr>
      <w:r>
        <w:t xml:space="preserve">location;</w:t>
      </w:r>
    </w:p>
    <w:p>
      <w:pPr>
        <w:pStyle w:val="Compact"/>
        <w:numPr>
          <w:ilvl w:val="0"/>
          <w:numId w:val="1058"/>
        </w:numPr>
      </w:pPr>
      <w:r>
        <w:t xml:space="preserve">data classification;</w:t>
      </w:r>
    </w:p>
    <w:p>
      <w:pPr>
        <w:pStyle w:val="Compact"/>
        <w:numPr>
          <w:ilvl w:val="0"/>
          <w:numId w:val="1058"/>
        </w:numPr>
      </w:pPr>
      <w:r>
        <w:t xml:space="preserve">current state;</w:t>
      </w:r>
    </w:p>
    <w:p>
      <w:pPr>
        <w:pStyle w:val="Compact"/>
        <w:numPr>
          <w:ilvl w:val="0"/>
          <w:numId w:val="1058"/>
        </w:numPr>
      </w:pPr>
      <w:r>
        <w:t xml:space="preserve">approval state;</w:t>
      </w:r>
    </w:p>
    <w:p>
      <w:pPr>
        <w:pStyle w:val="Compact"/>
        <w:numPr>
          <w:ilvl w:val="0"/>
          <w:numId w:val="1058"/>
        </w:numPr>
      </w:pPr>
      <w:r>
        <w:t xml:space="preserve">and change record.</w:t>
      </w:r>
    </w:p>
    <w:p>
      <w:pPr>
        <w:pStyle w:val="FirstParagraph"/>
      </w:pPr>
      <w:r>
        <w:t xml:space="preserve">Policy results should be explicit:</w:t>
      </w:r>
    </w:p>
    <w:p>
      <w:pPr>
        <w:pStyle w:val="Compact"/>
        <w:numPr>
          <w:ilvl w:val="0"/>
          <w:numId w:val="1059"/>
        </w:numPr>
      </w:pPr>
      <w:r>
        <w:t xml:space="preserve">allow;</w:t>
      </w:r>
    </w:p>
    <w:p>
      <w:pPr>
        <w:pStyle w:val="Compact"/>
        <w:numPr>
          <w:ilvl w:val="0"/>
          <w:numId w:val="1059"/>
        </w:numPr>
      </w:pPr>
      <w:r>
        <w:t xml:space="preserve">deny;</w:t>
      </w:r>
    </w:p>
    <w:p>
      <w:pPr>
        <w:pStyle w:val="Compact"/>
        <w:numPr>
          <w:ilvl w:val="0"/>
          <w:numId w:val="1059"/>
        </w:numPr>
      </w:pPr>
      <w:r>
        <w:t xml:space="preserve">allow with conditions;</w:t>
      </w:r>
    </w:p>
    <w:p>
      <w:pPr>
        <w:pStyle w:val="Compact"/>
        <w:numPr>
          <w:ilvl w:val="0"/>
          <w:numId w:val="1059"/>
        </w:numPr>
      </w:pPr>
      <w:r>
        <w:t xml:space="preserve">require approval;</w:t>
      </w:r>
    </w:p>
    <w:p>
      <w:pPr>
        <w:pStyle w:val="Compact"/>
        <w:numPr>
          <w:ilvl w:val="0"/>
          <w:numId w:val="1059"/>
        </w:numPr>
      </w:pPr>
      <w:r>
        <w:t xml:space="preserve">require additional evidence;</w:t>
      </w:r>
    </w:p>
    <w:p>
      <w:pPr>
        <w:pStyle w:val="Compact"/>
        <w:numPr>
          <w:ilvl w:val="0"/>
          <w:numId w:val="1059"/>
        </w:numPr>
      </w:pPr>
      <w:r>
        <w:t xml:space="preserve">require simulation;</w:t>
      </w:r>
    </w:p>
    <w:p>
      <w:pPr>
        <w:pStyle w:val="Compact"/>
        <w:numPr>
          <w:ilvl w:val="0"/>
          <w:numId w:val="1059"/>
        </w:numPr>
      </w:pPr>
      <w:r>
        <w:t xml:space="preserve">or require escalation.</w:t>
      </w:r>
    </w:p>
    <w:p>
      <w:pPr>
        <w:pStyle w:val="FirstParagraph"/>
      </w:pPr>
      <w:r>
        <w:t xml:space="preserve">The service must produce a policy decision record.</w:t>
      </w:r>
    </w:p>
    <w:p>
      <w:r>
        <w:pict>
          <v:rect style="width:0;height:1.5pt" o:hralign="center" o:hrstd="t" o:hr="t"/>
        </w:pict>
      </w:r>
    </w:p>
    <w:bookmarkEnd w:id="90"/>
    <w:bookmarkEnd w:id="91"/>
    <w:bookmarkStart w:id="93" w:name="security-and-secrets-manager"/>
    <w:p>
      <w:pPr>
        <w:pStyle w:val="Heading2"/>
      </w:pPr>
      <w:r>
        <w:t xml:space="preserve">2.11.4 Security and Secrets Manager</w:t>
      </w:r>
    </w:p>
    <w:p>
      <w:pPr>
        <w:pStyle w:val="FirstParagraph"/>
      </w:pPr>
      <w:r>
        <w:t xml:space="preserve">This service manages access to credentials, keys, certificates, tokens, and protected configuration.</w:t>
      </w:r>
    </w:p>
    <w:bookmarkStart w:id="92" w:name="responsibilities-14"/>
    <w:p>
      <w:pPr>
        <w:pStyle w:val="Heading3"/>
      </w:pPr>
      <w:r>
        <w:t xml:space="preserve">Responsibilities</w:t>
      </w:r>
    </w:p>
    <w:p>
      <w:pPr>
        <w:pStyle w:val="Compact"/>
        <w:numPr>
          <w:ilvl w:val="0"/>
          <w:numId w:val="1060"/>
        </w:numPr>
      </w:pPr>
      <w:r>
        <w:t xml:space="preserve">integrate with enterprise vault or KMS systems;</w:t>
      </w:r>
    </w:p>
    <w:p>
      <w:pPr>
        <w:pStyle w:val="Compact"/>
        <w:numPr>
          <w:ilvl w:val="0"/>
          <w:numId w:val="1060"/>
        </w:numPr>
      </w:pPr>
      <w:r>
        <w:t xml:space="preserve">retrieve short-lived credentials;</w:t>
      </w:r>
    </w:p>
    <w:p>
      <w:pPr>
        <w:pStyle w:val="Compact"/>
        <w:numPr>
          <w:ilvl w:val="0"/>
          <w:numId w:val="1060"/>
        </w:numPr>
      </w:pPr>
      <w:r>
        <w:t xml:space="preserve">rotate secrets;</w:t>
      </w:r>
    </w:p>
    <w:p>
      <w:pPr>
        <w:pStyle w:val="Compact"/>
        <w:numPr>
          <w:ilvl w:val="0"/>
          <w:numId w:val="1060"/>
        </w:numPr>
      </w:pPr>
      <w:r>
        <w:t xml:space="preserve">scope credentials to workloads and targets;</w:t>
      </w:r>
    </w:p>
    <w:p>
      <w:pPr>
        <w:pStyle w:val="Compact"/>
        <w:numPr>
          <w:ilvl w:val="0"/>
          <w:numId w:val="1060"/>
        </w:numPr>
      </w:pPr>
      <w:r>
        <w:t xml:space="preserve">prevent secret exposure;</w:t>
      </w:r>
    </w:p>
    <w:p>
      <w:pPr>
        <w:pStyle w:val="Compact"/>
        <w:numPr>
          <w:ilvl w:val="0"/>
          <w:numId w:val="1060"/>
        </w:numPr>
      </w:pPr>
      <w:r>
        <w:t xml:space="preserve">manage encryption keys;</w:t>
      </w:r>
    </w:p>
    <w:p>
      <w:pPr>
        <w:pStyle w:val="Compact"/>
        <w:numPr>
          <w:ilvl w:val="0"/>
          <w:numId w:val="1060"/>
        </w:numPr>
      </w:pPr>
      <w:r>
        <w:t xml:space="preserve">and record credential access.</w:t>
      </w:r>
    </w:p>
    <w:p>
      <w:pPr>
        <w:pStyle w:val="FirstParagraph"/>
      </w:pPr>
      <w:r>
        <w:t xml:space="preserve">Where possible, AccuSec should use delegated identity, workload federation, managed identity, or short-lived tokens rather than persistent passwords.</w:t>
      </w:r>
    </w:p>
    <w:p>
      <w:pPr>
        <w:pStyle w:val="BodyText"/>
      </w:pPr>
      <w:r>
        <w:t xml:space="preserve">The LLM must never receive raw target-system credentials.</w:t>
      </w:r>
    </w:p>
    <w:p>
      <w:r>
        <w:pict>
          <v:rect style="width:0;height:1.5pt" o:hralign="center" o:hrstd="t" o:hr="t"/>
        </w:pict>
      </w:r>
    </w:p>
    <w:bookmarkEnd w:id="92"/>
    <w:bookmarkEnd w:id="93"/>
    <w:bookmarkStart w:id="95" w:name="audit-and-compliance"/>
    <w:p>
      <w:pPr>
        <w:pStyle w:val="Heading2"/>
      </w:pPr>
      <w:r>
        <w:t xml:space="preserve">2.11.5 Audit and Compliance</w:t>
      </w:r>
    </w:p>
    <w:p>
      <w:pPr>
        <w:pStyle w:val="FirstParagraph"/>
      </w:pPr>
      <w:r>
        <w:t xml:space="preserve">The Audit and Compliance service maintains tamper-evident records of material system activity.</w:t>
      </w:r>
    </w:p>
    <w:bookmarkStart w:id="94" w:name="audit-scope"/>
    <w:p>
      <w:pPr>
        <w:pStyle w:val="Heading3"/>
      </w:pPr>
      <w:r>
        <w:t xml:space="preserve">Audit scope</w:t>
      </w:r>
    </w:p>
    <w:p>
      <w:pPr>
        <w:pStyle w:val="FirstParagraph"/>
      </w:pPr>
      <w:r>
        <w:t xml:space="preserve">Audit records include:</w:t>
      </w:r>
    </w:p>
    <w:p>
      <w:pPr>
        <w:pStyle w:val="Compact"/>
        <w:numPr>
          <w:ilvl w:val="0"/>
          <w:numId w:val="1061"/>
        </w:numPr>
      </w:pPr>
      <w:r>
        <w:t xml:space="preserve">authentication;</w:t>
      </w:r>
    </w:p>
    <w:p>
      <w:pPr>
        <w:pStyle w:val="Compact"/>
        <w:numPr>
          <w:ilvl w:val="0"/>
          <w:numId w:val="1061"/>
        </w:numPr>
      </w:pPr>
      <w:r>
        <w:t xml:space="preserve">authorization decisions;</w:t>
      </w:r>
    </w:p>
    <w:p>
      <w:pPr>
        <w:pStyle w:val="Compact"/>
        <w:numPr>
          <w:ilvl w:val="0"/>
          <w:numId w:val="1061"/>
        </w:numPr>
      </w:pPr>
      <w:r>
        <w:t xml:space="preserve">policy changes;</w:t>
      </w:r>
    </w:p>
    <w:p>
      <w:pPr>
        <w:pStyle w:val="Compact"/>
        <w:numPr>
          <w:ilvl w:val="0"/>
          <w:numId w:val="1061"/>
        </w:numPr>
      </w:pPr>
      <w:r>
        <w:t xml:space="preserve">agent and skill versions;</w:t>
      </w:r>
    </w:p>
    <w:p>
      <w:pPr>
        <w:pStyle w:val="Compact"/>
        <w:numPr>
          <w:ilvl w:val="0"/>
          <w:numId w:val="1061"/>
        </w:numPr>
      </w:pPr>
      <w:r>
        <w:t xml:space="preserve">model selection;</w:t>
      </w:r>
    </w:p>
    <w:p>
      <w:pPr>
        <w:pStyle w:val="Compact"/>
        <w:numPr>
          <w:ilvl w:val="0"/>
          <w:numId w:val="1061"/>
        </w:numPr>
      </w:pPr>
      <w:r>
        <w:t xml:space="preserve">plan versions;</w:t>
      </w:r>
    </w:p>
    <w:p>
      <w:pPr>
        <w:pStyle w:val="Compact"/>
        <w:numPr>
          <w:ilvl w:val="0"/>
          <w:numId w:val="1061"/>
        </w:numPr>
      </w:pPr>
      <w:r>
        <w:t xml:space="preserve">approval decisions;</w:t>
      </w:r>
    </w:p>
    <w:p>
      <w:pPr>
        <w:pStyle w:val="Compact"/>
        <w:numPr>
          <w:ilvl w:val="0"/>
          <w:numId w:val="1061"/>
        </w:numPr>
      </w:pPr>
      <w:r>
        <w:t xml:space="preserve">tool invocations;</w:t>
      </w:r>
    </w:p>
    <w:p>
      <w:pPr>
        <w:pStyle w:val="Compact"/>
        <w:numPr>
          <w:ilvl w:val="0"/>
          <w:numId w:val="1061"/>
        </w:numPr>
      </w:pPr>
      <w:r>
        <w:t xml:space="preserve">target responses;</w:t>
      </w:r>
    </w:p>
    <w:p>
      <w:pPr>
        <w:pStyle w:val="Compact"/>
        <w:numPr>
          <w:ilvl w:val="0"/>
          <w:numId w:val="1061"/>
        </w:numPr>
      </w:pPr>
      <w:r>
        <w:t xml:space="preserve">data access;</w:t>
      </w:r>
    </w:p>
    <w:p>
      <w:pPr>
        <w:pStyle w:val="Compact"/>
        <w:numPr>
          <w:ilvl w:val="0"/>
          <w:numId w:val="1061"/>
        </w:numPr>
      </w:pPr>
      <w:r>
        <w:t xml:space="preserve">administrative changes;</w:t>
      </w:r>
    </w:p>
    <w:p>
      <w:pPr>
        <w:pStyle w:val="Compact"/>
        <w:numPr>
          <w:ilvl w:val="0"/>
          <w:numId w:val="1061"/>
        </w:numPr>
      </w:pPr>
      <w:r>
        <w:t xml:space="preserve">and execution outcomes.</w:t>
      </w:r>
    </w:p>
    <w:p>
      <w:pPr>
        <w:pStyle w:val="FirstParagraph"/>
      </w:pPr>
      <w:r>
        <w:t xml:space="preserve">Audit records must preserve causality and correlation.</w:t>
      </w:r>
    </w:p>
    <w:p>
      <w:pPr>
        <w:pStyle w:val="BodyText"/>
      </w:pPr>
      <w:r>
        <w:t xml:space="preserve">The service also supports:</w:t>
      </w:r>
    </w:p>
    <w:p>
      <w:pPr>
        <w:pStyle w:val="Compact"/>
        <w:numPr>
          <w:ilvl w:val="0"/>
          <w:numId w:val="1062"/>
        </w:numPr>
      </w:pPr>
      <w:r>
        <w:t xml:space="preserve">compliance evidence;</w:t>
      </w:r>
    </w:p>
    <w:p>
      <w:pPr>
        <w:pStyle w:val="Compact"/>
        <w:numPr>
          <w:ilvl w:val="0"/>
          <w:numId w:val="1062"/>
        </w:numPr>
      </w:pPr>
      <w:r>
        <w:t xml:space="preserve">retention policy;</w:t>
      </w:r>
    </w:p>
    <w:p>
      <w:pPr>
        <w:pStyle w:val="Compact"/>
        <w:numPr>
          <w:ilvl w:val="0"/>
          <w:numId w:val="1062"/>
        </w:numPr>
      </w:pPr>
      <w:r>
        <w:t xml:space="preserve">legal hold;</w:t>
      </w:r>
    </w:p>
    <w:p>
      <w:pPr>
        <w:pStyle w:val="Compact"/>
        <w:numPr>
          <w:ilvl w:val="0"/>
          <w:numId w:val="1062"/>
        </w:numPr>
      </w:pPr>
      <w:r>
        <w:t xml:space="preserve">export;</w:t>
      </w:r>
    </w:p>
    <w:p>
      <w:pPr>
        <w:pStyle w:val="Compact"/>
        <w:numPr>
          <w:ilvl w:val="0"/>
          <w:numId w:val="1062"/>
        </w:numPr>
      </w:pPr>
      <w:r>
        <w:t xml:space="preserve">reporting;</w:t>
      </w:r>
    </w:p>
    <w:p>
      <w:pPr>
        <w:pStyle w:val="Compact"/>
        <w:numPr>
          <w:ilvl w:val="0"/>
          <w:numId w:val="1062"/>
        </w:numPr>
      </w:pPr>
      <w:r>
        <w:t xml:space="preserve">and verification of record integrity.</w:t>
      </w:r>
    </w:p>
    <w:p>
      <w:r>
        <w:pict>
          <v:rect style="width:0;height:1.5pt" o:hralign="center" o:hrstd="t" o:hr="t"/>
        </w:pict>
      </w:r>
    </w:p>
    <w:bookmarkEnd w:id="94"/>
    <w:bookmarkEnd w:id="95"/>
    <w:bookmarkStart w:id="96" w:name="notification-service"/>
    <w:p>
      <w:pPr>
        <w:pStyle w:val="Heading2"/>
      </w:pPr>
      <w:r>
        <w:t xml:space="preserve">2.11.6 Notification Service</w:t>
      </w:r>
    </w:p>
    <w:p>
      <w:pPr>
        <w:pStyle w:val="FirstParagraph"/>
      </w:pPr>
      <w:r>
        <w:t xml:space="preserve">The Notification Service delivers user and system notifications through approved channels.</w:t>
      </w:r>
    </w:p>
    <w:p>
      <w:pPr>
        <w:pStyle w:val="BodyText"/>
      </w:pPr>
      <w:r>
        <w:t xml:space="preserve">Possible channels include:</w:t>
      </w:r>
    </w:p>
    <w:p>
      <w:pPr>
        <w:pStyle w:val="Compact"/>
        <w:numPr>
          <w:ilvl w:val="0"/>
          <w:numId w:val="1063"/>
        </w:numPr>
      </w:pPr>
      <w:r>
        <w:t xml:space="preserve">email;</w:t>
      </w:r>
    </w:p>
    <w:p>
      <w:pPr>
        <w:pStyle w:val="Compact"/>
        <w:numPr>
          <w:ilvl w:val="0"/>
          <w:numId w:val="1063"/>
        </w:numPr>
      </w:pPr>
      <w:r>
        <w:t xml:space="preserve">Slack;</w:t>
      </w:r>
    </w:p>
    <w:p>
      <w:pPr>
        <w:pStyle w:val="Compact"/>
        <w:numPr>
          <w:ilvl w:val="0"/>
          <w:numId w:val="1063"/>
        </w:numPr>
      </w:pPr>
      <w:r>
        <w:t xml:space="preserve">Microsoft Teams;</w:t>
      </w:r>
    </w:p>
    <w:p>
      <w:pPr>
        <w:pStyle w:val="Compact"/>
        <w:numPr>
          <w:ilvl w:val="0"/>
          <w:numId w:val="1063"/>
        </w:numPr>
      </w:pPr>
      <w:r>
        <w:t xml:space="preserve">webhooks;</w:t>
      </w:r>
    </w:p>
    <w:p>
      <w:pPr>
        <w:pStyle w:val="Compact"/>
        <w:numPr>
          <w:ilvl w:val="0"/>
          <w:numId w:val="1063"/>
        </w:numPr>
      </w:pPr>
      <w:r>
        <w:t xml:space="preserve">mobile push;</w:t>
      </w:r>
    </w:p>
    <w:p>
      <w:pPr>
        <w:pStyle w:val="Compact"/>
        <w:numPr>
          <w:ilvl w:val="0"/>
          <w:numId w:val="1063"/>
        </w:numPr>
      </w:pPr>
      <w:r>
        <w:t xml:space="preserve">and in-product notifications.</w:t>
      </w:r>
    </w:p>
    <w:p>
      <w:pPr>
        <w:pStyle w:val="FirstParagraph"/>
      </w:pPr>
      <w:r>
        <w:t xml:space="preserve">Notifications may report:</w:t>
      </w:r>
    </w:p>
    <w:p>
      <w:pPr>
        <w:pStyle w:val="Compact"/>
        <w:numPr>
          <w:ilvl w:val="0"/>
          <w:numId w:val="1064"/>
        </w:numPr>
      </w:pPr>
      <w:r>
        <w:t xml:space="preserve">approval requests;</w:t>
      </w:r>
    </w:p>
    <w:p>
      <w:pPr>
        <w:pStyle w:val="Compact"/>
        <w:numPr>
          <w:ilvl w:val="0"/>
          <w:numId w:val="1064"/>
        </w:numPr>
      </w:pPr>
      <w:r>
        <w:t xml:space="preserve">task progress;</w:t>
      </w:r>
    </w:p>
    <w:p>
      <w:pPr>
        <w:pStyle w:val="Compact"/>
        <w:numPr>
          <w:ilvl w:val="0"/>
          <w:numId w:val="1064"/>
        </w:numPr>
      </w:pPr>
      <w:r>
        <w:t xml:space="preserve">failures;</w:t>
      </w:r>
    </w:p>
    <w:p>
      <w:pPr>
        <w:pStyle w:val="Compact"/>
        <w:numPr>
          <w:ilvl w:val="0"/>
          <w:numId w:val="1064"/>
        </w:numPr>
      </w:pPr>
      <w:r>
        <w:t xml:space="preserve">escalations;</w:t>
      </w:r>
    </w:p>
    <w:p>
      <w:pPr>
        <w:pStyle w:val="Compact"/>
        <w:numPr>
          <w:ilvl w:val="0"/>
          <w:numId w:val="1064"/>
        </w:numPr>
      </w:pPr>
      <w:r>
        <w:t xml:space="preserve">policy violations;</w:t>
      </w:r>
    </w:p>
    <w:p>
      <w:pPr>
        <w:pStyle w:val="Compact"/>
        <w:numPr>
          <w:ilvl w:val="0"/>
          <w:numId w:val="1064"/>
        </w:numPr>
      </w:pPr>
      <w:r>
        <w:t xml:space="preserve">completion;</w:t>
      </w:r>
    </w:p>
    <w:p>
      <w:pPr>
        <w:pStyle w:val="Compact"/>
        <w:numPr>
          <w:ilvl w:val="0"/>
          <w:numId w:val="1064"/>
        </w:numPr>
      </w:pPr>
      <w:r>
        <w:t xml:space="preserve">and scheduled events.</w:t>
      </w:r>
    </w:p>
    <w:p>
      <w:pPr>
        <w:pStyle w:val="FirstParagraph"/>
      </w:pPr>
      <w:r>
        <w:t xml:space="preserve">Notification delivery is asynchronous and must not be treated as proof that a user received or approved an action.</w:t>
      </w:r>
    </w:p>
    <w:p>
      <w:r>
        <w:pict>
          <v:rect style="width:0;height:1.5pt" o:hralign="center" o:hrstd="t" o:hr="t"/>
        </w:pict>
      </w:r>
    </w:p>
    <w:bookmarkEnd w:id="96"/>
    <w:bookmarkStart w:id="97" w:name="document-intelligence"/>
    <w:p>
      <w:pPr>
        <w:pStyle w:val="Heading2"/>
      </w:pPr>
      <w:r>
        <w:t xml:space="preserve">2.11.7 Document Intelligence</w:t>
      </w:r>
    </w:p>
    <w:p>
      <w:pPr>
        <w:pStyle w:val="FirstParagraph"/>
      </w:pPr>
      <w:r>
        <w:t xml:space="preserve">Document Intelligence ingests, classifies, extracts, indexes, and retrieves enterprise documents.</w:t>
      </w:r>
    </w:p>
    <w:p>
      <w:pPr>
        <w:pStyle w:val="BodyText"/>
      </w:pPr>
      <w:r>
        <w:t xml:space="preserve">Supported content may include:</w:t>
      </w:r>
    </w:p>
    <w:p>
      <w:pPr>
        <w:pStyle w:val="Compact"/>
        <w:numPr>
          <w:ilvl w:val="0"/>
          <w:numId w:val="1065"/>
        </w:numPr>
      </w:pPr>
      <w:r>
        <w:t xml:space="preserve">runbooks;</w:t>
      </w:r>
    </w:p>
    <w:p>
      <w:pPr>
        <w:pStyle w:val="Compact"/>
        <w:numPr>
          <w:ilvl w:val="0"/>
          <w:numId w:val="1065"/>
        </w:numPr>
      </w:pPr>
      <w:r>
        <w:t xml:space="preserve">architecture documents;</w:t>
      </w:r>
    </w:p>
    <w:p>
      <w:pPr>
        <w:pStyle w:val="Compact"/>
        <w:numPr>
          <w:ilvl w:val="0"/>
          <w:numId w:val="1065"/>
        </w:numPr>
      </w:pPr>
      <w:r>
        <w:t xml:space="preserve">procedures;</w:t>
      </w:r>
    </w:p>
    <w:p>
      <w:pPr>
        <w:pStyle w:val="Compact"/>
        <w:numPr>
          <w:ilvl w:val="0"/>
          <w:numId w:val="1065"/>
        </w:numPr>
      </w:pPr>
      <w:r>
        <w:t xml:space="preserve">incident reports;</w:t>
      </w:r>
    </w:p>
    <w:p>
      <w:pPr>
        <w:pStyle w:val="Compact"/>
        <w:numPr>
          <w:ilvl w:val="0"/>
          <w:numId w:val="1065"/>
        </w:numPr>
      </w:pPr>
      <w:r>
        <w:t xml:space="preserve">vendor documentation;</w:t>
      </w:r>
    </w:p>
    <w:p>
      <w:pPr>
        <w:pStyle w:val="Compact"/>
        <w:numPr>
          <w:ilvl w:val="0"/>
          <w:numId w:val="1065"/>
        </w:numPr>
      </w:pPr>
      <w:r>
        <w:t xml:space="preserve">change records;</w:t>
      </w:r>
    </w:p>
    <w:p>
      <w:pPr>
        <w:pStyle w:val="Compact"/>
        <w:numPr>
          <w:ilvl w:val="0"/>
          <w:numId w:val="1065"/>
        </w:numPr>
      </w:pPr>
      <w:r>
        <w:t xml:space="preserve">policies;</w:t>
      </w:r>
    </w:p>
    <w:p>
      <w:pPr>
        <w:pStyle w:val="Compact"/>
        <w:numPr>
          <w:ilvl w:val="0"/>
          <w:numId w:val="1065"/>
        </w:numPr>
      </w:pPr>
      <w:r>
        <w:t xml:space="preserve">and knowledge articles.</w:t>
      </w:r>
    </w:p>
    <w:p>
      <w:pPr>
        <w:pStyle w:val="FirstParagraph"/>
      </w:pPr>
      <w:r>
        <w:t xml:space="preserve">The service must retain source provenance and access restrictions.</w:t>
      </w:r>
    </w:p>
    <w:p>
      <w:pPr>
        <w:pStyle w:val="BodyText"/>
      </w:pPr>
      <w:r>
        <w:t xml:space="preserve">Retrieval-Augmented Generation must enforce document-level and, where required, section-level authorization before content enters model context.</w:t>
      </w:r>
    </w:p>
    <w:p>
      <w:r>
        <w:pict>
          <v:rect style="width:0;height:1.5pt" o:hralign="center" o:hrstd="t" o:hr="t"/>
        </w:pict>
      </w:r>
    </w:p>
    <w:bookmarkEnd w:id="97"/>
    <w:bookmarkStart w:id="99" w:name="prompt-and-model-manager"/>
    <w:p>
      <w:pPr>
        <w:pStyle w:val="Heading2"/>
      </w:pPr>
      <w:r>
        <w:t xml:space="preserve">2.11.8 Prompt and Model Manager</w:t>
      </w:r>
    </w:p>
    <w:p>
      <w:pPr>
        <w:pStyle w:val="FirstParagraph"/>
      </w:pPr>
      <w:r>
        <w:t xml:space="preserve">This service manages versioned prompt assets and model-facing configuration.</w:t>
      </w:r>
    </w:p>
    <w:bookmarkStart w:id="98" w:name="responsibilities-15"/>
    <w:p>
      <w:pPr>
        <w:pStyle w:val="Heading3"/>
      </w:pPr>
      <w:r>
        <w:t xml:space="preserve">Responsibilities</w:t>
      </w:r>
    </w:p>
    <w:p>
      <w:pPr>
        <w:pStyle w:val="Compact"/>
        <w:numPr>
          <w:ilvl w:val="0"/>
          <w:numId w:val="1066"/>
        </w:numPr>
      </w:pPr>
      <w:r>
        <w:t xml:space="preserve">prompt templates;</w:t>
      </w:r>
    </w:p>
    <w:p>
      <w:pPr>
        <w:pStyle w:val="Compact"/>
        <w:numPr>
          <w:ilvl w:val="0"/>
          <w:numId w:val="1066"/>
        </w:numPr>
      </w:pPr>
      <w:r>
        <w:t xml:space="preserve">system instructions;</w:t>
      </w:r>
    </w:p>
    <w:p>
      <w:pPr>
        <w:pStyle w:val="Compact"/>
        <w:numPr>
          <w:ilvl w:val="0"/>
          <w:numId w:val="1066"/>
        </w:numPr>
      </w:pPr>
      <w:r>
        <w:t xml:space="preserve">agent instructions;</w:t>
      </w:r>
    </w:p>
    <w:p>
      <w:pPr>
        <w:pStyle w:val="Compact"/>
        <w:numPr>
          <w:ilvl w:val="0"/>
          <w:numId w:val="1066"/>
        </w:numPr>
      </w:pPr>
      <w:r>
        <w:t xml:space="preserve">model compatibility;</w:t>
      </w:r>
    </w:p>
    <w:p>
      <w:pPr>
        <w:pStyle w:val="Compact"/>
        <w:numPr>
          <w:ilvl w:val="0"/>
          <w:numId w:val="1066"/>
        </w:numPr>
      </w:pPr>
      <w:r>
        <w:t xml:space="preserve">prompt versioning;</w:t>
      </w:r>
    </w:p>
    <w:p>
      <w:pPr>
        <w:pStyle w:val="Compact"/>
        <w:numPr>
          <w:ilvl w:val="0"/>
          <w:numId w:val="1066"/>
        </w:numPr>
      </w:pPr>
      <w:r>
        <w:t xml:space="preserve">rollout controls;</w:t>
      </w:r>
    </w:p>
    <w:p>
      <w:pPr>
        <w:pStyle w:val="Compact"/>
        <w:numPr>
          <w:ilvl w:val="0"/>
          <w:numId w:val="1066"/>
        </w:numPr>
      </w:pPr>
      <w:r>
        <w:t xml:space="preserve">evaluation status;</w:t>
      </w:r>
    </w:p>
    <w:p>
      <w:pPr>
        <w:pStyle w:val="Compact"/>
        <w:numPr>
          <w:ilvl w:val="0"/>
          <w:numId w:val="1066"/>
        </w:numPr>
      </w:pPr>
      <w:r>
        <w:t xml:space="preserve">model parameters;</w:t>
      </w:r>
    </w:p>
    <w:p>
      <w:pPr>
        <w:pStyle w:val="Compact"/>
        <w:numPr>
          <w:ilvl w:val="0"/>
          <w:numId w:val="1066"/>
        </w:numPr>
      </w:pPr>
      <w:r>
        <w:t xml:space="preserve">and rollback.</w:t>
      </w:r>
    </w:p>
    <w:p>
      <w:pPr>
        <w:pStyle w:val="FirstParagraph"/>
      </w:pPr>
      <w:r>
        <w:t xml:space="preserve">Prompts are executable configuration and must be versioned, reviewed, access-controlled, and auditable.</w:t>
      </w:r>
    </w:p>
    <w:p>
      <w:r>
        <w:pict>
          <v:rect style="width:0;height:1.5pt" o:hralign="center" o:hrstd="t" o:hr="t"/>
        </w:pict>
      </w:r>
    </w:p>
    <w:bookmarkEnd w:id="98"/>
    <w:bookmarkEnd w:id="99"/>
    <w:bookmarkStart w:id="100" w:name="feature-store"/>
    <w:p>
      <w:pPr>
        <w:pStyle w:val="Heading2"/>
      </w:pPr>
      <w:r>
        <w:t xml:space="preserve">2.11.9 Feature Store</w:t>
      </w:r>
    </w:p>
    <w:p>
      <w:pPr>
        <w:pStyle w:val="FirstParagraph"/>
      </w:pPr>
      <w:r>
        <w:t xml:space="preserve">The Feature Store maintains derived operational features used for reasoning, ranking, anomaly detection, recommendations, or evaluation.</w:t>
      </w:r>
    </w:p>
    <w:p>
      <w:pPr>
        <w:pStyle w:val="BodyText"/>
      </w:pPr>
      <w:r>
        <w:t xml:space="preserve">Examples:</w:t>
      </w:r>
    </w:p>
    <w:p>
      <w:pPr>
        <w:pStyle w:val="Compact"/>
        <w:numPr>
          <w:ilvl w:val="0"/>
          <w:numId w:val="1067"/>
        </w:numPr>
      </w:pPr>
      <w:r>
        <w:t xml:space="preserve">recent failure rate;</w:t>
      </w:r>
    </w:p>
    <w:p>
      <w:pPr>
        <w:pStyle w:val="Compact"/>
        <w:numPr>
          <w:ilvl w:val="0"/>
          <w:numId w:val="1067"/>
        </w:numPr>
      </w:pPr>
      <w:r>
        <w:t xml:space="preserve">resource criticality;</w:t>
      </w:r>
    </w:p>
    <w:p>
      <w:pPr>
        <w:pStyle w:val="Compact"/>
        <w:numPr>
          <w:ilvl w:val="0"/>
          <w:numId w:val="1067"/>
        </w:numPr>
      </w:pPr>
      <w:r>
        <w:t xml:space="preserve">change-risk score;</w:t>
      </w:r>
    </w:p>
    <w:p>
      <w:pPr>
        <w:pStyle w:val="Compact"/>
        <w:numPr>
          <w:ilvl w:val="0"/>
          <w:numId w:val="1067"/>
        </w:numPr>
      </w:pPr>
      <w:r>
        <w:t xml:space="preserve">workload seasonality;</w:t>
      </w:r>
    </w:p>
    <w:p>
      <w:pPr>
        <w:pStyle w:val="Compact"/>
        <w:numPr>
          <w:ilvl w:val="0"/>
          <w:numId w:val="1067"/>
        </w:numPr>
      </w:pPr>
      <w:r>
        <w:t xml:space="preserve">remediation success probability;</w:t>
      </w:r>
    </w:p>
    <w:p>
      <w:pPr>
        <w:pStyle w:val="Compact"/>
        <w:numPr>
          <w:ilvl w:val="0"/>
          <w:numId w:val="1067"/>
        </w:numPr>
      </w:pPr>
      <w:r>
        <w:t xml:space="preserve">or endpoint reliability.</w:t>
      </w:r>
    </w:p>
    <w:p>
      <w:pPr>
        <w:pStyle w:val="FirstParagraph"/>
      </w:pPr>
      <w:r>
        <w:t xml:space="preserve">Features are derived data, not automatically authoritative facts.</w:t>
      </w:r>
    </w:p>
    <w:p>
      <w:pPr>
        <w:pStyle w:val="BodyText"/>
      </w:pPr>
      <w:r>
        <w:t xml:space="preserve">Every feature must retain:</w:t>
      </w:r>
    </w:p>
    <w:p>
      <w:pPr>
        <w:pStyle w:val="Compact"/>
        <w:numPr>
          <w:ilvl w:val="0"/>
          <w:numId w:val="1068"/>
        </w:numPr>
      </w:pPr>
      <w:r>
        <w:t xml:space="preserve">definition;</w:t>
      </w:r>
    </w:p>
    <w:p>
      <w:pPr>
        <w:pStyle w:val="Compact"/>
        <w:numPr>
          <w:ilvl w:val="0"/>
          <w:numId w:val="1068"/>
        </w:numPr>
      </w:pPr>
      <w:r>
        <w:t xml:space="preserve">version;</w:t>
      </w:r>
    </w:p>
    <w:p>
      <w:pPr>
        <w:pStyle w:val="Compact"/>
        <w:numPr>
          <w:ilvl w:val="0"/>
          <w:numId w:val="1068"/>
        </w:numPr>
      </w:pPr>
      <w:r>
        <w:t xml:space="preserve">source lineage;</w:t>
      </w:r>
    </w:p>
    <w:p>
      <w:pPr>
        <w:pStyle w:val="Compact"/>
        <w:numPr>
          <w:ilvl w:val="0"/>
          <w:numId w:val="1068"/>
        </w:numPr>
      </w:pPr>
      <w:r>
        <w:t xml:space="preserve">computation timestamp;</w:t>
      </w:r>
    </w:p>
    <w:p>
      <w:pPr>
        <w:pStyle w:val="Compact"/>
        <w:numPr>
          <w:ilvl w:val="0"/>
          <w:numId w:val="1068"/>
        </w:numPr>
      </w:pPr>
      <w:r>
        <w:t xml:space="preserve">validity window;</w:t>
      </w:r>
    </w:p>
    <w:p>
      <w:pPr>
        <w:pStyle w:val="Compact"/>
        <w:numPr>
          <w:ilvl w:val="0"/>
          <w:numId w:val="1068"/>
        </w:numPr>
      </w:pPr>
      <w:r>
        <w:t xml:space="preserve">and tenant scope.</w:t>
      </w:r>
    </w:p>
    <w:p>
      <w:pPr>
        <w:pStyle w:val="FirstParagraph"/>
      </w:pPr>
      <w:r>
        <w:t xml:space="preserve">The requirement for a dedicated feature-store product will be validated during detailed design. The logical capability remains valid even if initially implemented within other data services.</w:t>
      </w:r>
    </w:p>
    <w:p>
      <w:r>
        <w:pict>
          <v:rect style="width:0;height:1.5pt" o:hralign="center" o:hrstd="t" o:hr="t"/>
        </w:pict>
      </w:r>
    </w:p>
    <w:bookmarkEnd w:id="100"/>
    <w:bookmarkStart w:id="101" w:name="cost-and-usage-metering"/>
    <w:p>
      <w:pPr>
        <w:pStyle w:val="Heading2"/>
      </w:pPr>
      <w:r>
        <w:t xml:space="preserve">2.11.10 Cost and Usage Metering</w:t>
      </w:r>
    </w:p>
    <w:p>
      <w:pPr>
        <w:pStyle w:val="FirstParagraph"/>
      </w:pPr>
      <w:r>
        <w:t xml:space="preserve">This service records resource consumption and supports cost governance.</w:t>
      </w:r>
    </w:p>
    <w:p>
      <w:pPr>
        <w:pStyle w:val="BodyText"/>
      </w:pPr>
      <w:r>
        <w:t xml:space="preserve">It tracks:</w:t>
      </w:r>
    </w:p>
    <w:p>
      <w:pPr>
        <w:pStyle w:val="Compact"/>
        <w:numPr>
          <w:ilvl w:val="0"/>
          <w:numId w:val="1069"/>
        </w:numPr>
      </w:pPr>
      <w:r>
        <w:t xml:space="preserve">model tokens;</w:t>
      </w:r>
    </w:p>
    <w:p>
      <w:pPr>
        <w:pStyle w:val="Compact"/>
        <w:numPr>
          <w:ilvl w:val="0"/>
          <w:numId w:val="1069"/>
        </w:numPr>
      </w:pPr>
      <w:r>
        <w:t xml:space="preserve">model requests;</w:t>
      </w:r>
    </w:p>
    <w:p>
      <w:pPr>
        <w:pStyle w:val="Compact"/>
        <w:numPr>
          <w:ilvl w:val="0"/>
          <w:numId w:val="1069"/>
        </w:numPr>
      </w:pPr>
      <w:r>
        <w:t xml:space="preserve">tool calls;</w:t>
      </w:r>
    </w:p>
    <w:p>
      <w:pPr>
        <w:pStyle w:val="Compact"/>
        <w:numPr>
          <w:ilvl w:val="0"/>
          <w:numId w:val="1069"/>
        </w:numPr>
      </w:pPr>
      <w:r>
        <w:t xml:space="preserve">connector usage;</w:t>
      </w:r>
    </w:p>
    <w:p>
      <w:pPr>
        <w:pStyle w:val="Compact"/>
        <w:numPr>
          <w:ilvl w:val="0"/>
          <w:numId w:val="1069"/>
        </w:numPr>
      </w:pPr>
      <w:r>
        <w:t xml:space="preserve">workflow runtime;</w:t>
      </w:r>
    </w:p>
    <w:p>
      <w:pPr>
        <w:pStyle w:val="Compact"/>
        <w:numPr>
          <w:ilvl w:val="0"/>
          <w:numId w:val="1069"/>
        </w:numPr>
      </w:pPr>
      <w:r>
        <w:t xml:space="preserve">storage consumption;</w:t>
      </w:r>
    </w:p>
    <w:p>
      <w:pPr>
        <w:pStyle w:val="Compact"/>
        <w:numPr>
          <w:ilvl w:val="0"/>
          <w:numId w:val="1069"/>
        </w:numPr>
      </w:pPr>
      <w:r>
        <w:t xml:space="preserve">tenant consumption;</w:t>
      </w:r>
    </w:p>
    <w:p>
      <w:pPr>
        <w:pStyle w:val="Compact"/>
        <w:numPr>
          <w:ilvl w:val="0"/>
          <w:numId w:val="1069"/>
        </w:numPr>
      </w:pPr>
      <w:r>
        <w:t xml:space="preserve">and possibly chargeback or subscription entitlements.</w:t>
      </w:r>
    </w:p>
    <w:p>
      <w:pPr>
        <w:pStyle w:val="FirstParagraph"/>
      </w:pPr>
      <w:r>
        <w:t xml:space="preserve">Cost controls may influence model routing, context size, scheduling, and execution budgets, but cost optimization must not bypass security or correctness requirements.</w:t>
      </w:r>
    </w:p>
    <w:p>
      <w:r>
        <w:pict>
          <v:rect style="width:0;height:1.5pt" o:hralign="center" o:hrstd="t" o:hr="t"/>
        </w:pict>
      </w:r>
    </w:p>
    <w:bookmarkEnd w:id="101"/>
    <w:bookmarkEnd w:id="102"/>
    <w:bookmarkStart w:id="109" w:name="data-layer"/>
    <w:p>
      <w:pPr>
        <w:pStyle w:val="Heading1"/>
      </w:pPr>
      <w:r>
        <w:t xml:space="preserve">2.12 Data Layer</w:t>
      </w:r>
    </w:p>
    <w:p>
      <w:pPr>
        <w:pStyle w:val="FirstParagraph"/>
      </w:pPr>
      <w:r>
        <w:t xml:space="preserve">The Data Layer contains logical stores optimized for different access patterns.</w:t>
      </w:r>
    </w:p>
    <w:p>
      <w:pPr>
        <w:pStyle w:val="BodyText"/>
      </w:pPr>
      <w:r>
        <w:t xml:space="preserve">The presence of multiple logical data stores does not require six independent database products in the first release.</w:t>
      </w:r>
    </w:p>
    <w:p>
      <w:pPr>
        <w:pStyle w:val="BodyText"/>
      </w:pPr>
      <w:r>
        <w:t xml:space="preserve">Initial implementations may consolidate stores where operationally appropriate. Data ownership and access contracts must still remain explicit.</w:t>
      </w:r>
    </w:p>
    <w:bookmarkStart w:id="103" w:name="operational-database"/>
    <w:p>
      <w:pPr>
        <w:pStyle w:val="Heading2"/>
      </w:pPr>
      <w:r>
        <w:t xml:space="preserve">2.12.1 Operational Database</w:t>
      </w:r>
    </w:p>
    <w:p>
      <w:pPr>
        <w:pStyle w:val="FirstParagraph"/>
      </w:pPr>
      <w:r>
        <w:t xml:space="preserve">The Operational Database is the transactional system of record for AccuSec control-plane state.</w:t>
      </w:r>
    </w:p>
    <w:p>
      <w:pPr>
        <w:pStyle w:val="BodyText"/>
      </w:pPr>
      <w:r>
        <w:t xml:space="preserve">It stores entities such as:</w:t>
      </w:r>
    </w:p>
    <w:p>
      <w:pPr>
        <w:pStyle w:val="Compact"/>
        <w:numPr>
          <w:ilvl w:val="0"/>
          <w:numId w:val="1070"/>
        </w:numPr>
      </w:pPr>
      <w:r>
        <w:t xml:space="preserve">tenants;</w:t>
      </w:r>
    </w:p>
    <w:p>
      <w:pPr>
        <w:pStyle w:val="Compact"/>
        <w:numPr>
          <w:ilvl w:val="0"/>
          <w:numId w:val="1070"/>
        </w:numPr>
      </w:pPr>
      <w:r>
        <w:t xml:space="preserve">workspaces;</w:t>
      </w:r>
    </w:p>
    <w:p>
      <w:pPr>
        <w:pStyle w:val="Compact"/>
        <w:numPr>
          <w:ilvl w:val="0"/>
          <w:numId w:val="1070"/>
        </w:numPr>
      </w:pPr>
      <w:r>
        <w:t xml:space="preserve">principals;</w:t>
      </w:r>
    </w:p>
    <w:p>
      <w:pPr>
        <w:pStyle w:val="Compact"/>
        <w:numPr>
          <w:ilvl w:val="0"/>
          <w:numId w:val="1070"/>
        </w:numPr>
      </w:pPr>
      <w:r>
        <w:t xml:space="preserve">endpoint registrations;</w:t>
      </w:r>
    </w:p>
    <w:p>
      <w:pPr>
        <w:pStyle w:val="Compact"/>
        <w:numPr>
          <w:ilvl w:val="0"/>
          <w:numId w:val="1070"/>
        </w:numPr>
      </w:pPr>
      <w:r>
        <w:t xml:space="preserve">agent definitions;</w:t>
      </w:r>
    </w:p>
    <w:p>
      <w:pPr>
        <w:pStyle w:val="Compact"/>
        <w:numPr>
          <w:ilvl w:val="0"/>
          <w:numId w:val="1070"/>
        </w:numPr>
      </w:pPr>
      <w:r>
        <w:t xml:space="preserve">skill registrations;</w:t>
      </w:r>
    </w:p>
    <w:p>
      <w:pPr>
        <w:pStyle w:val="Compact"/>
        <w:numPr>
          <w:ilvl w:val="0"/>
          <w:numId w:val="1070"/>
        </w:numPr>
      </w:pPr>
      <w:r>
        <w:t xml:space="preserve">workflow definitions;</w:t>
      </w:r>
    </w:p>
    <w:p>
      <w:pPr>
        <w:pStyle w:val="Compact"/>
        <w:numPr>
          <w:ilvl w:val="0"/>
          <w:numId w:val="1070"/>
        </w:numPr>
      </w:pPr>
      <w:r>
        <w:t xml:space="preserve">task state;</w:t>
      </w:r>
    </w:p>
    <w:p>
      <w:pPr>
        <w:pStyle w:val="Compact"/>
        <w:numPr>
          <w:ilvl w:val="0"/>
          <w:numId w:val="1070"/>
        </w:numPr>
      </w:pPr>
      <w:r>
        <w:t xml:space="preserve">approvals;</w:t>
      </w:r>
    </w:p>
    <w:p>
      <w:pPr>
        <w:pStyle w:val="Compact"/>
        <w:numPr>
          <w:ilvl w:val="0"/>
          <w:numId w:val="1070"/>
        </w:numPr>
      </w:pPr>
      <w:r>
        <w:t xml:space="preserve">policy references;</w:t>
      </w:r>
    </w:p>
    <w:p>
      <w:pPr>
        <w:pStyle w:val="Compact"/>
        <w:numPr>
          <w:ilvl w:val="0"/>
          <w:numId w:val="1070"/>
        </w:numPr>
      </w:pPr>
      <w:r>
        <w:t xml:space="preserve">connector configuration;</w:t>
      </w:r>
    </w:p>
    <w:p>
      <w:pPr>
        <w:pStyle w:val="Compact"/>
        <w:numPr>
          <w:ilvl w:val="0"/>
          <w:numId w:val="1070"/>
        </w:numPr>
      </w:pPr>
      <w:r>
        <w:t xml:space="preserve">schedules;</w:t>
      </w:r>
    </w:p>
    <w:p>
      <w:pPr>
        <w:pStyle w:val="Compact"/>
        <w:numPr>
          <w:ilvl w:val="0"/>
          <w:numId w:val="1070"/>
        </w:numPr>
      </w:pPr>
      <w:r>
        <w:t xml:space="preserve">execution metadata;</w:t>
      </w:r>
    </w:p>
    <w:p>
      <w:pPr>
        <w:pStyle w:val="Compact"/>
        <w:numPr>
          <w:ilvl w:val="0"/>
          <w:numId w:val="1070"/>
        </w:numPr>
      </w:pPr>
      <w:r>
        <w:t xml:space="preserve">and configuration versions.</w:t>
      </w:r>
    </w:p>
    <w:p>
      <w:pPr>
        <w:pStyle w:val="FirstParagraph"/>
      </w:pPr>
      <w:r>
        <w:t xml:space="preserve">PostgreSQL is a likely implementation choice.</w:t>
      </w:r>
    </w:p>
    <w:p>
      <w:pPr>
        <w:pStyle w:val="BodyText"/>
      </w:pPr>
      <w:r>
        <w:t xml:space="preserve">The Operational Database must not become the primary store for high-volume metrics or large binary artifacts.</w:t>
      </w:r>
    </w:p>
    <w:p>
      <w:r>
        <w:pict>
          <v:rect style="width:0;height:1.5pt" o:hralign="center" o:hrstd="t" o:hr="t"/>
        </w:pict>
      </w:r>
    </w:p>
    <w:bookmarkEnd w:id="103"/>
    <w:bookmarkStart w:id="104" w:name="vector-database"/>
    <w:p>
      <w:pPr>
        <w:pStyle w:val="Heading2"/>
      </w:pPr>
      <w:r>
        <w:t xml:space="preserve">2.12.2 Vector Database</w:t>
      </w:r>
    </w:p>
    <w:p>
      <w:pPr>
        <w:pStyle w:val="FirstParagraph"/>
      </w:pPr>
      <w:r>
        <w:t xml:space="preserve">The Vector Database supports semantic retrieval.</w:t>
      </w:r>
    </w:p>
    <w:p>
      <w:pPr>
        <w:pStyle w:val="BodyText"/>
      </w:pPr>
      <w:r>
        <w:t xml:space="preserve">Potential contents include embeddings for:</w:t>
      </w:r>
    </w:p>
    <w:p>
      <w:pPr>
        <w:pStyle w:val="Compact"/>
        <w:numPr>
          <w:ilvl w:val="0"/>
          <w:numId w:val="1071"/>
        </w:numPr>
      </w:pPr>
      <w:r>
        <w:t xml:space="preserve">documents;</w:t>
      </w:r>
    </w:p>
    <w:p>
      <w:pPr>
        <w:pStyle w:val="Compact"/>
        <w:numPr>
          <w:ilvl w:val="0"/>
          <w:numId w:val="1071"/>
        </w:numPr>
      </w:pPr>
      <w:r>
        <w:t xml:space="preserve">runbooks;</w:t>
      </w:r>
    </w:p>
    <w:p>
      <w:pPr>
        <w:pStyle w:val="Compact"/>
        <w:numPr>
          <w:ilvl w:val="0"/>
          <w:numId w:val="1071"/>
        </w:numPr>
      </w:pPr>
      <w:r>
        <w:t xml:space="preserve">normalized incidents;</w:t>
      </w:r>
    </w:p>
    <w:p>
      <w:pPr>
        <w:pStyle w:val="Compact"/>
        <w:numPr>
          <w:ilvl w:val="0"/>
          <w:numId w:val="1071"/>
        </w:numPr>
      </w:pPr>
      <w:r>
        <w:t xml:space="preserve">validated operational knowledge;</w:t>
      </w:r>
    </w:p>
    <w:p>
      <w:pPr>
        <w:pStyle w:val="Compact"/>
        <w:numPr>
          <w:ilvl w:val="0"/>
          <w:numId w:val="1071"/>
        </w:numPr>
      </w:pPr>
      <w:r>
        <w:t xml:space="preserve">skill descriptions;</w:t>
      </w:r>
    </w:p>
    <w:p>
      <w:pPr>
        <w:pStyle w:val="Compact"/>
        <w:numPr>
          <w:ilvl w:val="0"/>
          <w:numId w:val="1071"/>
        </w:numPr>
      </w:pPr>
      <w:r>
        <w:t xml:space="preserve">tool descriptions;</w:t>
      </w:r>
    </w:p>
    <w:p>
      <w:pPr>
        <w:pStyle w:val="Compact"/>
        <w:numPr>
          <w:ilvl w:val="0"/>
          <w:numId w:val="1071"/>
        </w:numPr>
      </w:pPr>
      <w:r>
        <w:t xml:space="preserve">and selected execution history.</w:t>
      </w:r>
    </w:p>
    <w:p>
      <w:pPr>
        <w:pStyle w:val="FirstParagraph"/>
      </w:pPr>
      <w:r>
        <w:t xml:space="preserve">The vector store is an index, not the authoritative source.</w:t>
      </w:r>
    </w:p>
    <w:p>
      <w:pPr>
        <w:pStyle w:val="BodyText"/>
      </w:pPr>
      <w:r>
        <w:t xml:space="preserve">Each vector record must refer back to an authoritative source object and preserve tenant, authorization, classification, version, and provenance metadata.</w:t>
      </w:r>
    </w:p>
    <w:p>
      <w:r>
        <w:pict>
          <v:rect style="width:0;height:1.5pt" o:hralign="center" o:hrstd="t" o:hr="t"/>
        </w:pict>
      </w:r>
    </w:p>
    <w:bookmarkEnd w:id="104"/>
    <w:bookmarkStart w:id="105" w:name="time-series-database"/>
    <w:p>
      <w:pPr>
        <w:pStyle w:val="Heading2"/>
      </w:pPr>
      <w:r>
        <w:t xml:space="preserve">2.12.3 Time-Series Database</w:t>
      </w:r>
    </w:p>
    <w:p>
      <w:pPr>
        <w:pStyle w:val="FirstParagraph"/>
      </w:pPr>
      <w:r>
        <w:t xml:space="preserve">The Time-Series Database stores high-volume, time-indexed operational measurements.</w:t>
      </w:r>
    </w:p>
    <w:p>
      <w:pPr>
        <w:pStyle w:val="BodyText"/>
      </w:pPr>
      <w:r>
        <w:t xml:space="preserve">Examples:</w:t>
      </w:r>
    </w:p>
    <w:p>
      <w:pPr>
        <w:pStyle w:val="Compact"/>
        <w:numPr>
          <w:ilvl w:val="0"/>
          <w:numId w:val="1072"/>
        </w:numPr>
      </w:pPr>
      <w:r>
        <w:t xml:space="preserve">infrastructure metrics;</w:t>
      </w:r>
    </w:p>
    <w:p>
      <w:pPr>
        <w:pStyle w:val="Compact"/>
        <w:numPr>
          <w:ilvl w:val="0"/>
          <w:numId w:val="1072"/>
        </w:numPr>
      </w:pPr>
      <w:r>
        <w:t xml:space="preserve">model latency;</w:t>
      </w:r>
    </w:p>
    <w:p>
      <w:pPr>
        <w:pStyle w:val="Compact"/>
        <w:numPr>
          <w:ilvl w:val="0"/>
          <w:numId w:val="1072"/>
        </w:numPr>
      </w:pPr>
      <w:r>
        <w:t xml:space="preserve">workflow latency;</w:t>
      </w:r>
    </w:p>
    <w:p>
      <w:pPr>
        <w:pStyle w:val="Compact"/>
        <w:numPr>
          <w:ilvl w:val="0"/>
          <w:numId w:val="1072"/>
        </w:numPr>
      </w:pPr>
      <w:r>
        <w:t xml:space="preserve">task counts;</w:t>
      </w:r>
    </w:p>
    <w:p>
      <w:pPr>
        <w:pStyle w:val="Compact"/>
        <w:numPr>
          <w:ilvl w:val="0"/>
          <w:numId w:val="1072"/>
        </w:numPr>
      </w:pPr>
      <w:r>
        <w:t xml:space="preserve">resource utilization;</w:t>
      </w:r>
    </w:p>
    <w:p>
      <w:pPr>
        <w:pStyle w:val="Compact"/>
        <w:numPr>
          <w:ilvl w:val="0"/>
          <w:numId w:val="1072"/>
        </w:numPr>
      </w:pPr>
      <w:r>
        <w:t xml:space="preserve">health signals;</w:t>
      </w:r>
    </w:p>
    <w:p>
      <w:pPr>
        <w:pStyle w:val="Compact"/>
        <w:numPr>
          <w:ilvl w:val="0"/>
          <w:numId w:val="1072"/>
        </w:numPr>
      </w:pPr>
      <w:r>
        <w:t xml:space="preserve">and performance trends.</w:t>
      </w:r>
    </w:p>
    <w:p>
      <w:pPr>
        <w:pStyle w:val="FirstParagraph"/>
      </w:pPr>
      <w:r>
        <w:t xml:space="preserve">Potential implementations include ClickHouse, TimescaleDB, or integration with customer observability systems.</w:t>
      </w:r>
    </w:p>
    <w:p>
      <w:pPr>
        <w:pStyle w:val="BodyText"/>
      </w:pPr>
      <w:r>
        <w:t xml:space="preserve">The architecture must avoid indiscriminately copying all customer telemetry into AccuSec. Retention and ingestion scope should be driven by required use cases.</w:t>
      </w:r>
    </w:p>
    <w:p>
      <w:r>
        <w:pict>
          <v:rect style="width:0;height:1.5pt" o:hralign="center" o:hrstd="t" o:hr="t"/>
        </w:pict>
      </w:r>
    </w:p>
    <w:bookmarkEnd w:id="105"/>
    <w:bookmarkStart w:id="106" w:name="graph-database"/>
    <w:p>
      <w:pPr>
        <w:pStyle w:val="Heading2"/>
      </w:pPr>
      <w:r>
        <w:t xml:space="preserve">2.12.4 Graph Database</w:t>
      </w:r>
    </w:p>
    <w:p>
      <w:pPr>
        <w:pStyle w:val="FirstParagraph"/>
      </w:pPr>
      <w:r>
        <w:t xml:space="preserve">The Graph Database represents entity relationships and topology.</w:t>
      </w:r>
    </w:p>
    <w:p>
      <w:pPr>
        <w:pStyle w:val="BodyText"/>
      </w:pPr>
      <w:r>
        <w:t xml:space="preserve">Potential relationships include:</w:t>
      </w:r>
    </w:p>
    <w:p>
      <w:pPr>
        <w:pStyle w:val="Compact"/>
        <w:numPr>
          <w:ilvl w:val="0"/>
          <w:numId w:val="1073"/>
        </w:numPr>
      </w:pPr>
      <w:r>
        <w:t xml:space="preserve">VM runs on host;</w:t>
      </w:r>
    </w:p>
    <w:p>
      <w:pPr>
        <w:pStyle w:val="Compact"/>
        <w:numPr>
          <w:ilvl w:val="0"/>
          <w:numId w:val="1073"/>
        </w:numPr>
      </w:pPr>
      <w:r>
        <w:t xml:space="preserve">host belongs to cluster;</w:t>
      </w:r>
    </w:p>
    <w:p>
      <w:pPr>
        <w:pStyle w:val="Compact"/>
        <w:numPr>
          <w:ilvl w:val="0"/>
          <w:numId w:val="1073"/>
        </w:numPr>
      </w:pPr>
      <w:r>
        <w:t xml:space="preserve">cluster belongs to site;</w:t>
      </w:r>
    </w:p>
    <w:p>
      <w:pPr>
        <w:pStyle w:val="Compact"/>
        <w:numPr>
          <w:ilvl w:val="0"/>
          <w:numId w:val="1073"/>
        </w:numPr>
      </w:pPr>
      <w:r>
        <w:t xml:space="preserve">workload depends on database;</w:t>
      </w:r>
    </w:p>
    <w:p>
      <w:pPr>
        <w:pStyle w:val="Compact"/>
        <w:numPr>
          <w:ilvl w:val="0"/>
          <w:numId w:val="1073"/>
        </w:numPr>
      </w:pPr>
      <w:r>
        <w:t xml:space="preserve">datastore serves cluster;</w:t>
      </w:r>
    </w:p>
    <w:p>
      <w:pPr>
        <w:pStyle w:val="Compact"/>
        <w:numPr>
          <w:ilvl w:val="0"/>
          <w:numId w:val="1073"/>
        </w:numPr>
      </w:pPr>
      <w:r>
        <w:t xml:space="preserve">alert affects resource;</w:t>
      </w:r>
    </w:p>
    <w:p>
      <w:pPr>
        <w:pStyle w:val="Compact"/>
        <w:numPr>
          <w:ilvl w:val="0"/>
          <w:numId w:val="1073"/>
        </w:numPr>
      </w:pPr>
      <w:r>
        <w:t xml:space="preserve">change modified resource;</w:t>
      </w:r>
    </w:p>
    <w:p>
      <w:pPr>
        <w:pStyle w:val="Compact"/>
        <w:numPr>
          <w:ilvl w:val="0"/>
          <w:numId w:val="1073"/>
        </w:numPr>
      </w:pPr>
      <w:r>
        <w:t xml:space="preserve">policy applies to resource;</w:t>
      </w:r>
    </w:p>
    <w:p>
      <w:pPr>
        <w:pStyle w:val="Compact"/>
        <w:numPr>
          <w:ilvl w:val="0"/>
          <w:numId w:val="1073"/>
        </w:numPr>
      </w:pPr>
      <w:r>
        <w:t xml:space="preserve">and user administers environment.</w:t>
      </w:r>
    </w:p>
    <w:p>
      <w:pPr>
        <w:pStyle w:val="FirstParagraph"/>
      </w:pPr>
      <w:r>
        <w:t xml:space="preserve">Neo4j or an equivalent graph capability may be used, but a dedicated graph database is an implementation decision.</w:t>
      </w:r>
    </w:p>
    <w:p>
      <w:pPr>
        <w:pStyle w:val="BodyText"/>
      </w:pPr>
      <w:r>
        <w:t xml:space="preserve">The Operational Context Service owns the logical topology model.</w:t>
      </w:r>
    </w:p>
    <w:p>
      <w:r>
        <w:pict>
          <v:rect style="width:0;height:1.5pt" o:hralign="center" o:hrstd="t" o:hr="t"/>
        </w:pict>
      </w:r>
    </w:p>
    <w:bookmarkEnd w:id="106"/>
    <w:bookmarkStart w:id="107" w:name="object-storage"/>
    <w:p>
      <w:pPr>
        <w:pStyle w:val="Heading2"/>
      </w:pPr>
      <w:r>
        <w:t xml:space="preserve">2.12.5 Object Storage</w:t>
      </w:r>
    </w:p>
    <w:p>
      <w:pPr>
        <w:pStyle w:val="FirstParagraph"/>
      </w:pPr>
      <w:r>
        <w:t xml:space="preserve">Object Storage maintains large or immutable artifacts such as:</w:t>
      </w:r>
    </w:p>
    <w:p>
      <w:pPr>
        <w:pStyle w:val="Compact"/>
        <w:numPr>
          <w:ilvl w:val="0"/>
          <w:numId w:val="1074"/>
        </w:numPr>
      </w:pPr>
      <w:r>
        <w:t xml:space="preserve">documents;</w:t>
      </w:r>
    </w:p>
    <w:p>
      <w:pPr>
        <w:pStyle w:val="Compact"/>
        <w:numPr>
          <w:ilvl w:val="0"/>
          <w:numId w:val="1074"/>
        </w:numPr>
      </w:pPr>
      <w:r>
        <w:t xml:space="preserve">evidence packages;</w:t>
      </w:r>
    </w:p>
    <w:p>
      <w:pPr>
        <w:pStyle w:val="Compact"/>
        <w:numPr>
          <w:ilvl w:val="0"/>
          <w:numId w:val="1074"/>
        </w:numPr>
      </w:pPr>
      <w:r>
        <w:t xml:space="preserve">exported reports;</w:t>
      </w:r>
    </w:p>
    <w:p>
      <w:pPr>
        <w:pStyle w:val="Compact"/>
        <w:numPr>
          <w:ilvl w:val="0"/>
          <w:numId w:val="1074"/>
        </w:numPr>
      </w:pPr>
      <w:r>
        <w:t xml:space="preserve">workflow artifacts;</w:t>
      </w:r>
    </w:p>
    <w:p>
      <w:pPr>
        <w:pStyle w:val="Compact"/>
        <w:numPr>
          <w:ilvl w:val="0"/>
          <w:numId w:val="1074"/>
        </w:numPr>
      </w:pPr>
      <w:r>
        <w:t xml:space="preserve">model inputs or outputs permitted for retention;</w:t>
      </w:r>
    </w:p>
    <w:p>
      <w:pPr>
        <w:pStyle w:val="Compact"/>
        <w:numPr>
          <w:ilvl w:val="0"/>
          <w:numId w:val="1074"/>
        </w:numPr>
      </w:pPr>
      <w:r>
        <w:t xml:space="preserve">large connector payloads;</w:t>
      </w:r>
    </w:p>
    <w:p>
      <w:pPr>
        <w:pStyle w:val="Compact"/>
        <w:numPr>
          <w:ilvl w:val="0"/>
          <w:numId w:val="1074"/>
        </w:numPr>
      </w:pPr>
      <w:r>
        <w:t xml:space="preserve">diagnostic bundles;</w:t>
      </w:r>
    </w:p>
    <w:p>
      <w:pPr>
        <w:pStyle w:val="Compact"/>
        <w:numPr>
          <w:ilvl w:val="0"/>
          <w:numId w:val="1074"/>
        </w:numPr>
      </w:pPr>
      <w:r>
        <w:t xml:space="preserve">and audit archives.</w:t>
      </w:r>
    </w:p>
    <w:p>
      <w:pPr>
        <w:pStyle w:val="FirstParagraph"/>
      </w:pPr>
      <w:r>
        <w:t xml:space="preserve">Objects must be encrypted and tenant-scoped.</w:t>
      </w:r>
    </w:p>
    <w:p>
      <w:pPr>
        <w:pStyle w:val="BodyText"/>
      </w:pPr>
      <w:r>
        <w:t xml:space="preserve">Metadata and authorization references should be maintained in the appropriate control-plane store.</w:t>
      </w:r>
    </w:p>
    <w:p>
      <w:r>
        <w:pict>
          <v:rect style="width:0;height:1.5pt" o:hralign="center" o:hrstd="t" o:hr="t"/>
        </w:pict>
      </w:r>
    </w:p>
    <w:bookmarkEnd w:id="107"/>
    <w:bookmarkStart w:id="108" w:name="cache"/>
    <w:p>
      <w:pPr>
        <w:pStyle w:val="Heading2"/>
      </w:pPr>
      <w:r>
        <w:t xml:space="preserve">2.12.6 Cache</w:t>
      </w:r>
    </w:p>
    <w:p>
      <w:pPr>
        <w:pStyle w:val="FirstParagraph"/>
      </w:pPr>
      <w:r>
        <w:t xml:space="preserve">The Cache supports low-latency, ephemeral access.</w:t>
      </w:r>
    </w:p>
    <w:p>
      <w:pPr>
        <w:pStyle w:val="BodyText"/>
      </w:pPr>
      <w:r>
        <w:t xml:space="preserve">Potential uses include:</w:t>
      </w:r>
    </w:p>
    <w:p>
      <w:pPr>
        <w:pStyle w:val="Compact"/>
        <w:numPr>
          <w:ilvl w:val="0"/>
          <w:numId w:val="1075"/>
        </w:numPr>
      </w:pPr>
      <w:r>
        <w:t xml:space="preserve">session data;</w:t>
      </w:r>
    </w:p>
    <w:p>
      <w:pPr>
        <w:pStyle w:val="Compact"/>
        <w:numPr>
          <w:ilvl w:val="0"/>
          <w:numId w:val="1075"/>
        </w:numPr>
      </w:pPr>
      <w:r>
        <w:t xml:space="preserve">short-lived context;</w:t>
      </w:r>
    </w:p>
    <w:p>
      <w:pPr>
        <w:pStyle w:val="Compact"/>
        <w:numPr>
          <w:ilvl w:val="0"/>
          <w:numId w:val="1075"/>
        </w:numPr>
      </w:pPr>
      <w:r>
        <w:t xml:space="preserve">rate-limit counters;</w:t>
      </w:r>
    </w:p>
    <w:p>
      <w:pPr>
        <w:pStyle w:val="Compact"/>
        <w:numPr>
          <w:ilvl w:val="0"/>
          <w:numId w:val="1075"/>
        </w:numPr>
      </w:pPr>
      <w:r>
        <w:t xml:space="preserve">distributed locks;</w:t>
      </w:r>
    </w:p>
    <w:p>
      <w:pPr>
        <w:pStyle w:val="Compact"/>
        <w:numPr>
          <w:ilvl w:val="0"/>
          <w:numId w:val="1075"/>
        </w:numPr>
      </w:pPr>
      <w:r>
        <w:t xml:space="preserve">temporary capability metadata;</w:t>
      </w:r>
    </w:p>
    <w:p>
      <w:pPr>
        <w:pStyle w:val="Compact"/>
        <w:numPr>
          <w:ilvl w:val="0"/>
          <w:numId w:val="1075"/>
        </w:numPr>
      </w:pPr>
      <w:r>
        <w:t xml:space="preserve">workflow leases;</w:t>
      </w:r>
    </w:p>
    <w:p>
      <w:pPr>
        <w:pStyle w:val="Compact"/>
        <w:numPr>
          <w:ilvl w:val="0"/>
          <w:numId w:val="1075"/>
        </w:numPr>
      </w:pPr>
      <w:r>
        <w:t xml:space="preserve">and response caching.</w:t>
      </w:r>
    </w:p>
    <w:p>
      <w:pPr>
        <w:pStyle w:val="FirstParagraph"/>
      </w:pPr>
      <w:r>
        <w:t xml:space="preserve">Redis is a likely implementation.</w:t>
      </w:r>
    </w:p>
    <w:p>
      <w:pPr>
        <w:pStyle w:val="BodyText"/>
      </w:pPr>
      <w:r>
        <w:t xml:space="preserve">The cache must not be the only store for durable workflow state, approvals, audit records, or authoritative configuration.</w:t>
      </w:r>
    </w:p>
    <w:p>
      <w:r>
        <w:pict>
          <v:rect style="width:0;height:1.5pt" o:hralign="center" o:hrstd="t" o:hr="t"/>
        </w:pict>
      </w:r>
    </w:p>
    <w:bookmarkEnd w:id="108"/>
    <w:bookmarkEnd w:id="109"/>
    <w:bookmarkStart w:id="118" w:name="integration-and-connectivity-layer"/>
    <w:p>
      <w:pPr>
        <w:pStyle w:val="Heading1"/>
      </w:pPr>
      <w:r>
        <w:t xml:space="preserve">2.13 Integration and Connectivity Layer</w:t>
      </w:r>
    </w:p>
    <w:p>
      <w:pPr>
        <w:pStyle w:val="FirstParagraph"/>
      </w:pPr>
      <w:r>
        <w:t xml:space="preserve">The Integration and Connectivity Layer exposes controlled communication mechanisms within AccuSec and between AccuSec and external systems.</w:t>
      </w:r>
    </w:p>
    <w:bookmarkStart w:id="110" w:name="mcp-server-registry"/>
    <w:p>
      <w:pPr>
        <w:pStyle w:val="Heading2"/>
      </w:pPr>
      <w:r>
        <w:t xml:space="preserve">2.13.1 MCP Server Registry</w:t>
      </w:r>
    </w:p>
    <w:p>
      <w:pPr>
        <w:pStyle w:val="FirstParagraph"/>
      </w:pPr>
      <w:r>
        <w:t xml:space="preserve">The MCP Server Registry maintains the approved catalog of MCP servers and their capabilities.</w:t>
      </w:r>
    </w:p>
    <w:p>
      <w:pPr>
        <w:pStyle w:val="BodyText"/>
      </w:pPr>
      <w:r>
        <w:t xml:space="preserve">It records:</w:t>
      </w:r>
    </w:p>
    <w:p>
      <w:pPr>
        <w:pStyle w:val="Compact"/>
        <w:numPr>
          <w:ilvl w:val="0"/>
          <w:numId w:val="1076"/>
        </w:numPr>
      </w:pPr>
      <w:r>
        <w:t xml:space="preserve">server identity;</w:t>
      </w:r>
    </w:p>
    <w:p>
      <w:pPr>
        <w:pStyle w:val="Compact"/>
        <w:numPr>
          <w:ilvl w:val="0"/>
          <w:numId w:val="1076"/>
        </w:numPr>
      </w:pPr>
      <w:r>
        <w:t xml:space="preserve">ownership;</w:t>
      </w:r>
    </w:p>
    <w:p>
      <w:pPr>
        <w:pStyle w:val="Compact"/>
        <w:numPr>
          <w:ilvl w:val="0"/>
          <w:numId w:val="1076"/>
        </w:numPr>
      </w:pPr>
      <w:r>
        <w:t xml:space="preserve">tenant availability;</w:t>
      </w:r>
    </w:p>
    <w:p>
      <w:pPr>
        <w:pStyle w:val="Compact"/>
        <w:numPr>
          <w:ilvl w:val="0"/>
          <w:numId w:val="1076"/>
        </w:numPr>
      </w:pPr>
      <w:r>
        <w:t xml:space="preserve">endpoint;</w:t>
      </w:r>
    </w:p>
    <w:p>
      <w:pPr>
        <w:pStyle w:val="Compact"/>
        <w:numPr>
          <w:ilvl w:val="0"/>
          <w:numId w:val="1076"/>
        </w:numPr>
      </w:pPr>
      <w:r>
        <w:t xml:space="preserve">transport;</w:t>
      </w:r>
    </w:p>
    <w:p>
      <w:pPr>
        <w:pStyle w:val="Compact"/>
        <w:numPr>
          <w:ilvl w:val="0"/>
          <w:numId w:val="1076"/>
        </w:numPr>
      </w:pPr>
      <w:r>
        <w:t xml:space="preserve">authentication method;</w:t>
      </w:r>
    </w:p>
    <w:p>
      <w:pPr>
        <w:pStyle w:val="Compact"/>
        <w:numPr>
          <w:ilvl w:val="0"/>
          <w:numId w:val="1076"/>
        </w:numPr>
      </w:pPr>
      <w:r>
        <w:t xml:space="preserve">trust level;</w:t>
      </w:r>
    </w:p>
    <w:p>
      <w:pPr>
        <w:pStyle w:val="Compact"/>
        <w:numPr>
          <w:ilvl w:val="0"/>
          <w:numId w:val="1076"/>
        </w:numPr>
      </w:pPr>
      <w:r>
        <w:t xml:space="preserve">advertised capabilities;</w:t>
      </w:r>
    </w:p>
    <w:p>
      <w:pPr>
        <w:pStyle w:val="Compact"/>
        <w:numPr>
          <w:ilvl w:val="0"/>
          <w:numId w:val="1076"/>
        </w:numPr>
      </w:pPr>
      <w:r>
        <w:t xml:space="preserve">approved capabilities;</w:t>
      </w:r>
    </w:p>
    <w:p>
      <w:pPr>
        <w:pStyle w:val="Compact"/>
        <w:numPr>
          <w:ilvl w:val="0"/>
          <w:numId w:val="1076"/>
        </w:numPr>
      </w:pPr>
      <w:r>
        <w:t xml:space="preserve">schema versions;</w:t>
      </w:r>
    </w:p>
    <w:p>
      <w:pPr>
        <w:pStyle w:val="Compact"/>
        <w:numPr>
          <w:ilvl w:val="0"/>
          <w:numId w:val="1076"/>
        </w:numPr>
      </w:pPr>
      <w:r>
        <w:t xml:space="preserve">health;</w:t>
      </w:r>
    </w:p>
    <w:p>
      <w:pPr>
        <w:pStyle w:val="Compact"/>
        <w:numPr>
          <w:ilvl w:val="0"/>
          <w:numId w:val="1076"/>
        </w:numPr>
      </w:pPr>
      <w:r>
        <w:t xml:space="preserve">and policy restrictions.</w:t>
      </w:r>
    </w:p>
    <w:p>
      <w:pPr>
        <w:pStyle w:val="FirstParagraph"/>
      </w:pPr>
      <w:r>
        <w:t xml:space="preserve">The registry separates capability discovery from capability approval.</w:t>
      </w:r>
    </w:p>
    <w:p>
      <w:r>
        <w:pict>
          <v:rect style="width:0;height:1.5pt" o:hralign="center" o:hrstd="t" o:hr="t"/>
        </w:pict>
      </w:r>
    </w:p>
    <w:bookmarkEnd w:id="110"/>
    <w:bookmarkStart w:id="112" w:name="api-gateway"/>
    <w:p>
      <w:pPr>
        <w:pStyle w:val="Heading2"/>
      </w:pPr>
      <w:r>
        <w:t xml:space="preserve">2.13.2 API Gateway</w:t>
      </w:r>
    </w:p>
    <w:p>
      <w:pPr>
        <w:pStyle w:val="FirstParagraph"/>
      </w:pPr>
      <w:r>
        <w:t xml:space="preserve">The API Gateway provides the managed entry point for synchronous platform APIs.</w:t>
      </w:r>
    </w:p>
    <w:bookmarkStart w:id="111" w:name="responsibilities-16"/>
    <w:p>
      <w:pPr>
        <w:pStyle w:val="Heading3"/>
      </w:pPr>
      <w:r>
        <w:t xml:space="preserve">Responsibilities</w:t>
      </w:r>
    </w:p>
    <w:p>
      <w:pPr>
        <w:pStyle w:val="Compact"/>
        <w:numPr>
          <w:ilvl w:val="0"/>
          <w:numId w:val="1077"/>
        </w:numPr>
      </w:pPr>
      <w:r>
        <w:t xml:space="preserve">authentication;</w:t>
      </w:r>
    </w:p>
    <w:p>
      <w:pPr>
        <w:pStyle w:val="Compact"/>
        <w:numPr>
          <w:ilvl w:val="0"/>
          <w:numId w:val="1077"/>
        </w:numPr>
      </w:pPr>
      <w:r>
        <w:t xml:space="preserve">token validation;</w:t>
      </w:r>
    </w:p>
    <w:p>
      <w:pPr>
        <w:pStyle w:val="Compact"/>
        <w:numPr>
          <w:ilvl w:val="0"/>
          <w:numId w:val="1077"/>
        </w:numPr>
      </w:pPr>
      <w:r>
        <w:t xml:space="preserve">tenant resolution;</w:t>
      </w:r>
    </w:p>
    <w:p>
      <w:pPr>
        <w:pStyle w:val="Compact"/>
        <w:numPr>
          <w:ilvl w:val="0"/>
          <w:numId w:val="1077"/>
        </w:numPr>
      </w:pPr>
      <w:r>
        <w:t xml:space="preserve">routing;</w:t>
      </w:r>
    </w:p>
    <w:p>
      <w:pPr>
        <w:pStyle w:val="Compact"/>
        <w:numPr>
          <w:ilvl w:val="0"/>
          <w:numId w:val="1077"/>
        </w:numPr>
      </w:pPr>
      <w:r>
        <w:t xml:space="preserve">request limits;</w:t>
      </w:r>
    </w:p>
    <w:p>
      <w:pPr>
        <w:pStyle w:val="Compact"/>
        <w:numPr>
          <w:ilvl w:val="0"/>
          <w:numId w:val="1077"/>
        </w:numPr>
      </w:pPr>
      <w:r>
        <w:t xml:space="preserve">payload limits;</w:t>
      </w:r>
    </w:p>
    <w:p>
      <w:pPr>
        <w:pStyle w:val="Compact"/>
        <w:numPr>
          <w:ilvl w:val="0"/>
          <w:numId w:val="1077"/>
        </w:numPr>
      </w:pPr>
      <w:r>
        <w:t xml:space="preserve">API versioning;</w:t>
      </w:r>
    </w:p>
    <w:p>
      <w:pPr>
        <w:pStyle w:val="Compact"/>
        <w:numPr>
          <w:ilvl w:val="0"/>
          <w:numId w:val="1077"/>
        </w:numPr>
      </w:pPr>
      <w:r>
        <w:t xml:space="preserve">request correlation;</w:t>
      </w:r>
    </w:p>
    <w:p>
      <w:pPr>
        <w:pStyle w:val="Compact"/>
        <w:numPr>
          <w:ilvl w:val="0"/>
          <w:numId w:val="1077"/>
        </w:numPr>
      </w:pPr>
      <w:r>
        <w:t xml:space="preserve">schema validation;</w:t>
      </w:r>
    </w:p>
    <w:p>
      <w:pPr>
        <w:pStyle w:val="Compact"/>
        <w:numPr>
          <w:ilvl w:val="0"/>
          <w:numId w:val="1077"/>
        </w:numPr>
      </w:pPr>
      <w:r>
        <w:t xml:space="preserve">and edge telemetry.</w:t>
      </w:r>
    </w:p>
    <w:p>
      <w:pPr>
        <w:pStyle w:val="FirstParagraph"/>
      </w:pPr>
      <w:r>
        <w:t xml:space="preserve">The API Gateway performs coarse-grained enforcement. Domain services and the Policy and Guardrails service remain responsible for fine-grained authorization.</w:t>
      </w:r>
    </w:p>
    <w:p>
      <w:r>
        <w:pict>
          <v:rect style="width:0;height:1.5pt" o:hralign="center" o:hrstd="t" o:hr="t"/>
        </w:pict>
      </w:r>
    </w:p>
    <w:bookmarkEnd w:id="111"/>
    <w:bookmarkEnd w:id="112"/>
    <w:bookmarkStart w:id="113" w:name="event-bus"/>
    <w:p>
      <w:pPr>
        <w:pStyle w:val="Heading2"/>
      </w:pPr>
      <w:r>
        <w:t xml:space="preserve">2.13.3 Event Bus</w:t>
      </w:r>
    </w:p>
    <w:p>
      <w:pPr>
        <w:pStyle w:val="FirstParagraph"/>
      </w:pPr>
      <w:r>
        <w:t xml:space="preserve">The Event Bus distributes domain events to multiple consumers.</w:t>
      </w:r>
    </w:p>
    <w:p>
      <w:pPr>
        <w:pStyle w:val="BodyText"/>
      </w:pPr>
      <w:r>
        <w:t xml:space="preserve">Appropriate event types include:</w:t>
      </w:r>
    </w:p>
    <w:p>
      <w:pPr>
        <w:pStyle w:val="Compact"/>
        <w:numPr>
          <w:ilvl w:val="0"/>
          <w:numId w:val="1078"/>
        </w:numPr>
      </w:pPr>
      <w:r>
        <w:t xml:space="preserve">inventory changed;</w:t>
      </w:r>
    </w:p>
    <w:p>
      <w:pPr>
        <w:pStyle w:val="Compact"/>
        <w:numPr>
          <w:ilvl w:val="0"/>
          <w:numId w:val="1078"/>
        </w:numPr>
      </w:pPr>
      <w:r>
        <w:t xml:space="preserve">alert received;</w:t>
      </w:r>
    </w:p>
    <w:p>
      <w:pPr>
        <w:pStyle w:val="Compact"/>
        <w:numPr>
          <w:ilvl w:val="0"/>
          <w:numId w:val="1078"/>
        </w:numPr>
      </w:pPr>
      <w:r>
        <w:t xml:space="preserve">task state changed;</w:t>
      </w:r>
    </w:p>
    <w:p>
      <w:pPr>
        <w:pStyle w:val="Compact"/>
        <w:numPr>
          <w:ilvl w:val="0"/>
          <w:numId w:val="1078"/>
        </w:numPr>
      </w:pPr>
      <w:r>
        <w:t xml:space="preserve">approval granted;</w:t>
      </w:r>
    </w:p>
    <w:p>
      <w:pPr>
        <w:pStyle w:val="Compact"/>
        <w:numPr>
          <w:ilvl w:val="0"/>
          <w:numId w:val="1078"/>
        </w:numPr>
      </w:pPr>
      <w:r>
        <w:t xml:space="preserve">policy violated;</w:t>
      </w:r>
    </w:p>
    <w:p>
      <w:pPr>
        <w:pStyle w:val="Compact"/>
        <w:numPr>
          <w:ilvl w:val="0"/>
          <w:numId w:val="1078"/>
        </w:numPr>
      </w:pPr>
      <w:r>
        <w:t xml:space="preserve">connector status changed;</w:t>
      </w:r>
    </w:p>
    <w:p>
      <w:pPr>
        <w:pStyle w:val="Compact"/>
        <w:numPr>
          <w:ilvl w:val="0"/>
          <w:numId w:val="1078"/>
        </w:numPr>
      </w:pPr>
      <w:r>
        <w:t xml:space="preserve">workflow completed;</w:t>
      </w:r>
    </w:p>
    <w:p>
      <w:pPr>
        <w:pStyle w:val="Compact"/>
        <w:numPr>
          <w:ilvl w:val="0"/>
          <w:numId w:val="1078"/>
        </w:numPr>
      </w:pPr>
      <w:r>
        <w:t xml:space="preserve">or model budget exceeded.</w:t>
      </w:r>
    </w:p>
    <w:p>
      <w:pPr>
        <w:pStyle w:val="FirstParagraph"/>
      </w:pPr>
      <w:r>
        <w:t xml:space="preserve">An event bus is intended for one-to-many event propagation.</w:t>
      </w:r>
    </w:p>
    <w:p>
      <w:pPr>
        <w:pStyle w:val="BodyText"/>
      </w:pPr>
      <w:r>
        <w:t xml:space="preserve">Potential implementations include NATS or Kafka.</w:t>
      </w:r>
    </w:p>
    <w:p>
      <w:pPr>
        <w:pStyle w:val="BodyText"/>
      </w:pPr>
      <w:r>
        <w:t xml:space="preserve">Events must be versioned, tenant-scoped, idempotently consumable, and traceable.</w:t>
      </w:r>
    </w:p>
    <w:p>
      <w:r>
        <w:pict>
          <v:rect style="width:0;height:1.5pt" o:hralign="center" o:hrstd="t" o:hr="t"/>
        </w:pict>
      </w:r>
    </w:p>
    <w:bookmarkEnd w:id="113"/>
    <w:bookmarkStart w:id="114" w:name="message-queue"/>
    <w:p>
      <w:pPr>
        <w:pStyle w:val="Heading2"/>
      </w:pPr>
      <w:r>
        <w:t xml:space="preserve">2.13.4 Message Queue</w:t>
      </w:r>
    </w:p>
    <w:p>
      <w:pPr>
        <w:pStyle w:val="FirstParagraph"/>
      </w:pPr>
      <w:r>
        <w:t xml:space="preserve">The Message Queue distributes units of work to one or more workers.</w:t>
      </w:r>
    </w:p>
    <w:p>
      <w:pPr>
        <w:pStyle w:val="BodyText"/>
      </w:pPr>
      <w:r>
        <w:t xml:space="preserve">Appropriate uses include:</w:t>
      </w:r>
    </w:p>
    <w:p>
      <w:pPr>
        <w:pStyle w:val="Compact"/>
        <w:numPr>
          <w:ilvl w:val="0"/>
          <w:numId w:val="1079"/>
        </w:numPr>
      </w:pPr>
      <w:r>
        <w:t xml:space="preserve">connector jobs;</w:t>
      </w:r>
    </w:p>
    <w:p>
      <w:pPr>
        <w:pStyle w:val="Compact"/>
        <w:numPr>
          <w:ilvl w:val="0"/>
          <w:numId w:val="1079"/>
        </w:numPr>
      </w:pPr>
      <w:r>
        <w:t xml:space="preserve">document processing;</w:t>
      </w:r>
    </w:p>
    <w:p>
      <w:pPr>
        <w:pStyle w:val="Compact"/>
        <w:numPr>
          <w:ilvl w:val="0"/>
          <w:numId w:val="1079"/>
        </w:numPr>
      </w:pPr>
      <w:r>
        <w:t xml:space="preserve">workflow activities;</w:t>
      </w:r>
    </w:p>
    <w:p>
      <w:pPr>
        <w:pStyle w:val="Compact"/>
        <w:numPr>
          <w:ilvl w:val="0"/>
          <w:numId w:val="1079"/>
        </w:numPr>
      </w:pPr>
      <w:r>
        <w:t xml:space="preserve">notification delivery;</w:t>
      </w:r>
    </w:p>
    <w:p>
      <w:pPr>
        <w:pStyle w:val="Compact"/>
        <w:numPr>
          <w:ilvl w:val="0"/>
          <w:numId w:val="1079"/>
        </w:numPr>
      </w:pPr>
      <w:r>
        <w:t xml:space="preserve">and asynchronous validation.</w:t>
      </w:r>
    </w:p>
    <w:p>
      <w:pPr>
        <w:pStyle w:val="FirstParagraph"/>
      </w:pPr>
      <w:r>
        <w:t xml:space="preserve">Potential implementations include RabbitMQ, Redis Streams, or another durable queue.</w:t>
      </w:r>
    </w:p>
    <w:p>
      <w:pPr>
        <w:pStyle w:val="BodyText"/>
      </w:pPr>
      <w:r>
        <w:t xml:space="preserve">A queue is intended primarily for work distribution, whereas the event bus communicates facts that may have multiple subscribers.</w:t>
      </w:r>
    </w:p>
    <w:p>
      <w:pPr>
        <w:pStyle w:val="BodyText"/>
      </w:pPr>
      <w:r>
        <w:t xml:space="preserve">The first implementation should not introduce both Kafka and RabbitMQ unless distinct requirements justify the operational complexity.</w:t>
      </w:r>
    </w:p>
    <w:p>
      <w:r>
        <w:pict>
          <v:rect style="width:0;height:1.5pt" o:hralign="center" o:hrstd="t" o:hr="t"/>
        </w:pict>
      </w:r>
    </w:p>
    <w:bookmarkEnd w:id="114"/>
    <w:bookmarkStart w:id="117" w:name="webhook-manager"/>
    <w:p>
      <w:pPr>
        <w:pStyle w:val="Heading2"/>
      </w:pPr>
      <w:r>
        <w:t xml:space="preserve">2.13.5 Webhook Manager</w:t>
      </w:r>
    </w:p>
    <w:p>
      <w:pPr>
        <w:pStyle w:val="FirstParagraph"/>
      </w:pPr>
      <w:r>
        <w:t xml:space="preserve">The Webhook Manager handles inbound and outbound webhook communication.</w:t>
      </w:r>
    </w:p>
    <w:bookmarkStart w:id="115" w:name="inbound-responsibilities"/>
    <w:p>
      <w:pPr>
        <w:pStyle w:val="Heading3"/>
      </w:pPr>
      <w:r>
        <w:t xml:space="preserve">Inbound responsibilities</w:t>
      </w:r>
    </w:p>
    <w:p>
      <w:pPr>
        <w:pStyle w:val="Compact"/>
        <w:numPr>
          <w:ilvl w:val="0"/>
          <w:numId w:val="1080"/>
        </w:numPr>
      </w:pPr>
      <w:r>
        <w:t xml:space="preserve">endpoint identity;</w:t>
      </w:r>
    </w:p>
    <w:p>
      <w:pPr>
        <w:pStyle w:val="Compact"/>
        <w:numPr>
          <w:ilvl w:val="0"/>
          <w:numId w:val="1080"/>
        </w:numPr>
      </w:pPr>
      <w:r>
        <w:t xml:space="preserve">signature verification;</w:t>
      </w:r>
    </w:p>
    <w:p>
      <w:pPr>
        <w:pStyle w:val="Compact"/>
        <w:numPr>
          <w:ilvl w:val="0"/>
          <w:numId w:val="1080"/>
        </w:numPr>
      </w:pPr>
      <w:r>
        <w:t xml:space="preserve">replay protection;</w:t>
      </w:r>
    </w:p>
    <w:p>
      <w:pPr>
        <w:pStyle w:val="Compact"/>
        <w:numPr>
          <w:ilvl w:val="0"/>
          <w:numId w:val="1080"/>
        </w:numPr>
      </w:pPr>
      <w:r>
        <w:t xml:space="preserve">schema validation;</w:t>
      </w:r>
    </w:p>
    <w:p>
      <w:pPr>
        <w:pStyle w:val="Compact"/>
        <w:numPr>
          <w:ilvl w:val="0"/>
          <w:numId w:val="1080"/>
        </w:numPr>
      </w:pPr>
      <w:r>
        <w:t xml:space="preserve">rate limiting;</w:t>
      </w:r>
    </w:p>
    <w:p>
      <w:pPr>
        <w:pStyle w:val="Compact"/>
        <w:numPr>
          <w:ilvl w:val="0"/>
          <w:numId w:val="1080"/>
        </w:numPr>
      </w:pPr>
      <w:r>
        <w:t xml:space="preserve">tenant resolution;</w:t>
      </w:r>
    </w:p>
    <w:p>
      <w:pPr>
        <w:pStyle w:val="Compact"/>
        <w:numPr>
          <w:ilvl w:val="0"/>
          <w:numId w:val="1080"/>
        </w:numPr>
      </w:pPr>
      <w:r>
        <w:t xml:space="preserve">and conversion into internal events or requests.</w:t>
      </w:r>
    </w:p>
    <w:bookmarkEnd w:id="115"/>
    <w:bookmarkStart w:id="116" w:name="outbound-responsibilities"/>
    <w:p>
      <w:pPr>
        <w:pStyle w:val="Heading3"/>
      </w:pPr>
      <w:r>
        <w:t xml:space="preserve">Outbound responsibilities</w:t>
      </w:r>
    </w:p>
    <w:p>
      <w:pPr>
        <w:pStyle w:val="Compact"/>
        <w:numPr>
          <w:ilvl w:val="0"/>
          <w:numId w:val="1081"/>
        </w:numPr>
      </w:pPr>
      <w:r>
        <w:t xml:space="preserve">subscription management;</w:t>
      </w:r>
    </w:p>
    <w:p>
      <w:pPr>
        <w:pStyle w:val="Compact"/>
        <w:numPr>
          <w:ilvl w:val="0"/>
          <w:numId w:val="1081"/>
        </w:numPr>
      </w:pPr>
      <w:r>
        <w:t xml:space="preserve">event filtering;</w:t>
      </w:r>
    </w:p>
    <w:p>
      <w:pPr>
        <w:pStyle w:val="Compact"/>
        <w:numPr>
          <w:ilvl w:val="0"/>
          <w:numId w:val="1081"/>
        </w:numPr>
      </w:pPr>
      <w:r>
        <w:t xml:space="preserve">signing;</w:t>
      </w:r>
    </w:p>
    <w:p>
      <w:pPr>
        <w:pStyle w:val="Compact"/>
        <w:numPr>
          <w:ilvl w:val="0"/>
          <w:numId w:val="1081"/>
        </w:numPr>
      </w:pPr>
      <w:r>
        <w:t xml:space="preserve">retry;</w:t>
      </w:r>
    </w:p>
    <w:p>
      <w:pPr>
        <w:pStyle w:val="Compact"/>
        <w:numPr>
          <w:ilvl w:val="0"/>
          <w:numId w:val="1081"/>
        </w:numPr>
      </w:pPr>
      <w:r>
        <w:t xml:space="preserve">delivery status;</w:t>
      </w:r>
    </w:p>
    <w:p>
      <w:pPr>
        <w:pStyle w:val="Compact"/>
        <w:numPr>
          <w:ilvl w:val="0"/>
          <w:numId w:val="1081"/>
        </w:numPr>
      </w:pPr>
      <w:r>
        <w:t xml:space="preserve">dead-letter handling;</w:t>
      </w:r>
    </w:p>
    <w:p>
      <w:pPr>
        <w:pStyle w:val="Compact"/>
        <w:numPr>
          <w:ilvl w:val="0"/>
          <w:numId w:val="1081"/>
        </w:numPr>
      </w:pPr>
      <w:r>
        <w:t xml:space="preserve">and secret rotation.</w:t>
      </w:r>
    </w:p>
    <w:p>
      <w:pPr>
        <w:pStyle w:val="FirstParagraph"/>
      </w:pPr>
      <w:r>
        <w:t xml:space="preserve">Inbound webhooks must not directly invoke privileged actions without authentication, policy evaluation, and orchestration.</w:t>
      </w:r>
    </w:p>
    <w:p>
      <w:r>
        <w:pict>
          <v:rect style="width:0;height:1.5pt" o:hralign="center" o:hrstd="t" o:hr="t"/>
        </w:pict>
      </w:r>
    </w:p>
    <w:bookmarkEnd w:id="116"/>
    <w:bookmarkEnd w:id="117"/>
    <w:bookmarkEnd w:id="118"/>
    <w:bookmarkStart w:id="123" w:name="ai-gateway-and-model-layer"/>
    <w:p>
      <w:pPr>
        <w:pStyle w:val="Heading1"/>
      </w:pPr>
      <w:r>
        <w:t xml:space="preserve">2.14 AI Gateway and Model Layer</w:t>
      </w:r>
    </w:p>
    <w:p>
      <w:pPr>
        <w:pStyle w:val="FirstParagraph"/>
      </w:pPr>
      <w:r>
        <w:t xml:space="preserve">The AI Gateway and Model Layer isolates AccuSec from individual model providers and enforces model-use policy.</w:t>
      </w:r>
    </w:p>
    <w:bookmarkStart w:id="120" w:name="ai-gateway"/>
    <w:p>
      <w:pPr>
        <w:pStyle w:val="Heading2"/>
      </w:pPr>
      <w:r>
        <w:t xml:space="preserve">2.14.1 AI Gateway</w:t>
      </w:r>
    </w:p>
    <w:p>
      <w:pPr>
        <w:pStyle w:val="FirstParagraph"/>
      </w:pPr>
      <w:r>
        <w:t xml:space="preserve">The AI Gateway is the controlled entry point for model requests.</w:t>
      </w:r>
    </w:p>
    <w:bookmarkStart w:id="119" w:name="responsibilities-17"/>
    <w:p>
      <w:pPr>
        <w:pStyle w:val="Heading3"/>
      </w:pPr>
      <w:r>
        <w:t xml:space="preserve">Responsibilities</w:t>
      </w:r>
    </w:p>
    <w:p>
      <w:pPr>
        <w:pStyle w:val="Compact"/>
        <w:numPr>
          <w:ilvl w:val="0"/>
          <w:numId w:val="1082"/>
        </w:numPr>
      </w:pPr>
      <w:r>
        <w:t xml:space="preserve">provider abstraction;</w:t>
      </w:r>
    </w:p>
    <w:p>
      <w:pPr>
        <w:pStyle w:val="Compact"/>
        <w:numPr>
          <w:ilvl w:val="0"/>
          <w:numId w:val="1082"/>
        </w:numPr>
      </w:pPr>
      <w:r>
        <w:t xml:space="preserve">model endpoint authentication;</w:t>
      </w:r>
    </w:p>
    <w:p>
      <w:pPr>
        <w:pStyle w:val="Compact"/>
        <w:numPr>
          <w:ilvl w:val="0"/>
          <w:numId w:val="1082"/>
        </w:numPr>
      </w:pPr>
      <w:r>
        <w:t xml:space="preserve">rate limiting;</w:t>
      </w:r>
    </w:p>
    <w:p>
      <w:pPr>
        <w:pStyle w:val="Compact"/>
        <w:numPr>
          <w:ilvl w:val="0"/>
          <w:numId w:val="1082"/>
        </w:numPr>
      </w:pPr>
      <w:r>
        <w:t xml:space="preserve">quota enforcement;</w:t>
      </w:r>
    </w:p>
    <w:p>
      <w:pPr>
        <w:pStyle w:val="Compact"/>
        <w:numPr>
          <w:ilvl w:val="0"/>
          <w:numId w:val="1082"/>
        </w:numPr>
      </w:pPr>
      <w:r>
        <w:t xml:space="preserve">prompt and response filtering;</w:t>
      </w:r>
    </w:p>
    <w:p>
      <w:pPr>
        <w:pStyle w:val="Compact"/>
        <w:numPr>
          <w:ilvl w:val="0"/>
          <w:numId w:val="1082"/>
        </w:numPr>
      </w:pPr>
      <w:r>
        <w:t xml:space="preserve">data-loss prevention;</w:t>
      </w:r>
    </w:p>
    <w:p>
      <w:pPr>
        <w:pStyle w:val="Compact"/>
        <w:numPr>
          <w:ilvl w:val="0"/>
          <w:numId w:val="1082"/>
        </w:numPr>
      </w:pPr>
      <w:r>
        <w:t xml:space="preserve">tenant policy enforcement;</w:t>
      </w:r>
    </w:p>
    <w:p>
      <w:pPr>
        <w:pStyle w:val="Compact"/>
        <w:numPr>
          <w:ilvl w:val="0"/>
          <w:numId w:val="1082"/>
        </w:numPr>
      </w:pPr>
      <w:r>
        <w:t xml:space="preserve">request logging;</w:t>
      </w:r>
    </w:p>
    <w:p>
      <w:pPr>
        <w:pStyle w:val="Compact"/>
        <w:numPr>
          <w:ilvl w:val="0"/>
          <w:numId w:val="1082"/>
        </w:numPr>
      </w:pPr>
      <w:r>
        <w:t xml:space="preserve">token accounting;</w:t>
      </w:r>
    </w:p>
    <w:p>
      <w:pPr>
        <w:pStyle w:val="Compact"/>
        <w:numPr>
          <w:ilvl w:val="0"/>
          <w:numId w:val="1082"/>
        </w:numPr>
      </w:pPr>
      <w:r>
        <w:t xml:space="preserve">caching where safe;</w:t>
      </w:r>
    </w:p>
    <w:p>
      <w:pPr>
        <w:pStyle w:val="Compact"/>
        <w:numPr>
          <w:ilvl w:val="0"/>
          <w:numId w:val="1082"/>
        </w:numPr>
      </w:pPr>
      <w:r>
        <w:t xml:space="preserve">timeout;</w:t>
      </w:r>
    </w:p>
    <w:p>
      <w:pPr>
        <w:pStyle w:val="Compact"/>
        <w:numPr>
          <w:ilvl w:val="0"/>
          <w:numId w:val="1082"/>
        </w:numPr>
      </w:pPr>
      <w:r>
        <w:t xml:space="preserve">retry;</w:t>
      </w:r>
    </w:p>
    <w:p>
      <w:pPr>
        <w:pStyle w:val="Compact"/>
        <w:numPr>
          <w:ilvl w:val="0"/>
          <w:numId w:val="1082"/>
        </w:numPr>
      </w:pPr>
      <w:r>
        <w:t xml:space="preserve">and circuit breaking.</w:t>
      </w:r>
    </w:p>
    <w:p>
      <w:pPr>
        <w:pStyle w:val="FirstParagraph"/>
      </w:pPr>
      <w:r>
        <w:t xml:space="preserve">The AI Gateway must ensure that sensitive enterprise data is sent only to models approved for the tenant, data classification, region, and use case.</w:t>
      </w:r>
    </w:p>
    <w:p>
      <w:r>
        <w:pict>
          <v:rect style="width:0;height:1.5pt" o:hralign="center" o:hrstd="t" o:hr="t"/>
        </w:pict>
      </w:r>
    </w:p>
    <w:bookmarkEnd w:id="119"/>
    <w:bookmarkEnd w:id="120"/>
    <w:bookmarkStart w:id="121" w:name="model-orchestrator"/>
    <w:p>
      <w:pPr>
        <w:pStyle w:val="Heading2"/>
      </w:pPr>
      <w:r>
        <w:t xml:space="preserve">2.14.2 Model Orchestrator</w:t>
      </w:r>
    </w:p>
    <w:p>
      <w:pPr>
        <w:pStyle w:val="FirstParagraph"/>
      </w:pPr>
      <w:r>
        <w:t xml:space="preserve">The Model Orchestrator selects a suitable model for a specific reasoning task.</w:t>
      </w:r>
    </w:p>
    <w:p>
      <w:pPr>
        <w:pStyle w:val="BodyText"/>
      </w:pPr>
      <w:r>
        <w:t xml:space="preserve">Selection inputs may include:</w:t>
      </w:r>
    </w:p>
    <w:p>
      <w:pPr>
        <w:pStyle w:val="Compact"/>
        <w:numPr>
          <w:ilvl w:val="0"/>
          <w:numId w:val="1083"/>
        </w:numPr>
      </w:pPr>
      <w:r>
        <w:t xml:space="preserve">task type;</w:t>
      </w:r>
    </w:p>
    <w:p>
      <w:pPr>
        <w:pStyle w:val="Compact"/>
        <w:numPr>
          <w:ilvl w:val="0"/>
          <w:numId w:val="1083"/>
        </w:numPr>
      </w:pPr>
      <w:r>
        <w:t xml:space="preserve">required capability;</w:t>
      </w:r>
    </w:p>
    <w:p>
      <w:pPr>
        <w:pStyle w:val="Compact"/>
        <w:numPr>
          <w:ilvl w:val="0"/>
          <w:numId w:val="1083"/>
        </w:numPr>
      </w:pPr>
      <w:r>
        <w:t xml:space="preserve">data classification;</w:t>
      </w:r>
    </w:p>
    <w:p>
      <w:pPr>
        <w:pStyle w:val="Compact"/>
        <w:numPr>
          <w:ilvl w:val="0"/>
          <w:numId w:val="1083"/>
        </w:numPr>
      </w:pPr>
      <w:r>
        <w:t xml:space="preserve">tenant policy;</w:t>
      </w:r>
    </w:p>
    <w:p>
      <w:pPr>
        <w:pStyle w:val="Compact"/>
        <w:numPr>
          <w:ilvl w:val="0"/>
          <w:numId w:val="1083"/>
        </w:numPr>
      </w:pPr>
      <w:r>
        <w:t xml:space="preserve">context length;</w:t>
      </w:r>
    </w:p>
    <w:p>
      <w:pPr>
        <w:pStyle w:val="Compact"/>
        <w:numPr>
          <w:ilvl w:val="0"/>
          <w:numId w:val="1083"/>
        </w:numPr>
      </w:pPr>
      <w:r>
        <w:t xml:space="preserve">latency target;</w:t>
      </w:r>
    </w:p>
    <w:p>
      <w:pPr>
        <w:pStyle w:val="Compact"/>
        <w:numPr>
          <w:ilvl w:val="0"/>
          <w:numId w:val="1083"/>
        </w:numPr>
      </w:pPr>
      <w:r>
        <w:t xml:space="preserve">cost budget;</w:t>
      </w:r>
    </w:p>
    <w:p>
      <w:pPr>
        <w:pStyle w:val="Compact"/>
        <w:numPr>
          <w:ilvl w:val="0"/>
          <w:numId w:val="1083"/>
        </w:numPr>
      </w:pPr>
      <w:r>
        <w:t xml:space="preserve">model health;</w:t>
      </w:r>
    </w:p>
    <w:p>
      <w:pPr>
        <w:pStyle w:val="Compact"/>
        <w:numPr>
          <w:ilvl w:val="0"/>
          <w:numId w:val="1083"/>
        </w:numPr>
      </w:pPr>
      <w:r>
        <w:t xml:space="preserve">region;</w:t>
      </w:r>
    </w:p>
    <w:p>
      <w:pPr>
        <w:pStyle w:val="Compact"/>
        <w:numPr>
          <w:ilvl w:val="0"/>
          <w:numId w:val="1083"/>
        </w:numPr>
      </w:pPr>
      <w:r>
        <w:t xml:space="preserve">prior evaluation results;</w:t>
      </w:r>
    </w:p>
    <w:p>
      <w:pPr>
        <w:pStyle w:val="Compact"/>
        <w:numPr>
          <w:ilvl w:val="0"/>
          <w:numId w:val="1083"/>
        </w:numPr>
      </w:pPr>
      <w:r>
        <w:t xml:space="preserve">and fallback configuration.</w:t>
      </w:r>
    </w:p>
    <w:p>
      <w:pPr>
        <w:pStyle w:val="FirstParagraph"/>
      </w:pPr>
      <w:r>
        <w:t xml:space="preserve">The Model Orchestrator may support:</w:t>
      </w:r>
    </w:p>
    <w:p>
      <w:pPr>
        <w:pStyle w:val="Compact"/>
        <w:numPr>
          <w:ilvl w:val="0"/>
          <w:numId w:val="1084"/>
        </w:numPr>
      </w:pPr>
      <w:r>
        <w:t xml:space="preserve">primary model;</w:t>
      </w:r>
    </w:p>
    <w:p>
      <w:pPr>
        <w:pStyle w:val="Compact"/>
        <w:numPr>
          <w:ilvl w:val="0"/>
          <w:numId w:val="1084"/>
        </w:numPr>
      </w:pPr>
      <w:r>
        <w:t xml:space="preserve">fallback model;</w:t>
      </w:r>
    </w:p>
    <w:p>
      <w:pPr>
        <w:pStyle w:val="Compact"/>
        <w:numPr>
          <w:ilvl w:val="0"/>
          <w:numId w:val="1084"/>
        </w:numPr>
      </w:pPr>
      <w:r>
        <w:t xml:space="preserve">specialized local model;</w:t>
      </w:r>
    </w:p>
    <w:p>
      <w:pPr>
        <w:pStyle w:val="Compact"/>
        <w:numPr>
          <w:ilvl w:val="0"/>
          <w:numId w:val="1084"/>
        </w:numPr>
      </w:pPr>
      <w:r>
        <w:t xml:space="preserve">classifier;</w:t>
      </w:r>
    </w:p>
    <w:p>
      <w:pPr>
        <w:pStyle w:val="Compact"/>
        <w:numPr>
          <w:ilvl w:val="0"/>
          <w:numId w:val="1084"/>
        </w:numPr>
      </w:pPr>
      <w:r>
        <w:t xml:space="preserve">embedding model;</w:t>
      </w:r>
    </w:p>
    <w:p>
      <w:pPr>
        <w:pStyle w:val="Compact"/>
        <w:numPr>
          <w:ilvl w:val="0"/>
          <w:numId w:val="1084"/>
        </w:numPr>
      </w:pPr>
      <w:r>
        <w:t xml:space="preserve">reranker;</w:t>
      </w:r>
    </w:p>
    <w:p>
      <w:pPr>
        <w:pStyle w:val="Compact"/>
        <w:numPr>
          <w:ilvl w:val="0"/>
          <w:numId w:val="1084"/>
        </w:numPr>
      </w:pPr>
      <w:r>
        <w:t xml:space="preserve">and evaluation model.</w:t>
      </w:r>
    </w:p>
    <w:p>
      <w:pPr>
        <w:pStyle w:val="FirstParagraph"/>
      </w:pPr>
      <w:r>
        <w:t xml:space="preserve">A fallback must not silently violate the security or residency requirements applied to the primary model.</w:t>
      </w:r>
    </w:p>
    <w:p>
      <w:r>
        <w:pict>
          <v:rect style="width:0;height:1.5pt" o:hralign="center" o:hrstd="t" o:hr="t"/>
        </w:pict>
      </w:r>
    </w:p>
    <w:bookmarkEnd w:id="121"/>
    <w:bookmarkStart w:id="122" w:name="model-providers"/>
    <w:p>
      <w:pPr>
        <w:pStyle w:val="Heading2"/>
      </w:pPr>
      <w:r>
        <w:t xml:space="preserve">2.14.3 Model Providers</w:t>
      </w:r>
    </w:p>
    <w:p>
      <w:pPr>
        <w:pStyle w:val="FirstParagraph"/>
      </w:pPr>
      <w:r>
        <w:t xml:space="preserve">Model Providers may include:</w:t>
      </w:r>
    </w:p>
    <w:p>
      <w:pPr>
        <w:pStyle w:val="Compact"/>
        <w:numPr>
          <w:ilvl w:val="0"/>
          <w:numId w:val="1085"/>
        </w:numPr>
      </w:pPr>
      <w:r>
        <w:t xml:space="preserve">OpenAI;</w:t>
      </w:r>
    </w:p>
    <w:p>
      <w:pPr>
        <w:pStyle w:val="Compact"/>
        <w:numPr>
          <w:ilvl w:val="0"/>
          <w:numId w:val="1085"/>
        </w:numPr>
      </w:pPr>
      <w:r>
        <w:t xml:space="preserve">Anthropic;</w:t>
      </w:r>
    </w:p>
    <w:p>
      <w:pPr>
        <w:pStyle w:val="Compact"/>
        <w:numPr>
          <w:ilvl w:val="0"/>
          <w:numId w:val="1085"/>
        </w:numPr>
      </w:pPr>
      <w:r>
        <w:t xml:space="preserve">Google;</w:t>
      </w:r>
    </w:p>
    <w:p>
      <w:pPr>
        <w:pStyle w:val="Compact"/>
        <w:numPr>
          <w:ilvl w:val="0"/>
          <w:numId w:val="1085"/>
        </w:numPr>
      </w:pPr>
      <w:r>
        <w:t xml:space="preserve">Meta-hosted or customer-hosted Llama models;</w:t>
      </w:r>
    </w:p>
    <w:p>
      <w:pPr>
        <w:pStyle w:val="Compact"/>
        <w:numPr>
          <w:ilvl w:val="0"/>
          <w:numId w:val="1085"/>
        </w:numPr>
      </w:pPr>
      <w:r>
        <w:t xml:space="preserve">Mistral;</w:t>
      </w:r>
    </w:p>
    <w:p>
      <w:pPr>
        <w:pStyle w:val="Compact"/>
        <w:numPr>
          <w:ilvl w:val="0"/>
          <w:numId w:val="1085"/>
        </w:numPr>
      </w:pPr>
      <w:r>
        <w:t xml:space="preserve">Cohere;</w:t>
      </w:r>
    </w:p>
    <w:p>
      <w:pPr>
        <w:pStyle w:val="Compact"/>
        <w:numPr>
          <w:ilvl w:val="0"/>
          <w:numId w:val="1085"/>
        </w:numPr>
      </w:pPr>
      <w:r>
        <w:t xml:space="preserve">and customer-approved self-hosted models.</w:t>
      </w:r>
    </w:p>
    <w:p>
      <w:pPr>
        <w:pStyle w:val="FirstParagraph"/>
      </w:pPr>
      <w:r>
        <w:t xml:space="preserve">Provider support is configurable.</w:t>
      </w:r>
    </w:p>
    <w:p>
      <w:pPr>
        <w:pStyle w:val="BodyText"/>
      </w:pPr>
      <w:r>
        <w:t xml:space="preserve">No model provider is part of the AccuSec trusted execution base for enterprise authorization.</w:t>
      </w:r>
    </w:p>
    <w:p>
      <w:pPr>
        <w:pStyle w:val="BodyText"/>
      </w:pPr>
      <w:r>
        <w:t xml:space="preserve">A model response is treated as untrusted proposed content until validated by the surrounding runtime.</w:t>
      </w:r>
    </w:p>
    <w:p>
      <w:r>
        <w:pict>
          <v:rect style="width:0;height:1.5pt" o:hralign="center" o:hrstd="t" o:hr="t"/>
        </w:pict>
      </w:r>
    </w:p>
    <w:bookmarkEnd w:id="122"/>
    <w:bookmarkEnd w:id="123"/>
    <w:bookmarkStart w:id="128" w:name="security-and-governance"/>
    <w:p>
      <w:pPr>
        <w:pStyle w:val="Heading1"/>
      </w:pPr>
      <w:r>
        <w:t xml:space="preserve">2.15 Security and Governance</w:t>
      </w:r>
    </w:p>
    <w:p>
      <w:pPr>
        <w:pStyle w:val="FirstParagraph"/>
      </w:pPr>
      <w:r>
        <w:t xml:space="preserve">Security and Governance is shown as a cross-cutting region because it applies to every interface, service, data store, model call, connector, workflow, and operation.</w:t>
      </w:r>
    </w:p>
    <w:bookmarkStart w:id="124" w:name="rbac-and-abac"/>
    <w:p>
      <w:pPr>
        <w:pStyle w:val="Heading2"/>
      </w:pPr>
      <w:r>
        <w:t xml:space="preserve">2.15.1 RBAC and ABAC</w:t>
      </w:r>
    </w:p>
    <w:p>
      <w:pPr>
        <w:pStyle w:val="FirstParagraph"/>
      </w:pPr>
      <w:r>
        <w:t xml:space="preserve">Role-Based Access Control defines permissions based on assigned roles.</w:t>
      </w:r>
    </w:p>
    <w:p>
      <w:pPr>
        <w:pStyle w:val="BodyText"/>
      </w:pPr>
      <w:r>
        <w:t xml:space="preserve">Attribute-Based Access Control adds contextual decisions using attributes such as:</w:t>
      </w:r>
    </w:p>
    <w:p>
      <w:pPr>
        <w:pStyle w:val="Compact"/>
        <w:numPr>
          <w:ilvl w:val="0"/>
          <w:numId w:val="1086"/>
        </w:numPr>
      </w:pPr>
      <w:r>
        <w:t xml:space="preserve">resource;</w:t>
      </w:r>
    </w:p>
    <w:p>
      <w:pPr>
        <w:pStyle w:val="Compact"/>
        <w:numPr>
          <w:ilvl w:val="0"/>
          <w:numId w:val="1086"/>
        </w:numPr>
      </w:pPr>
      <w:r>
        <w:t xml:space="preserve">tenant;</w:t>
      </w:r>
    </w:p>
    <w:p>
      <w:pPr>
        <w:pStyle w:val="Compact"/>
        <w:numPr>
          <w:ilvl w:val="0"/>
          <w:numId w:val="1086"/>
        </w:numPr>
      </w:pPr>
      <w:r>
        <w:t xml:space="preserve">environment;</w:t>
      </w:r>
    </w:p>
    <w:p>
      <w:pPr>
        <w:pStyle w:val="Compact"/>
        <w:numPr>
          <w:ilvl w:val="0"/>
          <w:numId w:val="1086"/>
        </w:numPr>
      </w:pPr>
      <w:r>
        <w:t xml:space="preserve">data classification;</w:t>
      </w:r>
    </w:p>
    <w:p>
      <w:pPr>
        <w:pStyle w:val="Compact"/>
        <w:numPr>
          <w:ilvl w:val="0"/>
          <w:numId w:val="1086"/>
        </w:numPr>
      </w:pPr>
      <w:r>
        <w:t xml:space="preserve">risk;</w:t>
      </w:r>
    </w:p>
    <w:p>
      <w:pPr>
        <w:pStyle w:val="Compact"/>
        <w:numPr>
          <w:ilvl w:val="0"/>
          <w:numId w:val="1086"/>
        </w:numPr>
      </w:pPr>
      <w:r>
        <w:t xml:space="preserve">region;</w:t>
      </w:r>
    </w:p>
    <w:p>
      <w:pPr>
        <w:pStyle w:val="Compact"/>
        <w:numPr>
          <w:ilvl w:val="0"/>
          <w:numId w:val="1086"/>
        </w:numPr>
      </w:pPr>
      <w:r>
        <w:t xml:space="preserve">time;</w:t>
      </w:r>
    </w:p>
    <w:p>
      <w:pPr>
        <w:pStyle w:val="Compact"/>
        <w:numPr>
          <w:ilvl w:val="0"/>
          <w:numId w:val="1086"/>
        </w:numPr>
      </w:pPr>
      <w:r>
        <w:t xml:space="preserve">operation;</w:t>
      </w:r>
    </w:p>
    <w:p>
      <w:pPr>
        <w:pStyle w:val="Compact"/>
        <w:numPr>
          <w:ilvl w:val="0"/>
          <w:numId w:val="1086"/>
        </w:numPr>
      </w:pPr>
      <w:r>
        <w:t xml:space="preserve">and approval state.</w:t>
      </w:r>
    </w:p>
    <w:p>
      <w:pPr>
        <w:pStyle w:val="FirstParagraph"/>
      </w:pPr>
      <w:r>
        <w:t xml:space="preserve">AccuSec should support both.</w:t>
      </w:r>
    </w:p>
    <w:p>
      <w:pPr>
        <w:pStyle w:val="BodyText"/>
      </w:pPr>
      <w:r>
        <w:t xml:space="preserve">RBAC provides understandable administrative structure. ABAC supports fine-grained operational enforcement.</w:t>
      </w:r>
    </w:p>
    <w:p>
      <w:r>
        <w:pict>
          <v:rect style="width:0;height:1.5pt" o:hralign="center" o:hrstd="t" o:hr="t"/>
        </w:pict>
      </w:r>
    </w:p>
    <w:bookmarkEnd w:id="124"/>
    <w:bookmarkStart w:id="125" w:name="multi-tenancy"/>
    <w:p>
      <w:pPr>
        <w:pStyle w:val="Heading2"/>
      </w:pPr>
      <w:r>
        <w:t xml:space="preserve">2.15.2 Multi-Tenancy</w:t>
      </w:r>
    </w:p>
    <w:p>
      <w:pPr>
        <w:pStyle w:val="FirstParagraph"/>
      </w:pPr>
      <w:r>
        <w:t xml:space="preserve">Multi-tenancy provides logical isolation between customer organizations or managed-service-provider customers.</w:t>
      </w:r>
    </w:p>
    <w:p>
      <w:pPr>
        <w:pStyle w:val="BodyText"/>
      </w:pPr>
      <w:r>
        <w:t xml:space="preserve">Isolation applies to:</w:t>
      </w:r>
    </w:p>
    <w:p>
      <w:pPr>
        <w:pStyle w:val="Compact"/>
        <w:numPr>
          <w:ilvl w:val="0"/>
          <w:numId w:val="1087"/>
        </w:numPr>
      </w:pPr>
      <w:r>
        <w:t xml:space="preserve">identity;</w:t>
      </w:r>
    </w:p>
    <w:p>
      <w:pPr>
        <w:pStyle w:val="Compact"/>
        <w:numPr>
          <w:ilvl w:val="0"/>
          <w:numId w:val="1087"/>
        </w:numPr>
      </w:pPr>
      <w:r>
        <w:t xml:space="preserve">configuration;</w:t>
      </w:r>
    </w:p>
    <w:p>
      <w:pPr>
        <w:pStyle w:val="Compact"/>
        <w:numPr>
          <w:ilvl w:val="0"/>
          <w:numId w:val="1087"/>
        </w:numPr>
      </w:pPr>
      <w:r>
        <w:t xml:space="preserve">endpoints;</w:t>
      </w:r>
    </w:p>
    <w:p>
      <w:pPr>
        <w:pStyle w:val="Compact"/>
        <w:numPr>
          <w:ilvl w:val="0"/>
          <w:numId w:val="1087"/>
        </w:numPr>
      </w:pPr>
      <w:r>
        <w:t xml:space="preserve">agents;</w:t>
      </w:r>
    </w:p>
    <w:p>
      <w:pPr>
        <w:pStyle w:val="Compact"/>
        <w:numPr>
          <w:ilvl w:val="0"/>
          <w:numId w:val="1087"/>
        </w:numPr>
      </w:pPr>
      <w:r>
        <w:t xml:space="preserve">skills;</w:t>
      </w:r>
    </w:p>
    <w:p>
      <w:pPr>
        <w:pStyle w:val="Compact"/>
        <w:numPr>
          <w:ilvl w:val="0"/>
          <w:numId w:val="1087"/>
        </w:numPr>
      </w:pPr>
      <w:r>
        <w:t xml:space="preserve">memory;</w:t>
      </w:r>
    </w:p>
    <w:p>
      <w:pPr>
        <w:pStyle w:val="Compact"/>
        <w:numPr>
          <w:ilvl w:val="0"/>
          <w:numId w:val="1087"/>
        </w:numPr>
      </w:pPr>
      <w:r>
        <w:t xml:space="preserve">operational context;</w:t>
      </w:r>
    </w:p>
    <w:p>
      <w:pPr>
        <w:pStyle w:val="Compact"/>
        <w:numPr>
          <w:ilvl w:val="0"/>
          <w:numId w:val="1087"/>
        </w:numPr>
      </w:pPr>
      <w:r>
        <w:t xml:space="preserve">documents;</w:t>
      </w:r>
    </w:p>
    <w:p>
      <w:pPr>
        <w:pStyle w:val="Compact"/>
        <w:numPr>
          <w:ilvl w:val="0"/>
          <w:numId w:val="1087"/>
        </w:numPr>
      </w:pPr>
      <w:r>
        <w:t xml:space="preserve">events;</w:t>
      </w:r>
    </w:p>
    <w:p>
      <w:pPr>
        <w:pStyle w:val="Compact"/>
        <w:numPr>
          <w:ilvl w:val="0"/>
          <w:numId w:val="1087"/>
        </w:numPr>
      </w:pPr>
      <w:r>
        <w:t xml:space="preserve">logs;</w:t>
      </w:r>
    </w:p>
    <w:p>
      <w:pPr>
        <w:pStyle w:val="Compact"/>
        <w:numPr>
          <w:ilvl w:val="0"/>
          <w:numId w:val="1087"/>
        </w:numPr>
      </w:pPr>
      <w:r>
        <w:t xml:space="preserve">models;</w:t>
      </w:r>
    </w:p>
    <w:p>
      <w:pPr>
        <w:pStyle w:val="Compact"/>
        <w:numPr>
          <w:ilvl w:val="0"/>
          <w:numId w:val="1087"/>
        </w:numPr>
      </w:pPr>
      <w:r>
        <w:t xml:space="preserve">costs;</w:t>
      </w:r>
    </w:p>
    <w:p>
      <w:pPr>
        <w:pStyle w:val="Compact"/>
        <w:numPr>
          <w:ilvl w:val="0"/>
          <w:numId w:val="1087"/>
        </w:numPr>
      </w:pPr>
      <w:r>
        <w:t xml:space="preserve">and audit records.</w:t>
      </w:r>
    </w:p>
    <w:p>
      <w:pPr>
        <w:pStyle w:val="FirstParagraph"/>
      </w:pPr>
      <w:r>
        <w:t xml:space="preserve">A workspace may provide an additional isolation boundary within a tenant.</w:t>
      </w:r>
    </w:p>
    <w:p>
      <w:pPr>
        <w:pStyle w:val="BodyText"/>
      </w:pPr>
      <w:r>
        <w:t xml:space="preserve">The Basic Edition may operate as a single-tenant deployment while using the same tenant-aware contracts.</w:t>
      </w:r>
    </w:p>
    <w:p>
      <w:r>
        <w:pict>
          <v:rect style="width:0;height:1.5pt" o:hralign="center" o:hrstd="t" o:hr="t"/>
        </w:pict>
      </w:r>
    </w:p>
    <w:bookmarkEnd w:id="125"/>
    <w:bookmarkStart w:id="126" w:name="data-privacy"/>
    <w:p>
      <w:pPr>
        <w:pStyle w:val="Heading2"/>
      </w:pPr>
      <w:r>
        <w:t xml:space="preserve">2.15.3 Data Privacy</w:t>
      </w:r>
    </w:p>
    <w:p>
      <w:pPr>
        <w:pStyle w:val="FirstParagraph"/>
      </w:pPr>
      <w:r>
        <w:t xml:space="preserve">Data Privacy capabilities include:</w:t>
      </w:r>
    </w:p>
    <w:p>
      <w:pPr>
        <w:pStyle w:val="Compact"/>
        <w:numPr>
          <w:ilvl w:val="0"/>
          <w:numId w:val="1088"/>
        </w:numPr>
      </w:pPr>
      <w:r>
        <w:t xml:space="preserve">classification;</w:t>
      </w:r>
    </w:p>
    <w:p>
      <w:pPr>
        <w:pStyle w:val="Compact"/>
        <w:numPr>
          <w:ilvl w:val="0"/>
          <w:numId w:val="1088"/>
        </w:numPr>
      </w:pPr>
      <w:r>
        <w:t xml:space="preserve">masking;</w:t>
      </w:r>
    </w:p>
    <w:p>
      <w:pPr>
        <w:pStyle w:val="Compact"/>
        <w:numPr>
          <w:ilvl w:val="0"/>
          <w:numId w:val="1088"/>
        </w:numPr>
      </w:pPr>
      <w:r>
        <w:t xml:space="preserve">redaction;</w:t>
      </w:r>
    </w:p>
    <w:p>
      <w:pPr>
        <w:pStyle w:val="Compact"/>
        <w:numPr>
          <w:ilvl w:val="0"/>
          <w:numId w:val="1088"/>
        </w:numPr>
      </w:pPr>
      <w:r>
        <w:t xml:space="preserve">encryption;</w:t>
      </w:r>
    </w:p>
    <w:p>
      <w:pPr>
        <w:pStyle w:val="Compact"/>
        <w:numPr>
          <w:ilvl w:val="0"/>
          <w:numId w:val="1088"/>
        </w:numPr>
      </w:pPr>
      <w:r>
        <w:t xml:space="preserve">retention;</w:t>
      </w:r>
    </w:p>
    <w:p>
      <w:pPr>
        <w:pStyle w:val="Compact"/>
        <w:numPr>
          <w:ilvl w:val="0"/>
          <w:numId w:val="1088"/>
        </w:numPr>
      </w:pPr>
      <w:r>
        <w:t xml:space="preserve">deletion;</w:t>
      </w:r>
    </w:p>
    <w:p>
      <w:pPr>
        <w:pStyle w:val="Compact"/>
        <w:numPr>
          <w:ilvl w:val="0"/>
          <w:numId w:val="1088"/>
        </w:numPr>
      </w:pPr>
      <w:r>
        <w:t xml:space="preserve">geographic restrictions;</w:t>
      </w:r>
    </w:p>
    <w:p>
      <w:pPr>
        <w:pStyle w:val="Compact"/>
        <w:numPr>
          <w:ilvl w:val="0"/>
          <w:numId w:val="1088"/>
        </w:numPr>
      </w:pPr>
      <w:r>
        <w:t xml:space="preserve">model eligibility;</w:t>
      </w:r>
    </w:p>
    <w:p>
      <w:pPr>
        <w:pStyle w:val="Compact"/>
        <w:numPr>
          <w:ilvl w:val="0"/>
          <w:numId w:val="1088"/>
        </w:numPr>
      </w:pPr>
      <w:r>
        <w:t xml:space="preserve">and access control.</w:t>
      </w:r>
    </w:p>
    <w:p>
      <w:pPr>
        <w:pStyle w:val="FirstParagraph"/>
      </w:pPr>
      <w:r>
        <w:t xml:space="preserve">Before content is sent to an external model, the AI Gateway must evaluate whether the content and provider combination are permitted.</w:t>
      </w:r>
    </w:p>
    <w:p>
      <w:r>
        <w:pict>
          <v:rect style="width:0;height:1.5pt" o:hralign="center" o:hrstd="t" o:hr="t"/>
        </w:pict>
      </w:r>
    </w:p>
    <w:bookmarkEnd w:id="126"/>
    <w:bookmarkStart w:id="127" w:name="compliance-frameworks"/>
    <w:p>
      <w:pPr>
        <w:pStyle w:val="Heading2"/>
      </w:pPr>
      <w:r>
        <w:t xml:space="preserve">2.15.4 Compliance Frameworks</w:t>
      </w:r>
    </w:p>
    <w:p>
      <w:pPr>
        <w:pStyle w:val="FirstParagraph"/>
      </w:pPr>
      <w:r>
        <w:t xml:space="preserve">The platform may support controls and evidence relevant to frameworks such as:</w:t>
      </w:r>
    </w:p>
    <w:p>
      <w:pPr>
        <w:pStyle w:val="Compact"/>
        <w:numPr>
          <w:ilvl w:val="0"/>
          <w:numId w:val="1089"/>
        </w:numPr>
      </w:pPr>
      <w:r>
        <w:t xml:space="preserve">SOC 2;</w:t>
      </w:r>
    </w:p>
    <w:p>
      <w:pPr>
        <w:pStyle w:val="Compact"/>
        <w:numPr>
          <w:ilvl w:val="0"/>
          <w:numId w:val="1089"/>
        </w:numPr>
      </w:pPr>
      <w:r>
        <w:t xml:space="preserve">ISO 27001;</w:t>
      </w:r>
    </w:p>
    <w:p>
      <w:pPr>
        <w:pStyle w:val="Compact"/>
        <w:numPr>
          <w:ilvl w:val="0"/>
          <w:numId w:val="1089"/>
        </w:numPr>
      </w:pPr>
      <w:r>
        <w:t xml:space="preserve">GDPR;</w:t>
      </w:r>
    </w:p>
    <w:p>
      <w:pPr>
        <w:pStyle w:val="Compact"/>
        <w:numPr>
          <w:ilvl w:val="0"/>
          <w:numId w:val="1089"/>
        </w:numPr>
      </w:pPr>
      <w:r>
        <w:t xml:space="preserve">FedRAMP;</w:t>
      </w:r>
    </w:p>
    <w:p>
      <w:pPr>
        <w:pStyle w:val="Compact"/>
        <w:numPr>
          <w:ilvl w:val="0"/>
          <w:numId w:val="1089"/>
        </w:numPr>
      </w:pPr>
      <w:r>
        <w:t xml:space="preserve">and customer-specific control frameworks.</w:t>
      </w:r>
    </w:p>
    <w:p>
      <w:pPr>
        <w:pStyle w:val="FirstParagraph"/>
      </w:pPr>
      <w:r>
        <w:t xml:space="preserve">The architecture does not claim certification merely because it provides technical controls.</w:t>
      </w:r>
    </w:p>
    <w:p>
      <w:pPr>
        <w:pStyle w:val="BodyText"/>
      </w:pPr>
      <w:r>
        <w:t xml:space="preserve">Compliance support requires documented controls, operational processes, evidence, testing, and organizational governance.</w:t>
      </w:r>
    </w:p>
    <w:p>
      <w:r>
        <w:pict>
          <v:rect style="width:0;height:1.5pt" o:hralign="center" o:hrstd="t" o:hr="t"/>
        </w:pict>
      </w:r>
    </w:p>
    <w:bookmarkEnd w:id="127"/>
    <w:bookmarkEnd w:id="128"/>
    <w:bookmarkStart w:id="136" w:name="platform-foundation"/>
    <w:p>
      <w:pPr>
        <w:pStyle w:val="Heading1"/>
      </w:pPr>
      <w:r>
        <w:t xml:space="preserve">2.16 Platform Foundation</w:t>
      </w:r>
    </w:p>
    <w:p>
      <w:pPr>
        <w:pStyle w:val="FirstParagraph"/>
      </w:pPr>
      <w:r>
        <w:t xml:space="preserve">The Platform Foundation provides the runtime and operational capabilities required to deploy and operate AccuSec.</w:t>
      </w:r>
    </w:p>
    <w:bookmarkStart w:id="129" w:name="kubernetes"/>
    <w:p>
      <w:pPr>
        <w:pStyle w:val="Heading2"/>
      </w:pPr>
      <w:r>
        <w:t xml:space="preserve">2.16.1 Kubernetes</w:t>
      </w:r>
    </w:p>
    <w:p>
      <w:pPr>
        <w:pStyle w:val="FirstParagraph"/>
      </w:pPr>
      <w:r>
        <w:t xml:space="preserve">Kubernetes is the expected orchestration platform for Enterprise Edition.</w:t>
      </w:r>
    </w:p>
    <w:p>
      <w:pPr>
        <w:pStyle w:val="BodyText"/>
      </w:pPr>
      <w:r>
        <w:t xml:space="preserve">It provides:</w:t>
      </w:r>
    </w:p>
    <w:p>
      <w:pPr>
        <w:pStyle w:val="Compact"/>
        <w:numPr>
          <w:ilvl w:val="0"/>
          <w:numId w:val="1090"/>
        </w:numPr>
      </w:pPr>
      <w:r>
        <w:t xml:space="preserve">scheduling;</w:t>
      </w:r>
    </w:p>
    <w:p>
      <w:pPr>
        <w:pStyle w:val="Compact"/>
        <w:numPr>
          <w:ilvl w:val="0"/>
          <w:numId w:val="1090"/>
        </w:numPr>
      </w:pPr>
      <w:r>
        <w:t xml:space="preserve">service deployment;</w:t>
      </w:r>
    </w:p>
    <w:p>
      <w:pPr>
        <w:pStyle w:val="Compact"/>
        <w:numPr>
          <w:ilvl w:val="0"/>
          <w:numId w:val="1090"/>
        </w:numPr>
      </w:pPr>
      <w:r>
        <w:t xml:space="preserve">health management;</w:t>
      </w:r>
    </w:p>
    <w:p>
      <w:pPr>
        <w:pStyle w:val="Compact"/>
        <w:numPr>
          <w:ilvl w:val="0"/>
          <w:numId w:val="1090"/>
        </w:numPr>
      </w:pPr>
      <w:r>
        <w:t xml:space="preserve">scaling;</w:t>
      </w:r>
    </w:p>
    <w:p>
      <w:pPr>
        <w:pStyle w:val="Compact"/>
        <w:numPr>
          <w:ilvl w:val="0"/>
          <w:numId w:val="1090"/>
        </w:numPr>
      </w:pPr>
      <w:r>
        <w:t xml:space="preserve">configuration;</w:t>
      </w:r>
    </w:p>
    <w:p>
      <w:pPr>
        <w:pStyle w:val="Compact"/>
        <w:numPr>
          <w:ilvl w:val="0"/>
          <w:numId w:val="1090"/>
        </w:numPr>
      </w:pPr>
      <w:r>
        <w:t xml:space="preserve">secret integration;</w:t>
      </w:r>
    </w:p>
    <w:p>
      <w:pPr>
        <w:pStyle w:val="Compact"/>
        <w:numPr>
          <w:ilvl w:val="0"/>
          <w:numId w:val="1090"/>
        </w:numPr>
      </w:pPr>
      <w:r>
        <w:t xml:space="preserve">and workload isolation.</w:t>
      </w:r>
    </w:p>
    <w:p>
      <w:pPr>
        <w:pStyle w:val="FirstParagraph"/>
      </w:pPr>
      <w:r>
        <w:t xml:space="preserve">The Basic Edition may use a reduced deployment model.</w:t>
      </w:r>
    </w:p>
    <w:p>
      <w:pPr>
        <w:pStyle w:val="BodyText"/>
      </w:pPr>
      <w:r>
        <w:t xml:space="preserve">Kubernetes is not itself the AccuSec workflow orchestrator. It manages platform workloads, not enterprise AI task graphs.</w:t>
      </w:r>
    </w:p>
    <w:p>
      <w:r>
        <w:pict>
          <v:rect style="width:0;height:1.5pt" o:hralign="center" o:hrstd="t" o:hr="t"/>
        </w:pict>
      </w:r>
    </w:p>
    <w:bookmarkEnd w:id="129"/>
    <w:bookmarkStart w:id="130" w:name="service-mesh"/>
    <w:p>
      <w:pPr>
        <w:pStyle w:val="Heading2"/>
      </w:pPr>
      <w:r>
        <w:t xml:space="preserve">2.16.2 Service Mesh</w:t>
      </w:r>
    </w:p>
    <w:p>
      <w:pPr>
        <w:pStyle w:val="FirstParagraph"/>
      </w:pPr>
      <w:r>
        <w:t xml:space="preserve">A service mesh may provide:</w:t>
      </w:r>
    </w:p>
    <w:p>
      <w:pPr>
        <w:pStyle w:val="Compact"/>
        <w:numPr>
          <w:ilvl w:val="0"/>
          <w:numId w:val="1091"/>
        </w:numPr>
      </w:pPr>
      <w:r>
        <w:t xml:space="preserve">service identity;</w:t>
      </w:r>
    </w:p>
    <w:p>
      <w:pPr>
        <w:pStyle w:val="Compact"/>
        <w:numPr>
          <w:ilvl w:val="0"/>
          <w:numId w:val="1091"/>
        </w:numPr>
      </w:pPr>
      <w:r>
        <w:t xml:space="preserve">mutual TLS;</w:t>
      </w:r>
    </w:p>
    <w:p>
      <w:pPr>
        <w:pStyle w:val="Compact"/>
        <w:numPr>
          <w:ilvl w:val="0"/>
          <w:numId w:val="1091"/>
        </w:numPr>
      </w:pPr>
      <w:r>
        <w:t xml:space="preserve">traffic policy;</w:t>
      </w:r>
    </w:p>
    <w:p>
      <w:pPr>
        <w:pStyle w:val="Compact"/>
        <w:numPr>
          <w:ilvl w:val="0"/>
          <w:numId w:val="1091"/>
        </w:numPr>
      </w:pPr>
      <w:r>
        <w:t xml:space="preserve">retries;</w:t>
      </w:r>
    </w:p>
    <w:p>
      <w:pPr>
        <w:pStyle w:val="Compact"/>
        <w:numPr>
          <w:ilvl w:val="0"/>
          <w:numId w:val="1091"/>
        </w:numPr>
      </w:pPr>
      <w:r>
        <w:t xml:space="preserve">circuit breaking;</w:t>
      </w:r>
    </w:p>
    <w:p>
      <w:pPr>
        <w:pStyle w:val="Compact"/>
        <w:numPr>
          <w:ilvl w:val="0"/>
          <w:numId w:val="1091"/>
        </w:numPr>
      </w:pPr>
      <w:r>
        <w:t xml:space="preserve">and service telemetry.</w:t>
      </w:r>
    </w:p>
    <w:p>
      <w:pPr>
        <w:pStyle w:val="FirstParagraph"/>
      </w:pPr>
      <w:r>
        <w:t xml:space="preserve">Istio or Linkerd may be considered.</w:t>
      </w:r>
    </w:p>
    <w:p>
      <w:pPr>
        <w:pStyle w:val="BodyText"/>
      </w:pPr>
      <w:r>
        <w:t xml:space="preserve">A service mesh should be adopted only where its security and operational benefits justify its complexity.</w:t>
      </w:r>
    </w:p>
    <w:p>
      <w:r>
        <w:pict>
          <v:rect style="width:0;height:1.5pt" o:hralign="center" o:hrstd="t" o:hr="t"/>
        </w:pict>
      </w:r>
    </w:p>
    <w:bookmarkEnd w:id="130"/>
    <w:bookmarkStart w:id="131" w:name="cicd-pipeline"/>
    <w:p>
      <w:pPr>
        <w:pStyle w:val="Heading2"/>
      </w:pPr>
      <w:r>
        <w:t xml:space="preserve">2.16.3 CI/CD Pipeline</w:t>
      </w:r>
    </w:p>
    <w:p>
      <w:pPr>
        <w:pStyle w:val="FirstParagraph"/>
      </w:pPr>
      <w:r>
        <w:t xml:space="preserve">The CI/CD pipeline builds, tests, scans, signs, and deploys AccuSec software and configuration.</w:t>
      </w:r>
    </w:p>
    <w:p>
      <w:pPr>
        <w:pStyle w:val="BodyText"/>
      </w:pPr>
      <w:r>
        <w:t xml:space="preserve">It must support:</w:t>
      </w:r>
    </w:p>
    <w:p>
      <w:pPr>
        <w:pStyle w:val="Compact"/>
        <w:numPr>
          <w:ilvl w:val="0"/>
          <w:numId w:val="1092"/>
        </w:numPr>
      </w:pPr>
      <w:r>
        <w:t xml:space="preserve">source control;</w:t>
      </w:r>
    </w:p>
    <w:p>
      <w:pPr>
        <w:pStyle w:val="Compact"/>
        <w:numPr>
          <w:ilvl w:val="0"/>
          <w:numId w:val="1092"/>
        </w:numPr>
      </w:pPr>
      <w:r>
        <w:t xml:space="preserve">automated testing;</w:t>
      </w:r>
    </w:p>
    <w:p>
      <w:pPr>
        <w:pStyle w:val="Compact"/>
        <w:numPr>
          <w:ilvl w:val="0"/>
          <w:numId w:val="1092"/>
        </w:numPr>
      </w:pPr>
      <w:r>
        <w:t xml:space="preserve">dependency scanning;</w:t>
      </w:r>
    </w:p>
    <w:p>
      <w:pPr>
        <w:pStyle w:val="Compact"/>
        <w:numPr>
          <w:ilvl w:val="0"/>
          <w:numId w:val="1092"/>
        </w:numPr>
      </w:pPr>
      <w:r>
        <w:t xml:space="preserve">container scanning;</w:t>
      </w:r>
    </w:p>
    <w:p>
      <w:pPr>
        <w:pStyle w:val="Compact"/>
        <w:numPr>
          <w:ilvl w:val="0"/>
          <w:numId w:val="1092"/>
        </w:numPr>
      </w:pPr>
      <w:r>
        <w:t xml:space="preserve">artifact signing;</w:t>
      </w:r>
    </w:p>
    <w:p>
      <w:pPr>
        <w:pStyle w:val="Compact"/>
        <w:numPr>
          <w:ilvl w:val="0"/>
          <w:numId w:val="1092"/>
        </w:numPr>
      </w:pPr>
      <w:r>
        <w:t xml:space="preserve">provenance;</w:t>
      </w:r>
    </w:p>
    <w:p>
      <w:pPr>
        <w:pStyle w:val="Compact"/>
        <w:numPr>
          <w:ilvl w:val="0"/>
          <w:numId w:val="1092"/>
        </w:numPr>
      </w:pPr>
      <w:r>
        <w:t xml:space="preserve">staged deployment;</w:t>
      </w:r>
    </w:p>
    <w:p>
      <w:pPr>
        <w:pStyle w:val="Compact"/>
        <w:numPr>
          <w:ilvl w:val="0"/>
          <w:numId w:val="1092"/>
        </w:numPr>
      </w:pPr>
      <w:r>
        <w:t xml:space="preserve">rollback;</w:t>
      </w:r>
    </w:p>
    <w:p>
      <w:pPr>
        <w:pStyle w:val="Compact"/>
        <w:numPr>
          <w:ilvl w:val="0"/>
          <w:numId w:val="1092"/>
        </w:numPr>
      </w:pPr>
      <w:r>
        <w:t xml:space="preserve">and environment promotion.</w:t>
      </w:r>
    </w:p>
    <w:p>
      <w:pPr>
        <w:pStyle w:val="FirstParagraph"/>
      </w:pPr>
      <w:r>
        <w:t xml:space="preserve">Agent definitions, skills, prompt templates, policies, schemas, and workflow definitions should be managed with comparable version discipline.</w:t>
      </w:r>
    </w:p>
    <w:p>
      <w:r>
        <w:pict>
          <v:rect style="width:0;height:1.5pt" o:hralign="center" o:hrstd="t" o:hr="t"/>
        </w:pict>
      </w:r>
    </w:p>
    <w:bookmarkEnd w:id="131"/>
    <w:bookmarkStart w:id="132" w:name="infrastructure-as-code"/>
    <w:p>
      <w:pPr>
        <w:pStyle w:val="Heading2"/>
      </w:pPr>
      <w:r>
        <w:t xml:space="preserve">2.16.4 Infrastructure as Code</w:t>
      </w:r>
    </w:p>
    <w:p>
      <w:pPr>
        <w:pStyle w:val="FirstParagraph"/>
      </w:pPr>
      <w:r>
        <w:t xml:space="preserve">Infrastructure as Code provides repeatable deployment and environment configuration.</w:t>
      </w:r>
    </w:p>
    <w:p>
      <w:pPr>
        <w:pStyle w:val="BodyText"/>
      </w:pPr>
      <w:r>
        <w:t xml:space="preserve">Terraform or an equivalent mechanism may be used.</w:t>
      </w:r>
    </w:p>
    <w:p>
      <w:pPr>
        <w:pStyle w:val="BodyText"/>
      </w:pPr>
      <w:r>
        <w:t xml:space="preserve">Infrastructure configuration must be versioned, reviewed, tested, and auditable.</w:t>
      </w:r>
    </w:p>
    <w:p>
      <w:r>
        <w:pict>
          <v:rect style="width:0;height:1.5pt" o:hralign="center" o:hrstd="t" o:hr="t"/>
        </w:pict>
      </w:r>
    </w:p>
    <w:bookmarkEnd w:id="132"/>
    <w:bookmarkStart w:id="133" w:name="monitoring"/>
    <w:p>
      <w:pPr>
        <w:pStyle w:val="Heading2"/>
      </w:pPr>
      <w:r>
        <w:t xml:space="preserve">2.16.5 Monitoring</w:t>
      </w:r>
    </w:p>
    <w:p>
      <w:pPr>
        <w:pStyle w:val="FirstParagraph"/>
      </w:pPr>
      <w:r>
        <w:t xml:space="preserve">Platform monitoring provides health, availability, performance, and capacity information for AccuSec itself.</w:t>
      </w:r>
    </w:p>
    <w:p>
      <w:pPr>
        <w:pStyle w:val="BodyText"/>
      </w:pPr>
      <w:r>
        <w:t xml:space="preserve">Prometheus and Grafana are potential implementation choices.</w:t>
      </w:r>
    </w:p>
    <w:p>
      <w:pPr>
        <w:pStyle w:val="BodyText"/>
      </w:pPr>
      <w:r>
        <w:t xml:space="preserve">Customer infrastructure monitoring and AccuSec platform monitoring are logically separate, even if some technology is shared.</w:t>
      </w:r>
    </w:p>
    <w:p>
      <w:r>
        <w:pict>
          <v:rect style="width:0;height:1.5pt" o:hralign="center" o:hrstd="t" o:hr="t"/>
        </w:pict>
      </w:r>
    </w:p>
    <w:bookmarkEnd w:id="133"/>
    <w:bookmarkStart w:id="134" w:name="logging"/>
    <w:p>
      <w:pPr>
        <w:pStyle w:val="Heading2"/>
      </w:pPr>
      <w:r>
        <w:t xml:space="preserve">2.16.6 Logging</w:t>
      </w:r>
    </w:p>
    <w:p>
      <w:pPr>
        <w:pStyle w:val="FirstParagraph"/>
      </w:pPr>
      <w:r>
        <w:t xml:space="preserve">Platform logging captures diagnostic and operational records.</w:t>
      </w:r>
    </w:p>
    <w:p>
      <w:pPr>
        <w:pStyle w:val="BodyText"/>
      </w:pPr>
      <w:r>
        <w:t xml:space="preserve">Potential implementations include OpenSearch or an enterprise-provided logging platform.</w:t>
      </w:r>
    </w:p>
    <w:p>
      <w:pPr>
        <w:pStyle w:val="BodyText"/>
      </w:pPr>
      <w:r>
        <w:t xml:space="preserve">Logs must:</w:t>
      </w:r>
    </w:p>
    <w:p>
      <w:pPr>
        <w:pStyle w:val="Compact"/>
        <w:numPr>
          <w:ilvl w:val="0"/>
          <w:numId w:val="1093"/>
        </w:numPr>
      </w:pPr>
      <w:r>
        <w:t xml:space="preserve">avoid secrets;</w:t>
      </w:r>
    </w:p>
    <w:p>
      <w:pPr>
        <w:pStyle w:val="Compact"/>
        <w:numPr>
          <w:ilvl w:val="0"/>
          <w:numId w:val="1093"/>
        </w:numPr>
      </w:pPr>
      <w:r>
        <w:t xml:space="preserve">include correlation identifiers;</w:t>
      </w:r>
    </w:p>
    <w:p>
      <w:pPr>
        <w:pStyle w:val="Compact"/>
        <w:numPr>
          <w:ilvl w:val="0"/>
          <w:numId w:val="1093"/>
        </w:numPr>
      </w:pPr>
      <w:r>
        <w:t xml:space="preserve">enforce tenant restrictions;</w:t>
      </w:r>
    </w:p>
    <w:p>
      <w:pPr>
        <w:pStyle w:val="Compact"/>
        <w:numPr>
          <w:ilvl w:val="0"/>
          <w:numId w:val="1093"/>
        </w:numPr>
      </w:pPr>
      <w:r>
        <w:t xml:space="preserve">follow retention policies;</w:t>
      </w:r>
    </w:p>
    <w:p>
      <w:pPr>
        <w:pStyle w:val="Compact"/>
        <w:numPr>
          <w:ilvl w:val="0"/>
          <w:numId w:val="1093"/>
        </w:numPr>
      </w:pPr>
      <w:r>
        <w:t xml:space="preserve">and separate debug information from required audit records.</w:t>
      </w:r>
    </w:p>
    <w:p>
      <w:r>
        <w:pict>
          <v:rect style="width:0;height:1.5pt" o:hralign="center" o:hrstd="t" o:hr="t"/>
        </w:pict>
      </w:r>
    </w:p>
    <w:bookmarkEnd w:id="134"/>
    <w:bookmarkStart w:id="135" w:name="backup-and-disaster-recovery"/>
    <w:p>
      <w:pPr>
        <w:pStyle w:val="Heading2"/>
      </w:pPr>
      <w:r>
        <w:t xml:space="preserve">2.16.7 Backup and Disaster Recovery</w:t>
      </w:r>
    </w:p>
    <w:p>
      <w:pPr>
        <w:pStyle w:val="FirstParagraph"/>
      </w:pPr>
      <w:r>
        <w:t xml:space="preserve">Backup and Disaster Recovery protect AccuSec control-plane state, configuration, audit evidence, and required artifacts.</w:t>
      </w:r>
    </w:p>
    <w:p>
      <w:pPr>
        <w:pStyle w:val="BodyText"/>
      </w:pPr>
      <w:r>
        <w:t xml:space="preserve">The architecture must define:</w:t>
      </w:r>
    </w:p>
    <w:p>
      <w:pPr>
        <w:pStyle w:val="Compact"/>
        <w:numPr>
          <w:ilvl w:val="0"/>
          <w:numId w:val="1094"/>
        </w:numPr>
      </w:pPr>
      <w:r>
        <w:t xml:space="preserve">recovery point objectives;</w:t>
      </w:r>
    </w:p>
    <w:p>
      <w:pPr>
        <w:pStyle w:val="Compact"/>
        <w:numPr>
          <w:ilvl w:val="0"/>
          <w:numId w:val="1094"/>
        </w:numPr>
      </w:pPr>
      <w:r>
        <w:t xml:space="preserve">recovery time objectives;</w:t>
      </w:r>
    </w:p>
    <w:p>
      <w:pPr>
        <w:pStyle w:val="Compact"/>
        <w:numPr>
          <w:ilvl w:val="0"/>
          <w:numId w:val="1094"/>
        </w:numPr>
      </w:pPr>
      <w:r>
        <w:t xml:space="preserve">backup scope;</w:t>
      </w:r>
    </w:p>
    <w:p>
      <w:pPr>
        <w:pStyle w:val="Compact"/>
        <w:numPr>
          <w:ilvl w:val="0"/>
          <w:numId w:val="1094"/>
        </w:numPr>
      </w:pPr>
      <w:r>
        <w:t xml:space="preserve">encryption;</w:t>
      </w:r>
    </w:p>
    <w:p>
      <w:pPr>
        <w:pStyle w:val="Compact"/>
        <w:numPr>
          <w:ilvl w:val="0"/>
          <w:numId w:val="1094"/>
        </w:numPr>
      </w:pPr>
      <w:r>
        <w:t xml:space="preserve">restoration testing;</w:t>
      </w:r>
    </w:p>
    <w:p>
      <w:pPr>
        <w:pStyle w:val="Compact"/>
        <w:numPr>
          <w:ilvl w:val="0"/>
          <w:numId w:val="1094"/>
        </w:numPr>
      </w:pPr>
      <w:r>
        <w:t xml:space="preserve">regional failure strategy;</w:t>
      </w:r>
    </w:p>
    <w:p>
      <w:pPr>
        <w:pStyle w:val="Compact"/>
        <w:numPr>
          <w:ilvl w:val="0"/>
          <w:numId w:val="1094"/>
        </w:numPr>
      </w:pPr>
      <w:r>
        <w:t xml:space="preserve">and tenant restoration behavior.</w:t>
      </w:r>
    </w:p>
    <w:p>
      <w:pPr>
        <w:pStyle w:val="FirstParagraph"/>
      </w:pPr>
      <w:r>
        <w:t xml:space="preserve">Backup and recovery of managed customer infrastructure remain external use cases unless explicitly provided by an AccuSec workflow.</w:t>
      </w:r>
    </w:p>
    <w:p>
      <w:r>
        <w:pict>
          <v:rect style="width:0;height:1.5pt" o:hralign="center" o:hrstd="t" o:hr="t"/>
        </w:pict>
      </w:r>
    </w:p>
    <w:bookmarkEnd w:id="135"/>
    <w:bookmarkEnd w:id="136"/>
    <w:bookmarkStart w:id="140" w:name="interaction-and-arrow-semantics"/>
    <w:p>
      <w:pPr>
        <w:pStyle w:val="Heading1"/>
      </w:pPr>
      <w:r>
        <w:t xml:space="preserve">2.17 Interaction and Arrow Semantics</w:t>
      </w:r>
    </w:p>
    <w:p>
      <w:pPr>
        <w:pStyle w:val="FirstParagraph"/>
      </w:pPr>
      <w:r>
        <w:t xml:space="preserve">The diagram uses solid and dashed arrows to distinguish interaction styles.</w:t>
      </w:r>
    </w:p>
    <w:bookmarkStart w:id="137" w:name="Xfeda57b8447dcb6fb550e7d15fb8b7b34490d01"/>
    <w:p>
      <w:pPr>
        <w:pStyle w:val="Heading2"/>
      </w:pPr>
      <w:r>
        <w:t xml:space="preserve">2.17.1 Solid arrows: synchronous request-response</w:t>
      </w:r>
    </w:p>
    <w:p>
      <w:pPr>
        <w:pStyle w:val="FirstParagraph"/>
      </w:pPr>
      <w:r>
        <w:t xml:space="preserve">A solid arrow represents a synchronous or logically blocking interaction.</w:t>
      </w:r>
    </w:p>
    <w:p>
      <w:pPr>
        <w:pStyle w:val="BodyText"/>
      </w:pPr>
      <w:r>
        <w:t xml:space="preserve">Examples include:</w:t>
      </w:r>
    </w:p>
    <w:p>
      <w:pPr>
        <w:pStyle w:val="Compact"/>
        <w:numPr>
          <w:ilvl w:val="0"/>
          <w:numId w:val="1095"/>
        </w:numPr>
      </w:pPr>
      <w:r>
        <w:t xml:space="preserve">UI to API Gateway;</w:t>
      </w:r>
    </w:p>
    <w:p>
      <w:pPr>
        <w:pStyle w:val="Compact"/>
        <w:numPr>
          <w:ilvl w:val="0"/>
          <w:numId w:val="1095"/>
        </w:numPr>
      </w:pPr>
      <w:r>
        <w:t xml:space="preserve">Orchestrator to Policy Service;</w:t>
      </w:r>
    </w:p>
    <w:p>
      <w:pPr>
        <w:pStyle w:val="Compact"/>
        <w:numPr>
          <w:ilvl w:val="0"/>
          <w:numId w:val="1095"/>
        </w:numPr>
      </w:pPr>
      <w:r>
        <w:t xml:space="preserve">Skill Harness to MCP Client;</w:t>
      </w:r>
    </w:p>
    <w:p>
      <w:pPr>
        <w:pStyle w:val="Compact"/>
        <w:numPr>
          <w:ilvl w:val="0"/>
          <w:numId w:val="1095"/>
        </w:numPr>
      </w:pPr>
      <w:r>
        <w:t xml:space="preserve">MCP Client to a bounded tool;</w:t>
      </w:r>
    </w:p>
    <w:p>
      <w:pPr>
        <w:pStyle w:val="Compact"/>
        <w:numPr>
          <w:ilvl w:val="0"/>
          <w:numId w:val="1095"/>
        </w:numPr>
      </w:pPr>
      <w:r>
        <w:t xml:space="preserve">Operational Context Service to an operational database;</w:t>
      </w:r>
    </w:p>
    <w:p>
      <w:pPr>
        <w:pStyle w:val="Compact"/>
        <w:numPr>
          <w:ilvl w:val="0"/>
          <w:numId w:val="1095"/>
        </w:numPr>
      </w:pPr>
      <w:r>
        <w:t xml:space="preserve">or AI Gateway to a model provider.</w:t>
      </w:r>
    </w:p>
    <w:p>
      <w:pPr>
        <w:pStyle w:val="FirstParagraph"/>
      </w:pPr>
      <w:r>
        <w:t xml:space="preserve">A synchronous interaction does not guarantee that the underlying business operation completes synchronously.</w:t>
      </w:r>
    </w:p>
    <w:p>
      <w:pPr>
        <w:pStyle w:val="BodyText"/>
      </w:pPr>
      <w:r>
        <w:t xml:space="preserve">For example, an API call may synchronously create a workflow that continues asynchronously.</w:t>
      </w:r>
    </w:p>
    <w:p>
      <w:r>
        <w:pict>
          <v:rect style="width:0;height:1.5pt" o:hralign="center" o:hrstd="t" o:hr="t"/>
        </w:pict>
      </w:r>
    </w:p>
    <w:bookmarkEnd w:id="137"/>
    <w:bookmarkStart w:id="138" w:name="X393fb077673d078e040b658a11bd291d91b8148"/>
    <w:p>
      <w:pPr>
        <w:pStyle w:val="Heading2"/>
      </w:pPr>
      <w:r>
        <w:t xml:space="preserve">2.17.2 Dashed arrows: asynchronous event or message</w:t>
      </w:r>
    </w:p>
    <w:p>
      <w:pPr>
        <w:pStyle w:val="FirstParagraph"/>
      </w:pPr>
      <w:r>
        <w:t xml:space="preserve">A dashed arrow represents asynchronous communication through:</w:t>
      </w:r>
    </w:p>
    <w:p>
      <w:pPr>
        <w:pStyle w:val="Compact"/>
        <w:numPr>
          <w:ilvl w:val="0"/>
          <w:numId w:val="1096"/>
        </w:numPr>
      </w:pPr>
      <w:r>
        <w:t xml:space="preserve">event publication;</w:t>
      </w:r>
    </w:p>
    <w:p>
      <w:pPr>
        <w:pStyle w:val="Compact"/>
        <w:numPr>
          <w:ilvl w:val="0"/>
          <w:numId w:val="1096"/>
        </w:numPr>
      </w:pPr>
      <w:r>
        <w:t xml:space="preserve">queued work;</w:t>
      </w:r>
    </w:p>
    <w:p>
      <w:pPr>
        <w:pStyle w:val="Compact"/>
        <w:numPr>
          <w:ilvl w:val="0"/>
          <w:numId w:val="1096"/>
        </w:numPr>
      </w:pPr>
      <w:r>
        <w:t xml:space="preserve">webhook delivery;</w:t>
      </w:r>
    </w:p>
    <w:p>
      <w:pPr>
        <w:pStyle w:val="Compact"/>
        <w:numPr>
          <w:ilvl w:val="0"/>
          <w:numId w:val="1096"/>
        </w:numPr>
      </w:pPr>
      <w:r>
        <w:t xml:space="preserve">long-running task updates;</w:t>
      </w:r>
    </w:p>
    <w:p>
      <w:pPr>
        <w:pStyle w:val="Compact"/>
        <w:numPr>
          <w:ilvl w:val="0"/>
          <w:numId w:val="1096"/>
        </w:numPr>
      </w:pPr>
      <w:r>
        <w:t xml:space="preserve">or scheduled execution.</w:t>
      </w:r>
    </w:p>
    <w:p>
      <w:pPr>
        <w:pStyle w:val="FirstParagraph"/>
      </w:pPr>
      <w:r>
        <w:t xml:space="preserve">Asynchronous interactions require:</w:t>
      </w:r>
    </w:p>
    <w:p>
      <w:pPr>
        <w:pStyle w:val="Compact"/>
        <w:numPr>
          <w:ilvl w:val="0"/>
          <w:numId w:val="1097"/>
        </w:numPr>
      </w:pPr>
      <w:r>
        <w:t xml:space="preserve">durable identity;</w:t>
      </w:r>
    </w:p>
    <w:p>
      <w:pPr>
        <w:pStyle w:val="Compact"/>
        <w:numPr>
          <w:ilvl w:val="0"/>
          <w:numId w:val="1097"/>
        </w:numPr>
      </w:pPr>
      <w:r>
        <w:t xml:space="preserve">tenant context;</w:t>
      </w:r>
    </w:p>
    <w:p>
      <w:pPr>
        <w:pStyle w:val="Compact"/>
        <w:numPr>
          <w:ilvl w:val="0"/>
          <w:numId w:val="1097"/>
        </w:numPr>
      </w:pPr>
      <w:r>
        <w:t xml:space="preserve">correlation;</w:t>
      </w:r>
    </w:p>
    <w:p>
      <w:pPr>
        <w:pStyle w:val="Compact"/>
        <w:numPr>
          <w:ilvl w:val="0"/>
          <w:numId w:val="1097"/>
        </w:numPr>
      </w:pPr>
      <w:r>
        <w:t xml:space="preserve">idempotency;</w:t>
      </w:r>
    </w:p>
    <w:p>
      <w:pPr>
        <w:pStyle w:val="Compact"/>
        <w:numPr>
          <w:ilvl w:val="0"/>
          <w:numId w:val="1097"/>
        </w:numPr>
      </w:pPr>
      <w:r>
        <w:t xml:space="preserve">retry policy;</w:t>
      </w:r>
    </w:p>
    <w:p>
      <w:pPr>
        <w:pStyle w:val="Compact"/>
        <w:numPr>
          <w:ilvl w:val="0"/>
          <w:numId w:val="1097"/>
        </w:numPr>
      </w:pPr>
      <w:r>
        <w:t xml:space="preserve">expiration;</w:t>
      </w:r>
    </w:p>
    <w:p>
      <w:pPr>
        <w:pStyle w:val="Compact"/>
        <w:numPr>
          <w:ilvl w:val="0"/>
          <w:numId w:val="1097"/>
        </w:numPr>
      </w:pPr>
      <w:r>
        <w:t xml:space="preserve">and dead-letter or escalation behavior.</w:t>
      </w:r>
    </w:p>
    <w:p>
      <w:r>
        <w:pict>
          <v:rect style="width:0;height:1.5pt" o:hralign="center" o:hrstd="t" o:hr="t"/>
        </w:pict>
      </w:r>
    </w:p>
    <w:bookmarkEnd w:id="138"/>
    <w:bookmarkStart w:id="139" w:name="bidirectional-arrows"/>
    <w:p>
      <w:pPr>
        <w:pStyle w:val="Heading2"/>
      </w:pPr>
      <w:r>
        <w:t xml:space="preserve">2.17.3 Bidirectional arrows</w:t>
      </w:r>
    </w:p>
    <w:p>
      <w:pPr>
        <w:pStyle w:val="FirstParagraph"/>
      </w:pPr>
      <w:r>
        <w:t xml:space="preserve">A bidirectional arrow means that both regions can initiate valid interactions. It does not imply unrestricted network access.</w:t>
      </w:r>
    </w:p>
    <w:p>
      <w:pPr>
        <w:pStyle w:val="BodyText"/>
      </w:pPr>
      <w:r>
        <w:t xml:space="preserve">For example:</w:t>
      </w:r>
    </w:p>
    <w:p>
      <w:pPr>
        <w:pStyle w:val="Compact"/>
        <w:numPr>
          <w:ilvl w:val="0"/>
          <w:numId w:val="1098"/>
        </w:numPr>
      </w:pPr>
      <w:r>
        <w:t xml:space="preserve">AccuSec may call a managed platform API;</w:t>
      </w:r>
    </w:p>
    <w:p>
      <w:pPr>
        <w:pStyle w:val="Compact"/>
        <w:numPr>
          <w:ilvl w:val="0"/>
          <w:numId w:val="1098"/>
        </w:numPr>
      </w:pPr>
      <w:r>
        <w:t xml:space="preserve">the managed platform may send events to AccuSec.</w:t>
      </w:r>
    </w:p>
    <w:p>
      <w:pPr>
        <w:pStyle w:val="FirstParagraph"/>
      </w:pPr>
      <w:r>
        <w:t xml:space="preserve">Each direction has a distinct identity, authentication method, authorization policy, and data contract.</w:t>
      </w:r>
    </w:p>
    <w:p>
      <w:r>
        <w:pict>
          <v:rect style="width:0;height:1.5pt" o:hralign="center" o:hrstd="t" o:hr="t"/>
        </w:pict>
      </w:r>
    </w:p>
    <w:bookmarkEnd w:id="139"/>
    <w:bookmarkEnd w:id="140"/>
    <w:bookmarkStart w:id="145" w:name="principal-end-to-end-interactions"/>
    <w:p>
      <w:pPr>
        <w:pStyle w:val="Heading1"/>
      </w:pPr>
      <w:r>
        <w:t xml:space="preserve">2.18 Principal End-to-End Interactions</w:t>
      </w:r>
    </w:p>
    <w:bookmarkStart w:id="141" w:name="read-only-conversational-request"/>
    <w:p>
      <w:pPr>
        <w:pStyle w:val="Heading2"/>
      </w:pPr>
      <w:r>
        <w:t xml:space="preserve">2.18.1 Read-only conversational request</w:t>
      </w:r>
    </w:p>
    <w:p>
      <w:pPr>
        <w:pStyle w:val="FirstParagraph"/>
      </w:pPr>
      <w:r>
        <w:t xml:space="preserve">Example:</w:t>
      </w:r>
      <w:r>
        <w:t xml:space="preserve"> </w:t>
      </w:r>
      <w:r>
        <w:t xml:space="preserve">“Why is cluster A experiencing high latency?”</w:t>
      </w:r>
    </w:p>
    <w:p>
      <w:pPr>
        <w:pStyle w:val="Compact"/>
        <w:numPr>
          <w:ilvl w:val="0"/>
          <w:numId w:val="1099"/>
        </w:numPr>
      </w:pPr>
      <w:r>
        <w:t xml:space="preserve">A user authenticates through the Desktop or Web Console.</w:t>
      </w:r>
    </w:p>
    <w:p>
      <w:pPr>
        <w:pStyle w:val="Compact"/>
        <w:numPr>
          <w:ilvl w:val="0"/>
          <w:numId w:val="1099"/>
        </w:numPr>
      </w:pPr>
      <w:r>
        <w:t xml:space="preserve">The interface submits the request through the API Gateway.</w:t>
      </w:r>
    </w:p>
    <w:p>
      <w:pPr>
        <w:pStyle w:val="Compact"/>
        <w:numPr>
          <w:ilvl w:val="0"/>
          <w:numId w:val="1099"/>
        </w:numPr>
      </w:pPr>
      <w:r>
        <w:t xml:space="preserve">The platform establishes tenant, workspace, identity, and session context.</w:t>
      </w:r>
    </w:p>
    <w:p>
      <w:pPr>
        <w:pStyle w:val="Compact"/>
        <w:numPr>
          <w:ilvl w:val="0"/>
          <w:numId w:val="1099"/>
        </w:numPr>
      </w:pPr>
      <w:r>
        <w:t xml:space="preserve">The Agent Orchestrator selects the appropriate Enterprise AI Engineer.</w:t>
      </w:r>
    </w:p>
    <w:p>
      <w:pPr>
        <w:pStyle w:val="Compact"/>
        <w:numPr>
          <w:ilvl w:val="0"/>
          <w:numId w:val="1099"/>
        </w:numPr>
      </w:pPr>
      <w:r>
        <w:t xml:space="preserve">The Planner identifies required context.</w:t>
      </w:r>
    </w:p>
    <w:p>
      <w:pPr>
        <w:pStyle w:val="Compact"/>
        <w:numPr>
          <w:ilvl w:val="0"/>
          <w:numId w:val="1099"/>
        </w:numPr>
      </w:pPr>
      <w:r>
        <w:t xml:space="preserve">The Policy Service verifies that the user may view the requested resources.</w:t>
      </w:r>
    </w:p>
    <w:p>
      <w:pPr>
        <w:pStyle w:val="Compact"/>
        <w:numPr>
          <w:ilvl w:val="0"/>
          <w:numId w:val="1099"/>
        </w:numPr>
      </w:pPr>
      <w:r>
        <w:t xml:space="preserve">The Operational Context Service retrieves current topology, metrics, alerts, and relevant history.</w:t>
      </w:r>
    </w:p>
    <w:p>
      <w:pPr>
        <w:pStyle w:val="Compact"/>
        <w:numPr>
          <w:ilvl w:val="0"/>
          <w:numId w:val="1099"/>
        </w:numPr>
      </w:pPr>
      <w:r>
        <w:t xml:space="preserve">If required, Connectors refresh authoritative state from target systems.</w:t>
      </w:r>
    </w:p>
    <w:p>
      <w:pPr>
        <w:pStyle w:val="Compact"/>
        <w:numPr>
          <w:ilvl w:val="0"/>
          <w:numId w:val="1099"/>
        </w:numPr>
      </w:pPr>
      <w:r>
        <w:t xml:space="preserve">The Agent uses approved diagnostic skills.</w:t>
      </w:r>
    </w:p>
    <w:p>
      <w:pPr>
        <w:pStyle w:val="Compact"/>
        <w:numPr>
          <w:ilvl w:val="0"/>
          <w:numId w:val="1099"/>
        </w:numPr>
      </w:pPr>
      <w:r>
        <w:t xml:space="preserve">Model calls flow through the AI Gateway.</w:t>
      </w:r>
    </w:p>
    <w:p>
      <w:pPr>
        <w:pStyle w:val="Compact"/>
        <w:numPr>
          <w:ilvl w:val="0"/>
          <w:numId w:val="1099"/>
        </w:numPr>
      </w:pPr>
      <w:r>
        <w:t xml:space="preserve">The Agent produces findings with evidence, confidence, and provenance.</w:t>
      </w:r>
    </w:p>
    <w:p>
      <w:pPr>
        <w:pStyle w:val="Compact"/>
        <w:numPr>
          <w:ilvl w:val="0"/>
          <w:numId w:val="1099"/>
        </w:numPr>
      </w:pPr>
      <w:r>
        <w:t xml:space="preserve">The result is returned to the user.</w:t>
      </w:r>
    </w:p>
    <w:p>
      <w:pPr>
        <w:pStyle w:val="Compact"/>
        <w:numPr>
          <w:ilvl w:val="0"/>
          <w:numId w:val="1099"/>
        </w:numPr>
      </w:pPr>
      <w:r>
        <w:t xml:space="preserve">The execution is observed and audited.</w:t>
      </w:r>
    </w:p>
    <w:p>
      <w:pPr>
        <w:pStyle w:val="FirstParagraph"/>
      </w:pPr>
      <w:r>
        <w:t xml:space="preserve">No change operation occurs.</w:t>
      </w:r>
    </w:p>
    <w:p>
      <w:r>
        <w:pict>
          <v:rect style="width:0;height:1.5pt" o:hralign="center" o:hrstd="t" o:hr="t"/>
        </w:pict>
      </w:r>
    </w:p>
    <w:bookmarkEnd w:id="141"/>
    <w:bookmarkStart w:id="142" w:name="governed-change-request"/>
    <w:p>
      <w:pPr>
        <w:pStyle w:val="Heading2"/>
      </w:pPr>
      <w:r>
        <w:t xml:space="preserve">2.18.2 Governed change request</w:t>
      </w:r>
    </w:p>
    <w:p>
      <w:pPr>
        <w:pStyle w:val="FirstParagraph"/>
      </w:pPr>
      <w:r>
        <w:t xml:space="preserve">Example:</w:t>
      </w:r>
      <w:r>
        <w:t xml:space="preserve"> </w:t>
      </w:r>
      <w:r>
        <w:t xml:space="preserve">“Expand storage for cluster A by 20 TB.”</w:t>
      </w:r>
    </w:p>
    <w:p>
      <w:pPr>
        <w:pStyle w:val="Compact"/>
        <w:numPr>
          <w:ilvl w:val="0"/>
          <w:numId w:val="1100"/>
        </w:numPr>
      </w:pPr>
      <w:r>
        <w:t xml:space="preserve">The user submits the request.</w:t>
      </w:r>
    </w:p>
    <w:p>
      <w:pPr>
        <w:pStyle w:val="Compact"/>
        <w:numPr>
          <w:ilvl w:val="0"/>
          <w:numId w:val="1100"/>
        </w:numPr>
      </w:pPr>
      <w:r>
        <w:t xml:space="preserve">Identity and tenant context are established.</w:t>
      </w:r>
    </w:p>
    <w:p>
      <w:pPr>
        <w:pStyle w:val="Compact"/>
        <w:numPr>
          <w:ilvl w:val="0"/>
          <w:numId w:val="1100"/>
        </w:numPr>
      </w:pPr>
      <w:r>
        <w:t xml:space="preserve">The Orchestrator selects the appropriate Enterprise AI Engineer.</w:t>
      </w:r>
    </w:p>
    <w:p>
      <w:pPr>
        <w:pStyle w:val="Compact"/>
        <w:numPr>
          <w:ilvl w:val="0"/>
          <w:numId w:val="1100"/>
        </w:numPr>
      </w:pPr>
      <w:r>
        <w:t xml:space="preserve">The Planner identifies affected resources, dependencies, preconditions, risks, and validation steps.</w:t>
      </w:r>
    </w:p>
    <w:p>
      <w:pPr>
        <w:pStyle w:val="Compact"/>
        <w:numPr>
          <w:ilvl w:val="0"/>
          <w:numId w:val="1100"/>
        </w:numPr>
      </w:pPr>
      <w:r>
        <w:t xml:space="preserve">Current state is refreshed from authoritative systems.</w:t>
      </w:r>
    </w:p>
    <w:p>
      <w:pPr>
        <w:pStyle w:val="Compact"/>
        <w:numPr>
          <w:ilvl w:val="0"/>
          <w:numId w:val="1100"/>
        </w:numPr>
      </w:pPr>
      <w:r>
        <w:t xml:space="preserve">The proposed plan is validated by the Skill Harness and Policy Service.</w:t>
      </w:r>
    </w:p>
    <w:p>
      <w:pPr>
        <w:pStyle w:val="Compact"/>
        <w:numPr>
          <w:ilvl w:val="0"/>
          <w:numId w:val="1100"/>
        </w:numPr>
      </w:pPr>
      <w:r>
        <w:t xml:space="preserve">Authorization is evaluated.</w:t>
      </w:r>
    </w:p>
    <w:p>
      <w:pPr>
        <w:pStyle w:val="Compact"/>
        <w:numPr>
          <w:ilvl w:val="0"/>
          <w:numId w:val="1100"/>
        </w:numPr>
      </w:pPr>
      <w:r>
        <w:t xml:space="preserve">Required change records or maintenance windows are verified.</w:t>
      </w:r>
    </w:p>
    <w:p>
      <w:pPr>
        <w:pStyle w:val="Compact"/>
        <w:numPr>
          <w:ilvl w:val="0"/>
          <w:numId w:val="1100"/>
        </w:numPr>
      </w:pPr>
      <w:r>
        <w:t xml:space="preserve">If policy requires approval, the Human-in-the-Loop service creates an approval request.</w:t>
      </w:r>
    </w:p>
    <w:p>
      <w:pPr>
        <w:pStyle w:val="Compact"/>
        <w:numPr>
          <w:ilvl w:val="0"/>
          <w:numId w:val="1100"/>
        </w:numPr>
      </w:pPr>
      <w:r>
        <w:t xml:space="preserve">An eligible human reviews the plan and approves, rejects, or modifies it.</w:t>
      </w:r>
    </w:p>
    <w:p>
      <w:pPr>
        <w:pStyle w:val="Compact"/>
        <w:numPr>
          <w:ilvl w:val="0"/>
          <w:numId w:val="1100"/>
        </w:numPr>
      </w:pPr>
      <w:r>
        <w:t xml:space="preserve">The Workflow Engine dispatches approved work.</w:t>
      </w:r>
    </w:p>
    <w:p>
      <w:pPr>
        <w:pStyle w:val="Compact"/>
        <w:numPr>
          <w:ilvl w:val="0"/>
          <w:numId w:val="1100"/>
        </w:numPr>
      </w:pPr>
      <w:r>
        <w:t xml:space="preserve">The Skill Harness invokes approved tools through MCP or native connectors.</w:t>
      </w:r>
    </w:p>
    <w:p>
      <w:pPr>
        <w:pStyle w:val="Compact"/>
        <w:numPr>
          <w:ilvl w:val="0"/>
          <w:numId w:val="1100"/>
        </w:numPr>
      </w:pPr>
      <w:r>
        <w:t xml:space="preserve">The connector authenticates to the target platform with a scoped workload identity.</w:t>
      </w:r>
    </w:p>
    <w:p>
      <w:pPr>
        <w:pStyle w:val="Compact"/>
        <w:numPr>
          <w:ilvl w:val="0"/>
          <w:numId w:val="1100"/>
        </w:numPr>
      </w:pPr>
      <w:r>
        <w:t xml:space="preserve">Long-running work proceeds asynchronously.</w:t>
      </w:r>
    </w:p>
    <w:p>
      <w:pPr>
        <w:pStyle w:val="Compact"/>
        <w:numPr>
          <w:ilvl w:val="0"/>
          <w:numId w:val="1100"/>
        </w:numPr>
      </w:pPr>
      <w:r>
        <w:t xml:space="preserve">Events or polling update workflow state.</w:t>
      </w:r>
    </w:p>
    <w:p>
      <w:pPr>
        <w:pStyle w:val="Compact"/>
        <w:numPr>
          <w:ilvl w:val="0"/>
          <w:numId w:val="1100"/>
        </w:numPr>
      </w:pPr>
      <w:r>
        <w:t xml:space="preserve">Postconditions are validated.</w:t>
      </w:r>
    </w:p>
    <w:p>
      <w:pPr>
        <w:pStyle w:val="Compact"/>
        <w:numPr>
          <w:ilvl w:val="0"/>
          <w:numId w:val="1100"/>
        </w:numPr>
      </w:pPr>
      <w:r>
        <w:t xml:space="preserve">If validation fails, the workflow retries, compensates, or escalates according to policy.</w:t>
      </w:r>
    </w:p>
    <w:p>
      <w:pPr>
        <w:pStyle w:val="Compact"/>
        <w:numPr>
          <w:ilvl w:val="0"/>
          <w:numId w:val="1100"/>
        </w:numPr>
      </w:pPr>
      <w:r>
        <w:t xml:space="preserve">Operational context is refreshed.</w:t>
      </w:r>
    </w:p>
    <w:p>
      <w:pPr>
        <w:pStyle w:val="Compact"/>
        <w:numPr>
          <w:ilvl w:val="0"/>
          <w:numId w:val="1100"/>
        </w:numPr>
      </w:pPr>
      <w:r>
        <w:t xml:space="preserve">The final result and evidence are presented to the user.</w:t>
      </w:r>
    </w:p>
    <w:p>
      <w:pPr>
        <w:pStyle w:val="Compact"/>
        <w:numPr>
          <w:ilvl w:val="0"/>
          <w:numId w:val="1100"/>
        </w:numPr>
      </w:pPr>
      <w:r>
        <w:t xml:space="preserve">All decisions and actions are recorded in the audit trail.</w:t>
      </w:r>
    </w:p>
    <w:p>
      <w:r>
        <w:pict>
          <v:rect style="width:0;height:1.5pt" o:hralign="center" o:hrstd="t" o:hr="t"/>
        </w:pict>
      </w:r>
    </w:p>
    <w:bookmarkEnd w:id="142"/>
    <w:bookmarkStart w:id="143" w:name="event-driven-remediation"/>
    <w:p>
      <w:pPr>
        <w:pStyle w:val="Heading2"/>
      </w:pPr>
      <w:r>
        <w:t xml:space="preserve">2.18.3 Event-driven remediation</w:t>
      </w:r>
    </w:p>
    <w:p>
      <w:pPr>
        <w:pStyle w:val="FirstParagraph"/>
      </w:pPr>
      <w:r>
        <w:t xml:space="preserve">Example: A monitoring system reports a host failure.</w:t>
      </w:r>
    </w:p>
    <w:p>
      <w:pPr>
        <w:pStyle w:val="Compact"/>
        <w:numPr>
          <w:ilvl w:val="0"/>
          <w:numId w:val="1101"/>
        </w:numPr>
      </w:pPr>
      <w:r>
        <w:t xml:space="preserve">The monitoring system sends an event or webhook.</w:t>
      </w:r>
    </w:p>
    <w:p>
      <w:pPr>
        <w:pStyle w:val="Compact"/>
        <w:numPr>
          <w:ilvl w:val="0"/>
          <w:numId w:val="1101"/>
        </w:numPr>
      </w:pPr>
      <w:r>
        <w:t xml:space="preserve">The Webhook Manager verifies the sender and event integrity.</w:t>
      </w:r>
    </w:p>
    <w:p>
      <w:pPr>
        <w:pStyle w:val="Compact"/>
        <w:numPr>
          <w:ilvl w:val="0"/>
          <w:numId w:val="1101"/>
        </w:numPr>
      </w:pPr>
      <w:r>
        <w:t xml:space="preserve">The event is normalized and published to the Event Bus.</w:t>
      </w:r>
    </w:p>
    <w:p>
      <w:pPr>
        <w:pStyle w:val="Compact"/>
        <w:numPr>
          <w:ilvl w:val="0"/>
          <w:numId w:val="1101"/>
        </w:numPr>
      </w:pPr>
      <w:r>
        <w:t xml:space="preserve">A subscribed workflow evaluates whether the event matches an enabled policy.</w:t>
      </w:r>
    </w:p>
    <w:p>
      <w:pPr>
        <w:pStyle w:val="Compact"/>
        <w:numPr>
          <w:ilvl w:val="0"/>
          <w:numId w:val="1101"/>
        </w:numPr>
      </w:pPr>
      <w:r>
        <w:t xml:space="preserve">The Scheduler or Orchestrator creates a task under a defined workload identity.</w:t>
      </w:r>
    </w:p>
    <w:p>
      <w:pPr>
        <w:pStyle w:val="Compact"/>
        <w:numPr>
          <w:ilvl w:val="0"/>
          <w:numId w:val="1101"/>
        </w:numPr>
      </w:pPr>
      <w:r>
        <w:t xml:space="preserve">The Operational Context Service gathers affected resources and dependencies.</w:t>
      </w:r>
    </w:p>
    <w:p>
      <w:pPr>
        <w:pStyle w:val="Compact"/>
        <w:numPr>
          <w:ilvl w:val="0"/>
          <w:numId w:val="1101"/>
        </w:numPr>
      </w:pPr>
      <w:r>
        <w:t xml:space="preserve">The diagnostic agent determines impact and candidate remediation.</w:t>
      </w:r>
    </w:p>
    <w:p>
      <w:pPr>
        <w:pStyle w:val="Compact"/>
        <w:numPr>
          <w:ilvl w:val="0"/>
          <w:numId w:val="1101"/>
        </w:numPr>
      </w:pPr>
      <w:r>
        <w:t xml:space="preserve">Policy determines whether the action may be automatic or requires approval.</w:t>
      </w:r>
    </w:p>
    <w:p>
      <w:pPr>
        <w:pStyle w:val="Compact"/>
        <w:numPr>
          <w:ilvl w:val="0"/>
          <w:numId w:val="1101"/>
        </w:numPr>
      </w:pPr>
      <w:r>
        <w:t xml:space="preserve">The Workflow Engine executes the permitted remediation.</w:t>
      </w:r>
    </w:p>
    <w:p>
      <w:pPr>
        <w:pStyle w:val="Compact"/>
        <w:numPr>
          <w:ilvl w:val="0"/>
          <w:numId w:val="1101"/>
        </w:numPr>
      </w:pPr>
      <w:r>
        <w:t xml:space="preserve">Results are validated and published.</w:t>
      </w:r>
    </w:p>
    <w:p>
      <w:pPr>
        <w:pStyle w:val="Compact"/>
        <w:numPr>
          <w:ilvl w:val="0"/>
          <w:numId w:val="1101"/>
        </w:numPr>
      </w:pPr>
      <w:r>
        <w:t xml:space="preserve">Notifications are sent.</w:t>
      </w:r>
    </w:p>
    <w:p>
      <w:pPr>
        <w:pStyle w:val="Compact"/>
        <w:numPr>
          <w:ilvl w:val="0"/>
          <w:numId w:val="1101"/>
        </w:numPr>
      </w:pPr>
      <w:r>
        <w:t xml:space="preserve">Audit and observability records are persisted.</w:t>
      </w:r>
    </w:p>
    <w:p>
      <w:pPr>
        <w:pStyle w:val="FirstParagraph"/>
      </w:pPr>
      <w:r>
        <w:t xml:space="preserve">An event does not itself authorize a remediation.</w:t>
      </w:r>
    </w:p>
    <w:p>
      <w:r>
        <w:pict>
          <v:rect style="width:0;height:1.5pt" o:hralign="center" o:hrstd="t" o:hr="t"/>
        </w:pict>
      </w:r>
    </w:p>
    <w:bookmarkEnd w:id="143"/>
    <w:bookmarkStart w:id="144" w:name="scheduled-operation"/>
    <w:p>
      <w:pPr>
        <w:pStyle w:val="Heading2"/>
      </w:pPr>
      <w:r>
        <w:t xml:space="preserve">2.18.4 Scheduled operation</w:t>
      </w:r>
    </w:p>
    <w:p>
      <w:pPr>
        <w:pStyle w:val="FirstParagraph"/>
      </w:pPr>
      <w:r>
        <w:t xml:space="preserve">Example: Run an upgrade-readiness assessment every week.</w:t>
      </w:r>
    </w:p>
    <w:p>
      <w:pPr>
        <w:pStyle w:val="Compact"/>
        <w:numPr>
          <w:ilvl w:val="0"/>
          <w:numId w:val="1102"/>
        </w:numPr>
      </w:pPr>
      <w:r>
        <w:t xml:space="preserve">The Scheduler detects the due schedule.</w:t>
      </w:r>
    </w:p>
    <w:p>
      <w:pPr>
        <w:pStyle w:val="Compact"/>
        <w:numPr>
          <w:ilvl w:val="0"/>
          <w:numId w:val="1102"/>
        </w:numPr>
      </w:pPr>
      <w:r>
        <w:t xml:space="preserve">It creates an execution under the configured tenant and workload identity.</w:t>
      </w:r>
    </w:p>
    <w:p>
      <w:pPr>
        <w:pStyle w:val="Compact"/>
        <w:numPr>
          <w:ilvl w:val="0"/>
          <w:numId w:val="1102"/>
        </w:numPr>
      </w:pPr>
      <w:r>
        <w:t xml:space="preserve">Policy validates that the schedule remains enabled and permitted.</w:t>
      </w:r>
    </w:p>
    <w:p>
      <w:pPr>
        <w:pStyle w:val="Compact"/>
        <w:numPr>
          <w:ilvl w:val="0"/>
          <w:numId w:val="1102"/>
        </w:numPr>
      </w:pPr>
      <w:r>
        <w:t xml:space="preserve">The Planner or predefined workflow identifies assessment steps.</w:t>
      </w:r>
    </w:p>
    <w:p>
      <w:pPr>
        <w:pStyle w:val="Compact"/>
        <w:numPr>
          <w:ilvl w:val="0"/>
          <w:numId w:val="1102"/>
        </w:numPr>
      </w:pPr>
      <w:r>
        <w:t xml:space="preserve">Connectors collect current platform state.</w:t>
      </w:r>
    </w:p>
    <w:p>
      <w:pPr>
        <w:pStyle w:val="Compact"/>
        <w:numPr>
          <w:ilvl w:val="0"/>
          <w:numId w:val="1102"/>
        </w:numPr>
      </w:pPr>
      <w:r>
        <w:t xml:space="preserve">Skills evaluate compatibility, health, capacity, and known blockers.</w:t>
      </w:r>
    </w:p>
    <w:p>
      <w:pPr>
        <w:pStyle w:val="Compact"/>
        <w:numPr>
          <w:ilvl w:val="0"/>
          <w:numId w:val="1102"/>
        </w:numPr>
      </w:pPr>
      <w:r>
        <w:t xml:space="preserve">Findings are stored and compared with prior assessments.</w:t>
      </w:r>
    </w:p>
    <w:p>
      <w:pPr>
        <w:pStyle w:val="Compact"/>
        <w:numPr>
          <w:ilvl w:val="0"/>
          <w:numId w:val="1102"/>
        </w:numPr>
      </w:pPr>
      <w:r>
        <w:t xml:space="preserve">A report is created.</w:t>
      </w:r>
    </w:p>
    <w:p>
      <w:pPr>
        <w:pStyle w:val="Compact"/>
        <w:numPr>
          <w:ilvl w:val="0"/>
          <w:numId w:val="1102"/>
        </w:numPr>
      </w:pPr>
      <w:r>
        <w:t xml:space="preserve">Notifications are delivered.</w:t>
      </w:r>
    </w:p>
    <w:p>
      <w:pPr>
        <w:pStyle w:val="Compact"/>
        <w:numPr>
          <w:ilvl w:val="0"/>
          <w:numId w:val="1102"/>
        </w:numPr>
      </w:pPr>
      <w:r>
        <w:t xml:space="preserve">Audit records are written.</w:t>
      </w:r>
    </w:p>
    <w:p>
      <w:r>
        <w:pict>
          <v:rect style="width:0;height:1.5pt" o:hralign="center" o:hrstd="t" o:hr="t"/>
        </w:pict>
      </w:r>
    </w:p>
    <w:bookmarkEnd w:id="144"/>
    <w:bookmarkEnd w:id="145"/>
    <w:bookmarkStart w:id="153" w:name="trust-boundaries"/>
    <w:p>
      <w:pPr>
        <w:pStyle w:val="Heading1"/>
      </w:pPr>
      <w:r>
        <w:t xml:space="preserve">2.19 Trust Boundaries</w:t>
      </w:r>
    </w:p>
    <w:p>
      <w:pPr>
        <w:pStyle w:val="FirstParagraph"/>
      </w:pPr>
      <w:r>
        <w:t xml:space="preserve">A trust boundary exists wherever identity, authority, data sensitivity, execution privilege, or ownership changes.</w:t>
      </w:r>
    </w:p>
    <w:bookmarkStart w:id="146" w:name="user-to-platform-boundary"/>
    <w:p>
      <w:pPr>
        <w:pStyle w:val="Heading2"/>
      </w:pPr>
      <w:r>
        <w:t xml:space="preserve">2.19.1 User-to-platform boundary</w:t>
      </w:r>
    </w:p>
    <w:p>
      <w:pPr>
        <w:pStyle w:val="FirstParagraph"/>
      </w:pPr>
      <w:r>
        <w:t xml:space="preserve">The platform must not trust a request merely because it originated from an approved interface.</w:t>
      </w:r>
    </w:p>
    <w:p>
      <w:pPr>
        <w:pStyle w:val="BodyText"/>
      </w:pPr>
      <w:r>
        <w:t xml:space="preserve">Controls include:</w:t>
      </w:r>
    </w:p>
    <w:p>
      <w:pPr>
        <w:pStyle w:val="Compact"/>
        <w:numPr>
          <w:ilvl w:val="0"/>
          <w:numId w:val="1103"/>
        </w:numPr>
      </w:pPr>
      <w:r>
        <w:t xml:space="preserve">authentication;</w:t>
      </w:r>
    </w:p>
    <w:p>
      <w:pPr>
        <w:pStyle w:val="Compact"/>
        <w:numPr>
          <w:ilvl w:val="0"/>
          <w:numId w:val="1103"/>
        </w:numPr>
      </w:pPr>
      <w:r>
        <w:t xml:space="preserve">session validation;</w:t>
      </w:r>
    </w:p>
    <w:p>
      <w:pPr>
        <w:pStyle w:val="Compact"/>
        <w:numPr>
          <w:ilvl w:val="0"/>
          <w:numId w:val="1103"/>
        </w:numPr>
      </w:pPr>
      <w:r>
        <w:t xml:space="preserve">tenant resolution;</w:t>
      </w:r>
    </w:p>
    <w:p>
      <w:pPr>
        <w:pStyle w:val="Compact"/>
        <w:numPr>
          <w:ilvl w:val="0"/>
          <w:numId w:val="1103"/>
        </w:numPr>
      </w:pPr>
      <w:r>
        <w:t xml:space="preserve">authorization;</w:t>
      </w:r>
    </w:p>
    <w:p>
      <w:pPr>
        <w:pStyle w:val="Compact"/>
        <w:numPr>
          <w:ilvl w:val="0"/>
          <w:numId w:val="1103"/>
        </w:numPr>
      </w:pPr>
      <w:r>
        <w:t xml:space="preserve">request validation;</w:t>
      </w:r>
    </w:p>
    <w:p>
      <w:pPr>
        <w:pStyle w:val="Compact"/>
        <w:numPr>
          <w:ilvl w:val="0"/>
          <w:numId w:val="1103"/>
        </w:numPr>
      </w:pPr>
      <w:r>
        <w:t xml:space="preserve">rate limiting;</w:t>
      </w:r>
    </w:p>
    <w:p>
      <w:pPr>
        <w:pStyle w:val="Compact"/>
        <w:numPr>
          <w:ilvl w:val="0"/>
          <w:numId w:val="1103"/>
        </w:numPr>
      </w:pPr>
      <w:r>
        <w:t xml:space="preserve">and audit.</w:t>
      </w:r>
    </w:p>
    <w:p>
      <w:r>
        <w:pict>
          <v:rect style="width:0;height:1.5pt" o:hralign="center" o:hrstd="t" o:hr="t"/>
        </w:pict>
      </w:r>
    </w:p>
    <w:bookmarkEnd w:id="146"/>
    <w:bookmarkStart w:id="147" w:name="platform-to-model-boundary"/>
    <w:p>
      <w:pPr>
        <w:pStyle w:val="Heading2"/>
      </w:pPr>
      <w:r>
        <w:t xml:space="preserve">2.19.2 Platform-to-model boundary</w:t>
      </w:r>
    </w:p>
    <w:p>
      <w:pPr>
        <w:pStyle w:val="FirstParagraph"/>
      </w:pPr>
      <w:r>
        <w:t xml:space="preserve">Model providers are outside the deterministic enterprise trust boundary.</w:t>
      </w:r>
    </w:p>
    <w:p>
      <w:pPr>
        <w:pStyle w:val="BodyText"/>
      </w:pPr>
      <w:r>
        <w:t xml:space="preserve">Controls include:</w:t>
      </w:r>
    </w:p>
    <w:p>
      <w:pPr>
        <w:pStyle w:val="Compact"/>
        <w:numPr>
          <w:ilvl w:val="0"/>
          <w:numId w:val="1104"/>
        </w:numPr>
      </w:pPr>
      <w:r>
        <w:t xml:space="preserve">provider allowlists;</w:t>
      </w:r>
    </w:p>
    <w:p>
      <w:pPr>
        <w:pStyle w:val="Compact"/>
        <w:numPr>
          <w:ilvl w:val="0"/>
          <w:numId w:val="1104"/>
        </w:numPr>
      </w:pPr>
      <w:r>
        <w:t xml:space="preserve">data classification;</w:t>
      </w:r>
    </w:p>
    <w:p>
      <w:pPr>
        <w:pStyle w:val="Compact"/>
        <w:numPr>
          <w:ilvl w:val="0"/>
          <w:numId w:val="1104"/>
        </w:numPr>
      </w:pPr>
      <w:r>
        <w:t xml:space="preserve">redaction;</w:t>
      </w:r>
    </w:p>
    <w:p>
      <w:pPr>
        <w:pStyle w:val="Compact"/>
        <w:numPr>
          <w:ilvl w:val="0"/>
          <w:numId w:val="1104"/>
        </w:numPr>
      </w:pPr>
      <w:r>
        <w:t xml:space="preserve">prompt-injection defenses;</w:t>
      </w:r>
    </w:p>
    <w:p>
      <w:pPr>
        <w:pStyle w:val="Compact"/>
        <w:numPr>
          <w:ilvl w:val="0"/>
          <w:numId w:val="1104"/>
        </w:numPr>
      </w:pPr>
      <w:r>
        <w:t xml:space="preserve">output validation;</w:t>
      </w:r>
    </w:p>
    <w:p>
      <w:pPr>
        <w:pStyle w:val="Compact"/>
        <w:numPr>
          <w:ilvl w:val="0"/>
          <w:numId w:val="1104"/>
        </w:numPr>
      </w:pPr>
      <w:r>
        <w:t xml:space="preserve">rate limiting;</w:t>
      </w:r>
    </w:p>
    <w:p>
      <w:pPr>
        <w:pStyle w:val="Compact"/>
        <w:numPr>
          <w:ilvl w:val="0"/>
          <w:numId w:val="1104"/>
        </w:numPr>
      </w:pPr>
      <w:r>
        <w:t xml:space="preserve">and prohibition against treating model output as authorization.</w:t>
      </w:r>
    </w:p>
    <w:p>
      <w:r>
        <w:pict>
          <v:rect style="width:0;height:1.5pt" o:hralign="center" o:hrstd="t" o:hr="t"/>
        </w:pict>
      </w:r>
    </w:p>
    <w:bookmarkEnd w:id="147"/>
    <w:bookmarkStart w:id="148" w:name="platform-to-managed-system-boundary"/>
    <w:p>
      <w:pPr>
        <w:pStyle w:val="Heading2"/>
      </w:pPr>
      <w:r>
        <w:t xml:space="preserve">2.19.3 Platform-to-managed-system boundary</w:t>
      </w:r>
    </w:p>
    <w:p>
      <w:pPr>
        <w:pStyle w:val="FirstParagraph"/>
      </w:pPr>
      <w:r>
        <w:t xml:space="preserve">Managed systems have independent identities, permissions, availability, APIs, and error models.</w:t>
      </w:r>
    </w:p>
    <w:p>
      <w:pPr>
        <w:pStyle w:val="BodyText"/>
      </w:pPr>
      <w:r>
        <w:t xml:space="preserve">Controls include:</w:t>
      </w:r>
    </w:p>
    <w:p>
      <w:pPr>
        <w:pStyle w:val="Compact"/>
        <w:numPr>
          <w:ilvl w:val="0"/>
          <w:numId w:val="1105"/>
        </w:numPr>
      </w:pPr>
      <w:r>
        <w:t xml:space="preserve">target authentication;</w:t>
      </w:r>
    </w:p>
    <w:p>
      <w:pPr>
        <w:pStyle w:val="Compact"/>
        <w:numPr>
          <w:ilvl w:val="0"/>
          <w:numId w:val="1105"/>
        </w:numPr>
      </w:pPr>
      <w:r>
        <w:t xml:space="preserve">least privilege;</w:t>
      </w:r>
    </w:p>
    <w:p>
      <w:pPr>
        <w:pStyle w:val="Compact"/>
        <w:numPr>
          <w:ilvl w:val="0"/>
          <w:numId w:val="1105"/>
        </w:numPr>
      </w:pPr>
      <w:r>
        <w:t xml:space="preserve">endpoint allowlisting;</w:t>
      </w:r>
    </w:p>
    <w:p>
      <w:pPr>
        <w:pStyle w:val="Compact"/>
        <w:numPr>
          <w:ilvl w:val="0"/>
          <w:numId w:val="1105"/>
        </w:numPr>
      </w:pPr>
      <w:r>
        <w:t xml:space="preserve">certificate validation;</w:t>
      </w:r>
    </w:p>
    <w:p>
      <w:pPr>
        <w:pStyle w:val="Compact"/>
        <w:numPr>
          <w:ilvl w:val="0"/>
          <w:numId w:val="1105"/>
        </w:numPr>
      </w:pPr>
      <w:r>
        <w:t xml:space="preserve">scoped credentials;</w:t>
      </w:r>
    </w:p>
    <w:p>
      <w:pPr>
        <w:pStyle w:val="Compact"/>
        <w:numPr>
          <w:ilvl w:val="0"/>
          <w:numId w:val="1105"/>
        </w:numPr>
      </w:pPr>
      <w:r>
        <w:t xml:space="preserve">request validation;</w:t>
      </w:r>
    </w:p>
    <w:p>
      <w:pPr>
        <w:pStyle w:val="Compact"/>
        <w:numPr>
          <w:ilvl w:val="0"/>
          <w:numId w:val="1105"/>
        </w:numPr>
      </w:pPr>
      <w:r>
        <w:t xml:space="preserve">and audit.</w:t>
      </w:r>
    </w:p>
    <w:p>
      <w:r>
        <w:pict>
          <v:rect style="width:0;height:1.5pt" o:hralign="center" o:hrstd="t" o:hr="t"/>
        </w:pict>
      </w:r>
    </w:p>
    <w:bookmarkEnd w:id="148"/>
    <w:bookmarkStart w:id="149" w:name="agent-to-skill-boundary"/>
    <w:p>
      <w:pPr>
        <w:pStyle w:val="Heading2"/>
      </w:pPr>
      <w:r>
        <w:t xml:space="preserve">2.19.4 Agent-to-skill boundary</w:t>
      </w:r>
    </w:p>
    <w:p>
      <w:pPr>
        <w:pStyle w:val="FirstParagraph"/>
      </w:pPr>
      <w:r>
        <w:t xml:space="preserve">An agent may use only registered and entitled skills.</w:t>
      </w:r>
    </w:p>
    <w:p>
      <w:pPr>
        <w:pStyle w:val="BodyText"/>
      </w:pPr>
      <w:r>
        <w:t xml:space="preserve">The Skill Harness validates:</w:t>
      </w:r>
    </w:p>
    <w:p>
      <w:pPr>
        <w:pStyle w:val="Compact"/>
        <w:numPr>
          <w:ilvl w:val="0"/>
          <w:numId w:val="1106"/>
        </w:numPr>
      </w:pPr>
      <w:r>
        <w:t xml:space="preserve">agent identity;</w:t>
      </w:r>
    </w:p>
    <w:p>
      <w:pPr>
        <w:pStyle w:val="Compact"/>
        <w:numPr>
          <w:ilvl w:val="0"/>
          <w:numId w:val="1106"/>
        </w:numPr>
      </w:pPr>
      <w:r>
        <w:t xml:space="preserve">skill version;</w:t>
      </w:r>
    </w:p>
    <w:p>
      <w:pPr>
        <w:pStyle w:val="Compact"/>
        <w:numPr>
          <w:ilvl w:val="0"/>
          <w:numId w:val="1106"/>
        </w:numPr>
      </w:pPr>
      <w:r>
        <w:t xml:space="preserve">tenant;</w:t>
      </w:r>
    </w:p>
    <w:p>
      <w:pPr>
        <w:pStyle w:val="Compact"/>
        <w:numPr>
          <w:ilvl w:val="0"/>
          <w:numId w:val="1106"/>
        </w:numPr>
      </w:pPr>
      <w:r>
        <w:t xml:space="preserve">input;</w:t>
      </w:r>
    </w:p>
    <w:p>
      <w:pPr>
        <w:pStyle w:val="Compact"/>
        <w:numPr>
          <w:ilvl w:val="0"/>
          <w:numId w:val="1106"/>
        </w:numPr>
      </w:pPr>
      <w:r>
        <w:t xml:space="preserve">authorization context;</w:t>
      </w:r>
    </w:p>
    <w:p>
      <w:pPr>
        <w:pStyle w:val="Compact"/>
        <w:numPr>
          <w:ilvl w:val="0"/>
          <w:numId w:val="1106"/>
        </w:numPr>
      </w:pPr>
      <w:r>
        <w:t xml:space="preserve">execution budget;</w:t>
      </w:r>
    </w:p>
    <w:p>
      <w:pPr>
        <w:pStyle w:val="Compact"/>
        <w:numPr>
          <w:ilvl w:val="0"/>
          <w:numId w:val="1106"/>
        </w:numPr>
      </w:pPr>
      <w:r>
        <w:t xml:space="preserve">and output.</w:t>
      </w:r>
    </w:p>
    <w:p>
      <w:r>
        <w:pict>
          <v:rect style="width:0;height:1.5pt" o:hralign="center" o:hrstd="t" o:hr="t"/>
        </w:pict>
      </w:r>
    </w:p>
    <w:bookmarkEnd w:id="149"/>
    <w:bookmarkStart w:id="150" w:name="skill-to-tool-boundary"/>
    <w:p>
      <w:pPr>
        <w:pStyle w:val="Heading2"/>
      </w:pPr>
      <w:r>
        <w:t xml:space="preserve">2.19.5 Skill-to-tool boundary</w:t>
      </w:r>
    </w:p>
    <w:p>
      <w:pPr>
        <w:pStyle w:val="FirstParagraph"/>
      </w:pPr>
      <w:r>
        <w:t xml:space="preserve">A skill cannot call arbitrary tools.</w:t>
      </w:r>
    </w:p>
    <w:p>
      <w:pPr>
        <w:pStyle w:val="BodyText"/>
      </w:pPr>
      <w:r>
        <w:t xml:space="preserve">Tool access is constrained by:</w:t>
      </w:r>
    </w:p>
    <w:p>
      <w:pPr>
        <w:pStyle w:val="Compact"/>
        <w:numPr>
          <w:ilvl w:val="0"/>
          <w:numId w:val="1107"/>
        </w:numPr>
      </w:pPr>
      <w:r>
        <w:t xml:space="preserve">registry;</w:t>
      </w:r>
    </w:p>
    <w:p>
      <w:pPr>
        <w:pStyle w:val="Compact"/>
        <w:numPr>
          <w:ilvl w:val="0"/>
          <w:numId w:val="1107"/>
        </w:numPr>
      </w:pPr>
      <w:r>
        <w:t xml:space="preserve">allowlist;</w:t>
      </w:r>
    </w:p>
    <w:p>
      <w:pPr>
        <w:pStyle w:val="Compact"/>
        <w:numPr>
          <w:ilvl w:val="0"/>
          <w:numId w:val="1107"/>
        </w:numPr>
      </w:pPr>
      <w:r>
        <w:t xml:space="preserve">schema;</w:t>
      </w:r>
    </w:p>
    <w:p>
      <w:pPr>
        <w:pStyle w:val="Compact"/>
        <w:numPr>
          <w:ilvl w:val="0"/>
          <w:numId w:val="1107"/>
        </w:numPr>
      </w:pPr>
      <w:r>
        <w:t xml:space="preserve">agent entitlement;</w:t>
      </w:r>
    </w:p>
    <w:p>
      <w:pPr>
        <w:pStyle w:val="Compact"/>
        <w:numPr>
          <w:ilvl w:val="0"/>
          <w:numId w:val="1107"/>
        </w:numPr>
      </w:pPr>
      <w:r>
        <w:t xml:space="preserve">risk;</w:t>
      </w:r>
    </w:p>
    <w:p>
      <w:pPr>
        <w:pStyle w:val="Compact"/>
        <w:numPr>
          <w:ilvl w:val="0"/>
          <w:numId w:val="1107"/>
        </w:numPr>
      </w:pPr>
      <w:r>
        <w:t xml:space="preserve">policy;</w:t>
      </w:r>
    </w:p>
    <w:p>
      <w:pPr>
        <w:pStyle w:val="Compact"/>
        <w:numPr>
          <w:ilvl w:val="0"/>
          <w:numId w:val="1107"/>
        </w:numPr>
      </w:pPr>
      <w:r>
        <w:t xml:space="preserve">target scope;</w:t>
      </w:r>
    </w:p>
    <w:p>
      <w:pPr>
        <w:pStyle w:val="Compact"/>
        <w:numPr>
          <w:ilvl w:val="0"/>
          <w:numId w:val="1107"/>
        </w:numPr>
      </w:pPr>
      <w:r>
        <w:t xml:space="preserve">and approval state.</w:t>
      </w:r>
    </w:p>
    <w:p>
      <w:r>
        <w:pict>
          <v:rect style="width:0;height:1.5pt" o:hralign="center" o:hrstd="t" o:hr="t"/>
        </w:pict>
      </w:r>
    </w:p>
    <w:bookmarkEnd w:id="150"/>
    <w:bookmarkStart w:id="151" w:name="tenant-boundary"/>
    <w:p>
      <w:pPr>
        <w:pStyle w:val="Heading2"/>
      </w:pPr>
      <w:r>
        <w:t xml:space="preserve">2.19.6 Tenant boundary</w:t>
      </w:r>
    </w:p>
    <w:p>
      <w:pPr>
        <w:pStyle w:val="FirstParagraph"/>
      </w:pPr>
      <w:r>
        <w:t xml:space="preserve">No identity, context, memory, event, model request, result, or audit record may cross a tenant boundary unless an explicitly authorized managed-service-provider or cross-tenant workflow permits it.</w:t>
      </w:r>
    </w:p>
    <w:p>
      <w:pPr>
        <w:pStyle w:val="BodyText"/>
      </w:pPr>
      <w:r>
        <w:t xml:space="preserve">Cross-tenant operations require stronger policy and audit controls than ordinary single-tenant operations.</w:t>
      </w:r>
    </w:p>
    <w:p>
      <w:r>
        <w:pict>
          <v:rect style="width:0;height:1.5pt" o:hralign="center" o:hrstd="t" o:hr="t"/>
        </w:pict>
      </w:r>
    </w:p>
    <w:bookmarkEnd w:id="151"/>
    <w:bookmarkStart w:id="152" w:name="administrative-boundary"/>
    <w:p>
      <w:pPr>
        <w:pStyle w:val="Heading2"/>
      </w:pPr>
      <w:r>
        <w:t xml:space="preserve">2.19.7 Administrative boundary</w:t>
      </w:r>
    </w:p>
    <w:p>
      <w:pPr>
        <w:pStyle w:val="FirstParagraph"/>
      </w:pPr>
      <w:r>
        <w:t xml:space="preserve">Platform administration, security administration, policy administration, connector administration, and operational execution are distinct privilege categories.</w:t>
      </w:r>
    </w:p>
    <w:p>
      <w:pPr>
        <w:pStyle w:val="BodyText"/>
      </w:pPr>
      <w:r>
        <w:t xml:space="preserve">The system should support separation of duties.</w:t>
      </w:r>
    </w:p>
    <w:p>
      <w:r>
        <w:pict>
          <v:rect style="width:0;height:1.5pt" o:hralign="center" o:hrstd="t" o:hr="t"/>
        </w:pict>
      </w:r>
    </w:p>
    <w:bookmarkEnd w:id="152"/>
    <w:bookmarkEnd w:id="153"/>
    <w:bookmarkStart w:id="159" w:name="data-boundaries-and-ownership"/>
    <w:p>
      <w:pPr>
        <w:pStyle w:val="Heading1"/>
      </w:pPr>
      <w:r>
        <w:t xml:space="preserve">2.20 Data Boundaries and Ownership</w:t>
      </w:r>
    </w:p>
    <w:bookmarkStart w:id="154" w:name="authoritative-external-data"/>
    <w:p>
      <w:pPr>
        <w:pStyle w:val="Heading2"/>
      </w:pPr>
      <w:r>
        <w:t xml:space="preserve">2.20.1 Authoritative external data</w:t>
      </w:r>
    </w:p>
    <w:p>
      <w:pPr>
        <w:pStyle w:val="FirstParagraph"/>
      </w:pPr>
      <w:r>
        <w:t xml:space="preserve">Owned by enterprise systems:</w:t>
      </w:r>
    </w:p>
    <w:p>
      <w:pPr>
        <w:pStyle w:val="Compact"/>
        <w:numPr>
          <w:ilvl w:val="0"/>
          <w:numId w:val="1108"/>
        </w:numPr>
      </w:pPr>
      <w:r>
        <w:t xml:space="preserve">infrastructure configuration;</w:t>
      </w:r>
    </w:p>
    <w:p>
      <w:pPr>
        <w:pStyle w:val="Compact"/>
        <w:numPr>
          <w:ilvl w:val="0"/>
          <w:numId w:val="1108"/>
        </w:numPr>
      </w:pPr>
      <w:r>
        <w:t xml:space="preserve">current platform state;</w:t>
      </w:r>
    </w:p>
    <w:p>
      <w:pPr>
        <w:pStyle w:val="Compact"/>
        <w:numPr>
          <w:ilvl w:val="0"/>
          <w:numId w:val="1108"/>
        </w:numPr>
      </w:pPr>
      <w:r>
        <w:t xml:space="preserve">native task state;</w:t>
      </w:r>
    </w:p>
    <w:p>
      <w:pPr>
        <w:pStyle w:val="Compact"/>
        <w:numPr>
          <w:ilvl w:val="0"/>
          <w:numId w:val="1108"/>
        </w:numPr>
      </w:pPr>
      <w:r>
        <w:t xml:space="preserve">identity records;</w:t>
      </w:r>
    </w:p>
    <w:p>
      <w:pPr>
        <w:pStyle w:val="Compact"/>
        <w:numPr>
          <w:ilvl w:val="0"/>
          <w:numId w:val="1108"/>
        </w:numPr>
      </w:pPr>
      <w:r>
        <w:t xml:space="preserve">tickets;</w:t>
      </w:r>
    </w:p>
    <w:p>
      <w:pPr>
        <w:pStyle w:val="Compact"/>
        <w:numPr>
          <w:ilvl w:val="0"/>
          <w:numId w:val="1108"/>
        </w:numPr>
      </w:pPr>
      <w:r>
        <w:t xml:space="preserve">change records;</w:t>
      </w:r>
    </w:p>
    <w:p>
      <w:pPr>
        <w:pStyle w:val="Compact"/>
        <w:numPr>
          <w:ilvl w:val="0"/>
          <w:numId w:val="1108"/>
        </w:numPr>
      </w:pPr>
      <w:r>
        <w:t xml:space="preserve">and monitoring records.</w:t>
      </w:r>
    </w:p>
    <w:p>
      <w:pPr>
        <w:pStyle w:val="FirstParagraph"/>
      </w:pPr>
      <w:r>
        <w:t xml:space="preserve">AccuSec references or synchronizes this data but must preserve source authority.</w:t>
      </w:r>
    </w:p>
    <w:p>
      <w:r>
        <w:pict>
          <v:rect style="width:0;height:1.5pt" o:hralign="center" o:hrstd="t" o:hr="t"/>
        </w:pict>
      </w:r>
    </w:p>
    <w:bookmarkEnd w:id="154"/>
    <w:bookmarkStart w:id="155" w:name="accusec-authoritative-data"/>
    <w:p>
      <w:pPr>
        <w:pStyle w:val="Heading2"/>
      </w:pPr>
      <w:r>
        <w:t xml:space="preserve">2.20.2 AccuSec authoritative data</w:t>
      </w:r>
    </w:p>
    <w:p>
      <w:pPr>
        <w:pStyle w:val="FirstParagraph"/>
      </w:pPr>
      <w:r>
        <w:t xml:space="preserve">Owned by AccuSec:</w:t>
      </w:r>
    </w:p>
    <w:p>
      <w:pPr>
        <w:pStyle w:val="Compact"/>
        <w:numPr>
          <w:ilvl w:val="0"/>
          <w:numId w:val="1109"/>
        </w:numPr>
      </w:pPr>
      <w:r>
        <w:t xml:space="preserve">tenant configuration;</w:t>
      </w:r>
    </w:p>
    <w:p>
      <w:pPr>
        <w:pStyle w:val="Compact"/>
        <w:numPr>
          <w:ilvl w:val="0"/>
          <w:numId w:val="1109"/>
        </w:numPr>
      </w:pPr>
      <w:r>
        <w:t xml:space="preserve">agent definitions;</w:t>
      </w:r>
    </w:p>
    <w:p>
      <w:pPr>
        <w:pStyle w:val="Compact"/>
        <w:numPr>
          <w:ilvl w:val="0"/>
          <w:numId w:val="1109"/>
        </w:numPr>
      </w:pPr>
      <w:r>
        <w:t xml:space="preserve">skill registrations;</w:t>
      </w:r>
    </w:p>
    <w:p>
      <w:pPr>
        <w:pStyle w:val="Compact"/>
        <w:numPr>
          <w:ilvl w:val="0"/>
          <w:numId w:val="1109"/>
        </w:numPr>
      </w:pPr>
      <w:r>
        <w:t xml:space="preserve">workflow state;</w:t>
      </w:r>
    </w:p>
    <w:p>
      <w:pPr>
        <w:pStyle w:val="Compact"/>
        <w:numPr>
          <w:ilvl w:val="0"/>
          <w:numId w:val="1109"/>
        </w:numPr>
      </w:pPr>
      <w:r>
        <w:t xml:space="preserve">approval state;</w:t>
      </w:r>
    </w:p>
    <w:p>
      <w:pPr>
        <w:pStyle w:val="Compact"/>
        <w:numPr>
          <w:ilvl w:val="0"/>
          <w:numId w:val="1109"/>
        </w:numPr>
      </w:pPr>
      <w:r>
        <w:t xml:space="preserve">policy references;</w:t>
      </w:r>
    </w:p>
    <w:p>
      <w:pPr>
        <w:pStyle w:val="Compact"/>
        <w:numPr>
          <w:ilvl w:val="0"/>
          <w:numId w:val="1109"/>
        </w:numPr>
      </w:pPr>
      <w:r>
        <w:t xml:space="preserve">connector registration;</w:t>
      </w:r>
    </w:p>
    <w:p>
      <w:pPr>
        <w:pStyle w:val="Compact"/>
        <w:numPr>
          <w:ilvl w:val="0"/>
          <w:numId w:val="1109"/>
        </w:numPr>
      </w:pPr>
      <w:r>
        <w:t xml:space="preserve">model configuration;</w:t>
      </w:r>
    </w:p>
    <w:p>
      <w:pPr>
        <w:pStyle w:val="Compact"/>
        <w:numPr>
          <w:ilvl w:val="0"/>
          <w:numId w:val="1109"/>
        </w:numPr>
      </w:pPr>
      <w:r>
        <w:t xml:space="preserve">schedules;</w:t>
      </w:r>
    </w:p>
    <w:p>
      <w:pPr>
        <w:pStyle w:val="Compact"/>
        <w:numPr>
          <w:ilvl w:val="0"/>
          <w:numId w:val="1109"/>
        </w:numPr>
      </w:pPr>
      <w:r>
        <w:t xml:space="preserve">execution metadata;</w:t>
      </w:r>
    </w:p>
    <w:p>
      <w:pPr>
        <w:pStyle w:val="Compact"/>
        <w:numPr>
          <w:ilvl w:val="0"/>
          <w:numId w:val="1109"/>
        </w:numPr>
      </w:pPr>
      <w:r>
        <w:t xml:space="preserve">and AccuSec audit records.</w:t>
      </w:r>
    </w:p>
    <w:p>
      <w:r>
        <w:pict>
          <v:rect style="width:0;height:1.5pt" o:hralign="center" o:hrstd="t" o:hr="t"/>
        </w:pict>
      </w:r>
    </w:p>
    <w:bookmarkEnd w:id="155"/>
    <w:bookmarkStart w:id="156" w:name="derived-data"/>
    <w:p>
      <w:pPr>
        <w:pStyle w:val="Heading2"/>
      </w:pPr>
      <w:r>
        <w:t xml:space="preserve">2.20.3 Derived data</w:t>
      </w:r>
    </w:p>
    <w:p>
      <w:pPr>
        <w:pStyle w:val="FirstParagraph"/>
      </w:pPr>
      <w:r>
        <w:t xml:space="preserve">Derived by AccuSec:</w:t>
      </w:r>
    </w:p>
    <w:p>
      <w:pPr>
        <w:pStyle w:val="Compact"/>
        <w:numPr>
          <w:ilvl w:val="0"/>
          <w:numId w:val="1110"/>
        </w:numPr>
      </w:pPr>
      <w:r>
        <w:t xml:space="preserve">embeddings;</w:t>
      </w:r>
    </w:p>
    <w:p>
      <w:pPr>
        <w:pStyle w:val="Compact"/>
        <w:numPr>
          <w:ilvl w:val="0"/>
          <w:numId w:val="1110"/>
        </w:numPr>
      </w:pPr>
      <w:r>
        <w:t xml:space="preserve">topology correlations;</w:t>
      </w:r>
    </w:p>
    <w:p>
      <w:pPr>
        <w:pStyle w:val="Compact"/>
        <w:numPr>
          <w:ilvl w:val="0"/>
          <w:numId w:val="1110"/>
        </w:numPr>
      </w:pPr>
      <w:r>
        <w:t xml:space="preserve">summarized context;</w:t>
      </w:r>
    </w:p>
    <w:p>
      <w:pPr>
        <w:pStyle w:val="Compact"/>
        <w:numPr>
          <w:ilvl w:val="0"/>
          <w:numId w:val="1110"/>
        </w:numPr>
      </w:pPr>
      <w:r>
        <w:t xml:space="preserve">risk scores;</w:t>
      </w:r>
    </w:p>
    <w:p>
      <w:pPr>
        <w:pStyle w:val="Compact"/>
        <w:numPr>
          <w:ilvl w:val="0"/>
          <w:numId w:val="1110"/>
        </w:numPr>
      </w:pPr>
      <w:r>
        <w:t xml:space="preserve">inferred relationships;</w:t>
      </w:r>
    </w:p>
    <w:p>
      <w:pPr>
        <w:pStyle w:val="Compact"/>
        <w:numPr>
          <w:ilvl w:val="0"/>
          <w:numId w:val="1110"/>
        </w:numPr>
      </w:pPr>
      <w:r>
        <w:t xml:space="preserve">recommendations;</w:t>
      </w:r>
    </w:p>
    <w:p>
      <w:pPr>
        <w:pStyle w:val="Compact"/>
        <w:numPr>
          <w:ilvl w:val="0"/>
          <w:numId w:val="1110"/>
        </w:numPr>
      </w:pPr>
      <w:r>
        <w:t xml:space="preserve">anomaly scores;</w:t>
      </w:r>
    </w:p>
    <w:p>
      <w:pPr>
        <w:pStyle w:val="Compact"/>
        <w:numPr>
          <w:ilvl w:val="0"/>
          <w:numId w:val="1110"/>
        </w:numPr>
      </w:pPr>
      <w:r>
        <w:t xml:space="preserve">and operational features.</w:t>
      </w:r>
    </w:p>
    <w:p>
      <w:pPr>
        <w:pStyle w:val="FirstParagraph"/>
      </w:pPr>
      <w:r>
        <w:t xml:space="preserve">Derived data must retain lineage and may require revalidation before high-impact use.</w:t>
      </w:r>
    </w:p>
    <w:p>
      <w:r>
        <w:pict>
          <v:rect style="width:0;height:1.5pt" o:hralign="center" o:hrstd="t" o:hr="t"/>
        </w:pict>
      </w:r>
    </w:p>
    <w:bookmarkEnd w:id="156"/>
    <w:bookmarkStart w:id="157" w:name="ephemeral-data"/>
    <w:p>
      <w:pPr>
        <w:pStyle w:val="Heading2"/>
      </w:pPr>
      <w:r>
        <w:t xml:space="preserve">2.20.4 Ephemeral data</w:t>
      </w:r>
    </w:p>
    <w:p>
      <w:pPr>
        <w:pStyle w:val="FirstParagraph"/>
      </w:pPr>
      <w:r>
        <w:t xml:space="preserve">Ephemeral data includes:</w:t>
      </w:r>
    </w:p>
    <w:p>
      <w:pPr>
        <w:pStyle w:val="Compact"/>
        <w:numPr>
          <w:ilvl w:val="0"/>
          <w:numId w:val="1111"/>
        </w:numPr>
      </w:pPr>
      <w:r>
        <w:t xml:space="preserve">temporary prompts;</w:t>
      </w:r>
    </w:p>
    <w:p>
      <w:pPr>
        <w:pStyle w:val="Compact"/>
        <w:numPr>
          <w:ilvl w:val="0"/>
          <w:numId w:val="1111"/>
        </w:numPr>
      </w:pPr>
      <w:r>
        <w:t xml:space="preserve">active execution context;</w:t>
      </w:r>
    </w:p>
    <w:p>
      <w:pPr>
        <w:pStyle w:val="Compact"/>
        <w:numPr>
          <w:ilvl w:val="0"/>
          <w:numId w:val="1111"/>
        </w:numPr>
      </w:pPr>
      <w:r>
        <w:t xml:space="preserve">transient connector responses;</w:t>
      </w:r>
    </w:p>
    <w:p>
      <w:pPr>
        <w:pStyle w:val="Compact"/>
        <w:numPr>
          <w:ilvl w:val="0"/>
          <w:numId w:val="1111"/>
        </w:numPr>
      </w:pPr>
      <w:r>
        <w:t xml:space="preserve">locks;</w:t>
      </w:r>
    </w:p>
    <w:p>
      <w:pPr>
        <w:pStyle w:val="Compact"/>
        <w:numPr>
          <w:ilvl w:val="0"/>
          <w:numId w:val="1111"/>
        </w:numPr>
      </w:pPr>
      <w:r>
        <w:t xml:space="preserve">leases;</w:t>
      </w:r>
    </w:p>
    <w:p>
      <w:pPr>
        <w:pStyle w:val="Compact"/>
        <w:numPr>
          <w:ilvl w:val="0"/>
          <w:numId w:val="1111"/>
        </w:numPr>
      </w:pPr>
      <w:r>
        <w:t xml:space="preserve">streaming tokens;</w:t>
      </w:r>
    </w:p>
    <w:p>
      <w:pPr>
        <w:pStyle w:val="Compact"/>
        <w:numPr>
          <w:ilvl w:val="0"/>
          <w:numId w:val="1111"/>
        </w:numPr>
      </w:pPr>
      <w:r>
        <w:t xml:space="preserve">and temporary caches.</w:t>
      </w:r>
    </w:p>
    <w:p>
      <w:pPr>
        <w:pStyle w:val="FirstParagraph"/>
      </w:pPr>
      <w:r>
        <w:t xml:space="preserve">Ephemeral does not mean uncontrolled.</w:t>
      </w:r>
    </w:p>
    <w:p>
      <w:pPr>
        <w:pStyle w:val="BodyText"/>
      </w:pPr>
      <w:r>
        <w:t xml:space="preserve">Ephemeral data remains subject to tenant isolation, security classification, and retention policy.</w:t>
      </w:r>
    </w:p>
    <w:p>
      <w:r>
        <w:pict>
          <v:rect style="width:0;height:1.5pt" o:hralign="center" o:hrstd="t" o:hr="t"/>
        </w:pict>
      </w:r>
    </w:p>
    <w:bookmarkEnd w:id="157"/>
    <w:bookmarkStart w:id="158" w:name="audit-data"/>
    <w:p>
      <w:pPr>
        <w:pStyle w:val="Heading2"/>
      </w:pPr>
      <w:r>
        <w:t xml:space="preserve">2.20.5 Audit data</w:t>
      </w:r>
    </w:p>
    <w:p>
      <w:pPr>
        <w:pStyle w:val="FirstParagraph"/>
      </w:pPr>
      <w:r>
        <w:t xml:space="preserve">Audit data is append-oriented and tamper-evident.</w:t>
      </w:r>
    </w:p>
    <w:p>
      <w:pPr>
        <w:pStyle w:val="BodyText"/>
      </w:pPr>
      <w:r>
        <w:t xml:space="preserve">It must be protected from unauthorized modification and separated from ordinary mutable operational state.</w:t>
      </w:r>
    </w:p>
    <w:p>
      <w:pPr>
        <w:pStyle w:val="BodyText"/>
      </w:pPr>
      <w:r>
        <w:t xml:space="preserve">Audit data may reference larger evidence objects stored in protected object storage.</w:t>
      </w:r>
    </w:p>
    <w:p>
      <w:r>
        <w:pict>
          <v:rect style="width:0;height:1.5pt" o:hralign="center" o:hrstd="t" o:hr="t"/>
        </w:pict>
      </w:r>
    </w:p>
    <w:bookmarkEnd w:id="158"/>
    <w:bookmarkEnd w:id="159"/>
    <w:bookmarkStart w:id="160" w:name="architecture-invariants"/>
    <w:p>
      <w:pPr>
        <w:pStyle w:val="Heading1"/>
      </w:pPr>
      <w:r>
        <w:t xml:space="preserve">2.21 Architecture Invariants</w:t>
      </w:r>
    </w:p>
    <w:p>
      <w:pPr>
        <w:pStyle w:val="FirstParagraph"/>
      </w:pPr>
      <w:r>
        <w:t xml:space="preserve">The following invariants apply to all AccuSec implementations:</w:t>
      </w:r>
    </w:p>
    <w:p>
      <w:pPr>
        <w:numPr>
          <w:ilvl w:val="0"/>
          <w:numId w:val="1112"/>
        </w:numPr>
      </w:pPr>
      <w:r>
        <w:t xml:space="preserve">An LLM does not directly access enterprise credentials.</w:t>
      </w:r>
    </w:p>
    <w:p>
      <w:pPr>
        <w:numPr>
          <w:ilvl w:val="0"/>
          <w:numId w:val="1112"/>
        </w:numPr>
      </w:pPr>
      <w:r>
        <w:t xml:space="preserve">An LLM does not directly invoke unmanaged enterprise APIs.</w:t>
      </w:r>
    </w:p>
    <w:p>
      <w:pPr>
        <w:numPr>
          <w:ilvl w:val="0"/>
          <w:numId w:val="1112"/>
        </w:numPr>
      </w:pPr>
      <w:r>
        <w:t xml:space="preserve">Model output does not constitute authorization.</w:t>
      </w:r>
    </w:p>
    <w:p>
      <w:pPr>
        <w:numPr>
          <w:ilvl w:val="0"/>
          <w:numId w:val="1112"/>
        </w:numPr>
      </w:pPr>
      <w:r>
        <w:t xml:space="preserve">Authentication does not automatically constitute authorization.</w:t>
      </w:r>
    </w:p>
    <w:p>
      <w:pPr>
        <w:numPr>
          <w:ilvl w:val="0"/>
          <w:numId w:val="1112"/>
        </w:numPr>
      </w:pPr>
      <w:r>
        <w:t xml:space="preserve">Dynamic tool discovery does not automatically grant tool execution.</w:t>
      </w:r>
    </w:p>
    <w:p>
      <w:pPr>
        <w:numPr>
          <w:ilvl w:val="0"/>
          <w:numId w:val="1112"/>
        </w:numPr>
      </w:pPr>
      <w:r>
        <w:t xml:space="preserve">Every enterprise operation executes under an identifiable human or workload principal.</w:t>
      </w:r>
    </w:p>
    <w:p>
      <w:pPr>
        <w:numPr>
          <w:ilvl w:val="0"/>
          <w:numId w:val="1112"/>
        </w:numPr>
      </w:pPr>
      <w:r>
        <w:t xml:space="preserve">Every write operation is evaluated by policy before execution.</w:t>
      </w:r>
    </w:p>
    <w:p>
      <w:pPr>
        <w:numPr>
          <w:ilvl w:val="0"/>
          <w:numId w:val="1112"/>
        </w:numPr>
      </w:pPr>
      <w:r>
        <w:t xml:space="preserve">High-risk operations require approval when defined by policy.</w:t>
      </w:r>
    </w:p>
    <w:p>
      <w:pPr>
        <w:numPr>
          <w:ilvl w:val="0"/>
          <w:numId w:val="1112"/>
        </w:numPr>
      </w:pPr>
      <w:r>
        <w:t xml:space="preserve">Approval is bound to a specific plan or plan version.</w:t>
      </w:r>
    </w:p>
    <w:p>
      <w:pPr>
        <w:numPr>
          <w:ilvl w:val="0"/>
          <w:numId w:val="1112"/>
        </w:numPr>
      </w:pPr>
      <w:r>
        <w:t xml:space="preserve">Material plan changes invalidate prior approval unless policy explicitly permits the change.</w:t>
      </w:r>
    </w:p>
    <w:p>
      <w:pPr>
        <w:numPr>
          <w:ilvl w:val="0"/>
          <w:numId w:val="1112"/>
        </w:numPr>
      </w:pPr>
      <w:r>
        <w:t xml:space="preserve">Every tool invocation has a correlation and causation chain.</w:t>
      </w:r>
    </w:p>
    <w:p>
      <w:pPr>
        <w:numPr>
          <w:ilvl w:val="0"/>
          <w:numId w:val="1112"/>
        </w:numPr>
      </w:pPr>
      <w:r>
        <w:t xml:space="preserve">Every long-running operation has durable state outside model context.</w:t>
      </w:r>
    </w:p>
    <w:p>
      <w:pPr>
        <w:numPr>
          <w:ilvl w:val="0"/>
          <w:numId w:val="1112"/>
        </w:numPr>
      </w:pPr>
      <w:r>
        <w:t xml:space="preserve">Every change workflow defines expected postconditions.</w:t>
      </w:r>
    </w:p>
    <w:p>
      <w:pPr>
        <w:numPr>
          <w:ilvl w:val="0"/>
          <w:numId w:val="1112"/>
        </w:numPr>
      </w:pPr>
      <w:r>
        <w:t xml:space="preserve">A successful API response does not alone prove successful business completion.</w:t>
      </w:r>
    </w:p>
    <w:p>
      <w:pPr>
        <w:numPr>
          <w:ilvl w:val="0"/>
          <w:numId w:val="1112"/>
        </w:numPr>
      </w:pPr>
      <w:r>
        <w:t xml:space="preserve">Target-system state is revalidated after material changes.</w:t>
      </w:r>
    </w:p>
    <w:p>
      <w:pPr>
        <w:numPr>
          <w:ilvl w:val="0"/>
          <w:numId w:val="1112"/>
        </w:numPr>
      </w:pPr>
      <w:r>
        <w:t xml:space="preserve">Tenant data is isolated in storage, processing, retrieval, events, memory, and model context.</w:t>
      </w:r>
    </w:p>
    <w:p>
      <w:pPr>
        <w:numPr>
          <w:ilvl w:val="0"/>
          <w:numId w:val="1112"/>
        </w:numPr>
      </w:pPr>
      <w:r>
        <w:t xml:space="preserve">Secrets are never persisted in prompts, conversational memory, ordinary logs, or audit payloads.</w:t>
      </w:r>
    </w:p>
    <w:p>
      <w:pPr>
        <w:numPr>
          <w:ilvl w:val="0"/>
          <w:numId w:val="1112"/>
        </w:numPr>
      </w:pPr>
      <w:r>
        <w:t xml:space="preserve">Cached or derived context must expose freshness and provenance.</w:t>
      </w:r>
    </w:p>
    <w:p>
      <w:pPr>
        <w:numPr>
          <w:ilvl w:val="0"/>
          <w:numId w:val="1112"/>
        </w:numPr>
      </w:pPr>
      <w:r>
        <w:t xml:space="preserve">Agent, skill, prompt, policy, and workflow versions are recorded for material executions.</w:t>
      </w:r>
    </w:p>
    <w:p>
      <w:pPr>
        <w:numPr>
          <w:ilvl w:val="0"/>
          <w:numId w:val="1112"/>
        </w:numPr>
      </w:pPr>
      <w:r>
        <w:t xml:space="preserve">Security and operational controls remain enforceable when a model is unavailable, slow, compromised, or produces invalid output.</w:t>
      </w:r>
    </w:p>
    <w:p>
      <w:r>
        <w:pict>
          <v:rect style="width:0;height:1.5pt" o:hralign="center" o:hrstd="t" o:hr="t"/>
        </w:pict>
      </w:r>
    </w:p>
    <w:bookmarkEnd w:id="160"/>
    <w:bookmarkStart w:id="161" w:name="X1fa84f1616b0d81e10023d7be7247b09298e39e"/>
    <w:p>
      <w:pPr>
        <w:pStyle w:val="Heading1"/>
      </w:pPr>
      <w:r>
        <w:t xml:space="preserve">2.22 Logical Architecture Decisions Requiring Detailed Design</w:t>
      </w:r>
    </w:p>
    <w:p>
      <w:pPr>
        <w:pStyle w:val="FirstParagraph"/>
      </w:pPr>
      <w:r>
        <w:t xml:space="preserve">The diagram identifies logical capabilities but does not yet settle the following implementation decisions:</w:t>
      </w:r>
    </w:p>
    <w:p>
      <w:pPr>
        <w:numPr>
          <w:ilvl w:val="0"/>
          <w:numId w:val="1113"/>
        </w:numPr>
      </w:pPr>
      <w:r>
        <w:t xml:space="preserve">Whether the initial orchestration runtime uses LangGraph directly or an internal abstraction over LangGraph.</w:t>
      </w:r>
    </w:p>
    <w:p>
      <w:pPr>
        <w:numPr>
          <w:ilvl w:val="0"/>
          <w:numId w:val="1113"/>
        </w:numPr>
      </w:pPr>
      <w:r>
        <w:t xml:space="preserve">Whether long-running workflows require Temporal, a queue-based internal engine, or another durable workflow technology.</w:t>
      </w:r>
    </w:p>
    <w:p>
      <w:pPr>
        <w:numPr>
          <w:ilvl w:val="0"/>
          <w:numId w:val="1113"/>
        </w:numPr>
      </w:pPr>
      <w:r>
        <w:t xml:space="preserve">Whether NATS, Kafka, RabbitMQ, or Redis Streams best satisfies the initial event and work-distribution requirements.</w:t>
      </w:r>
    </w:p>
    <w:p>
      <w:pPr>
        <w:numPr>
          <w:ilvl w:val="0"/>
          <w:numId w:val="1113"/>
        </w:numPr>
      </w:pPr>
      <w:r>
        <w:t xml:space="preserve">Whether a dedicated graph database is required for the first release.</w:t>
      </w:r>
    </w:p>
    <w:p>
      <w:pPr>
        <w:numPr>
          <w:ilvl w:val="0"/>
          <w:numId w:val="1113"/>
        </w:numPr>
      </w:pPr>
      <w:r>
        <w:t xml:space="preserve">Whether a dedicated feature store is required for the first release.</w:t>
      </w:r>
    </w:p>
    <w:p>
      <w:pPr>
        <w:numPr>
          <w:ilvl w:val="0"/>
          <w:numId w:val="1113"/>
        </w:numPr>
      </w:pPr>
      <w:r>
        <w:t xml:space="preserve">Whether vector search should use PostgreSQL extensions initially or a separate vector database.</w:t>
      </w:r>
    </w:p>
    <w:p>
      <w:pPr>
        <w:numPr>
          <w:ilvl w:val="0"/>
          <w:numId w:val="1113"/>
        </w:numPr>
      </w:pPr>
      <w:r>
        <w:t xml:space="preserve">Whether time-series information is stored by AccuSec or queried from customer observability systems.</w:t>
      </w:r>
    </w:p>
    <w:p>
      <w:pPr>
        <w:numPr>
          <w:ilvl w:val="0"/>
          <w:numId w:val="1113"/>
        </w:numPr>
      </w:pPr>
      <w:r>
        <w:t xml:space="preserve">Whether an MCP gateway or proxy is required between the MCP Client and enterprise MCP servers.</w:t>
      </w:r>
    </w:p>
    <w:p>
      <w:pPr>
        <w:numPr>
          <w:ilvl w:val="0"/>
          <w:numId w:val="1113"/>
        </w:numPr>
      </w:pPr>
      <w:r>
        <w:t xml:space="preserve">Which components are embedded in the Basic Edition and which run as local services.</w:t>
      </w:r>
    </w:p>
    <w:p>
      <w:pPr>
        <w:numPr>
          <w:ilvl w:val="0"/>
          <w:numId w:val="1113"/>
        </w:numPr>
      </w:pPr>
      <w:r>
        <w:t xml:space="preserve">How the Enterprise Edition divides services into deployable units.</w:t>
      </w:r>
    </w:p>
    <w:p>
      <w:pPr>
        <w:numPr>
          <w:ilvl w:val="0"/>
          <w:numId w:val="1113"/>
        </w:numPr>
      </w:pPr>
      <w:r>
        <w:t xml:space="preserve">Whether the initial platform supports true multi-tenancy or isolated single-tenant deployments managed through a common administrative plane.</w:t>
      </w:r>
    </w:p>
    <w:p>
      <w:pPr>
        <w:numPr>
          <w:ilvl w:val="0"/>
          <w:numId w:val="1113"/>
        </w:numPr>
      </w:pPr>
      <w:r>
        <w:t xml:space="preserve">Which policy engine technology will implement RBAC, ABAC, and operational guardrails.</w:t>
      </w:r>
    </w:p>
    <w:p>
      <w:pPr>
        <w:numPr>
          <w:ilvl w:val="0"/>
          <w:numId w:val="1113"/>
        </w:numPr>
      </w:pPr>
      <w:r>
        <w:t xml:space="preserve">Which audit-integrity mechanism will provide tamper evidence.</w:t>
      </w:r>
    </w:p>
    <w:p>
      <w:pPr>
        <w:numPr>
          <w:ilvl w:val="0"/>
          <w:numId w:val="1113"/>
        </w:numPr>
      </w:pPr>
      <w:r>
        <w:t xml:space="preserve">Which agent state, memory, and reasoning artifacts may be retained.</w:t>
      </w:r>
    </w:p>
    <w:p>
      <w:pPr>
        <w:numPr>
          <w:ilvl w:val="0"/>
          <w:numId w:val="1113"/>
        </w:numPr>
      </w:pPr>
      <w:r>
        <w:t xml:space="preserve">Which model inputs and outputs may be stored under each tenant’s privacy policy.</w:t>
      </w:r>
    </w:p>
    <w:p>
      <w:pPr>
        <w:pStyle w:val="FirstParagraph"/>
      </w:pPr>
      <w:r>
        <w:t xml:space="preserve">These decisions will be resolved in the corresponding low-level architecture chapters.</w:t>
      </w:r>
    </w:p>
    <w:p>
      <w:r>
        <w:pict>
          <v:rect style="width:0;height:1.5pt" o:hralign="center" o:hrstd="t" o:hr="t"/>
        </w:pict>
      </w:r>
    </w:p>
    <w:bookmarkEnd w:id="161"/>
    <w:bookmarkStart w:id="162" w:name="canonical-interpretation-of-the-diagram"/>
    <w:p>
      <w:pPr>
        <w:pStyle w:val="Heading1"/>
      </w:pPr>
      <w:r>
        <w:t xml:space="preserve">2.23 Canonical Interpretation of the Diagram</w:t>
      </w:r>
    </w:p>
    <w:p>
      <w:pPr>
        <w:pStyle w:val="FirstParagraph"/>
      </w:pPr>
      <w:r>
        <w:t xml:space="preserve">The finalized diagram is interpreted as follows:</w:t>
      </w:r>
    </w:p>
    <w:p>
      <w:pPr>
        <w:pStyle w:val="Compact"/>
        <w:numPr>
          <w:ilvl w:val="0"/>
          <w:numId w:val="1114"/>
        </w:numPr>
      </w:pPr>
      <w:r>
        <w:t xml:space="preserve">The</w:t>
      </w:r>
      <w:r>
        <w:t xml:space="preserve"> </w:t>
      </w:r>
      <w:r>
        <w:rPr>
          <w:b/>
          <w:bCs/>
        </w:rPr>
        <w:t xml:space="preserve">User Interfaces</w:t>
      </w:r>
      <w:r>
        <w:t xml:space="preserve"> </w:t>
      </w:r>
      <w:r>
        <w:t xml:space="preserve">are clients of the platform and do not bypass platform APIs.</w:t>
      </w:r>
    </w:p>
    <w:p>
      <w:pPr>
        <w:pStyle w:val="Compact"/>
        <w:numPr>
          <w:ilvl w:val="0"/>
          <w:numId w:val="1114"/>
        </w:numPr>
      </w:pPr>
      <w:r>
        <w:rPr>
          <w:b/>
          <w:bCs/>
        </w:rPr>
        <w:t xml:space="preserve">Enterprise Sources and Systems</w:t>
      </w:r>
      <w:r>
        <w:t xml:space="preserve"> </w:t>
      </w:r>
      <w:r>
        <w:t xml:space="preserve">remain external systems of record.</w:t>
      </w:r>
    </w:p>
    <w:p>
      <w:pPr>
        <w:pStyle w:val="Compact"/>
        <w:numPr>
          <w:ilvl w:val="0"/>
          <w:numId w:val="1114"/>
        </w:numPr>
      </w:pPr>
      <w:r>
        <w:rPr>
          <w:b/>
          <w:bCs/>
        </w:rPr>
        <w:t xml:space="preserve">Connectors and Collectors</w:t>
      </w:r>
      <w:r>
        <w:t xml:space="preserve"> </w:t>
      </w:r>
      <w:r>
        <w:t xml:space="preserve">mediate all enterprise-system integration.</w:t>
      </w:r>
    </w:p>
    <w:p>
      <w:pPr>
        <w:pStyle w:val="Compact"/>
        <w:numPr>
          <w:ilvl w:val="0"/>
          <w:numId w:val="1114"/>
        </w:numPr>
      </w:pPr>
      <w:r>
        <w:t xml:space="preserve">The</w:t>
      </w:r>
      <w:r>
        <w:t xml:space="preserve"> </w:t>
      </w:r>
      <w:r>
        <w:rPr>
          <w:b/>
          <w:bCs/>
        </w:rPr>
        <w:t xml:space="preserve">AI Orchestration Layer</w:t>
      </w:r>
      <w:r>
        <w:t xml:space="preserve"> </w:t>
      </w:r>
      <w:r>
        <w:t xml:space="preserve">owns request and workflow lifecycle.</w:t>
      </w:r>
    </w:p>
    <w:p>
      <w:pPr>
        <w:pStyle w:val="Compact"/>
        <w:numPr>
          <w:ilvl w:val="0"/>
          <w:numId w:val="1114"/>
        </w:numPr>
      </w:pPr>
      <w:r>
        <w:t xml:space="preserve">The</w:t>
      </w:r>
      <w:r>
        <w:t xml:space="preserve"> </w:t>
      </w:r>
      <w:r>
        <w:rPr>
          <w:b/>
          <w:bCs/>
        </w:rPr>
        <w:t xml:space="preserve">Agent Framework</w:t>
      </w:r>
      <w:r>
        <w:t xml:space="preserve"> </w:t>
      </w:r>
      <w:r>
        <w:t xml:space="preserve">defines reusable, governed AI behavior.</w:t>
      </w:r>
    </w:p>
    <w:p>
      <w:pPr>
        <w:pStyle w:val="Compact"/>
        <w:numPr>
          <w:ilvl w:val="0"/>
          <w:numId w:val="1114"/>
        </w:numPr>
      </w:pPr>
      <w:r>
        <w:rPr>
          <w:b/>
          <w:bCs/>
        </w:rPr>
        <w:t xml:space="preserve">Platform Services</w:t>
      </w:r>
      <w:r>
        <w:t xml:space="preserve"> </w:t>
      </w:r>
      <w:r>
        <w:t xml:space="preserve">provide shared deterministic capabilities.</w:t>
      </w:r>
    </w:p>
    <w:p>
      <w:pPr>
        <w:pStyle w:val="Compact"/>
        <w:numPr>
          <w:ilvl w:val="0"/>
          <w:numId w:val="1114"/>
        </w:numPr>
      </w:pPr>
      <w:r>
        <w:t xml:space="preserve">The</w:t>
      </w:r>
      <w:r>
        <w:t xml:space="preserve"> </w:t>
      </w:r>
      <w:r>
        <w:rPr>
          <w:b/>
          <w:bCs/>
        </w:rPr>
        <w:t xml:space="preserve">Data Layer</w:t>
      </w:r>
      <w:r>
        <w:t xml:space="preserve"> </w:t>
      </w:r>
      <w:r>
        <w:t xml:space="preserve">supports distinct persistence and retrieval patterns.</w:t>
      </w:r>
    </w:p>
    <w:p>
      <w:pPr>
        <w:pStyle w:val="Compact"/>
        <w:numPr>
          <w:ilvl w:val="0"/>
          <w:numId w:val="1114"/>
        </w:numPr>
      </w:pPr>
      <w:r>
        <w:t xml:space="preserve">The</w:t>
      </w:r>
      <w:r>
        <w:t xml:space="preserve"> </w:t>
      </w:r>
      <w:r>
        <w:rPr>
          <w:b/>
          <w:bCs/>
        </w:rPr>
        <w:t xml:space="preserve">Integration and Connectivity Layer</w:t>
      </w:r>
      <w:r>
        <w:t xml:space="preserve"> </w:t>
      </w:r>
      <w:r>
        <w:t xml:space="preserve">provides governed communication.</w:t>
      </w:r>
    </w:p>
    <w:p>
      <w:pPr>
        <w:pStyle w:val="Compact"/>
        <w:numPr>
          <w:ilvl w:val="0"/>
          <w:numId w:val="1114"/>
        </w:numPr>
      </w:pPr>
      <w:r>
        <w:t xml:space="preserve">The</w:t>
      </w:r>
      <w:r>
        <w:t xml:space="preserve"> </w:t>
      </w:r>
      <w:r>
        <w:rPr>
          <w:b/>
          <w:bCs/>
        </w:rPr>
        <w:t xml:space="preserve">AI Gateway and Model Layer</w:t>
      </w:r>
      <w:r>
        <w:t xml:space="preserve"> </w:t>
      </w:r>
      <w:r>
        <w:t xml:space="preserve">isolates model providers from the operational runtime.</w:t>
      </w:r>
    </w:p>
    <w:p>
      <w:pPr>
        <w:pStyle w:val="Compact"/>
        <w:numPr>
          <w:ilvl w:val="0"/>
          <w:numId w:val="1114"/>
        </w:numPr>
      </w:pPr>
      <w:r>
        <w:rPr>
          <w:b/>
          <w:bCs/>
        </w:rPr>
        <w:t xml:space="preserve">Security and Governance</w:t>
      </w:r>
      <w:r>
        <w:t xml:space="preserve"> </w:t>
      </w:r>
      <w:r>
        <w:t xml:space="preserve">is cross-cutting and applies to every component.</w:t>
      </w:r>
    </w:p>
    <w:p>
      <w:pPr>
        <w:pStyle w:val="Compact"/>
        <w:numPr>
          <w:ilvl w:val="0"/>
          <w:numId w:val="1114"/>
        </w:numPr>
      </w:pPr>
      <w:r>
        <w:t xml:space="preserve">The</w:t>
      </w:r>
      <w:r>
        <w:t xml:space="preserve"> </w:t>
      </w:r>
      <w:r>
        <w:rPr>
          <w:b/>
          <w:bCs/>
        </w:rPr>
        <w:t xml:space="preserve">Platform Foundation</w:t>
      </w:r>
      <w:r>
        <w:t xml:space="preserve"> </w:t>
      </w:r>
      <w:r>
        <w:t xml:space="preserve">operates the AccuSec software but does not replace its logical workflow, security, or agent architecture.</w:t>
      </w:r>
    </w:p>
    <w:p>
      <w:pPr>
        <w:pStyle w:val="Compact"/>
        <w:numPr>
          <w:ilvl w:val="0"/>
          <w:numId w:val="1114"/>
        </w:numPr>
      </w:pPr>
      <w:r>
        <w:t xml:space="preserve">Solid arrows represent synchronous request-response behavior.</w:t>
      </w:r>
    </w:p>
    <w:p>
      <w:pPr>
        <w:pStyle w:val="Compact"/>
        <w:numPr>
          <w:ilvl w:val="0"/>
          <w:numId w:val="1114"/>
        </w:numPr>
      </w:pPr>
      <w:r>
        <w:t xml:space="preserve">Dashed arrows represent asynchronous events, queued work, or deferred execution.</w:t>
      </w:r>
    </w:p>
    <w:p>
      <w:pPr>
        <w:pStyle w:val="Compact"/>
        <w:numPr>
          <w:ilvl w:val="0"/>
          <w:numId w:val="1114"/>
        </w:numPr>
      </w:pPr>
      <w:r>
        <w:t xml:space="preserve">Bidirectional arrows indicate separately governed communication in both directions, not unrestricted connectivity.</w:t>
      </w:r>
    </w:p>
    <w:p>
      <w:pPr>
        <w:pStyle w:val="FirstParagraph"/>
      </w:pPr>
      <w:r>
        <w:t xml:space="preserve">This interpretation is authoritative for subsequent architecture work.</w:t>
      </w:r>
    </w:p>
    <w:bookmarkEnd w:id="1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