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d80fcb962a32f60034e63152e2a9f723b9770f0"/>
    <w:p>
      <w:pPr>
        <w:pStyle w:val="Heading1"/>
      </w:pPr>
      <w:r>
        <w:t xml:space="preserve">AccuSec Tenancy, Projects, Datacenters, IAM and Organizational Memory Access</w:t>
      </w:r>
    </w:p>
    <w:bookmarkStart w:id="9" w:name="Xf051bf603bc6c60d7e715ff14a789fd555cf906"/>
    <w:p>
      <w:pPr>
        <w:pStyle w:val="Heading2"/>
      </w:pPr>
      <w:r>
        <w:t xml:space="preserve">Consolidated Product Requirements Document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AccuSec Enterprise AI Operating System</w:t>
      </w:r>
      <w:r>
        <w:br/>
      </w:r>
      <w:r>
        <w:rPr>
          <w:b/>
          <w:bCs/>
        </w:rPr>
        <w:t xml:space="preserve">Component:</w:t>
      </w:r>
      <w:r>
        <w:t xml:space="preserve"> </w:t>
      </w:r>
      <w:r>
        <w:t xml:space="preserve">Tenancy, Project and Datacenter Management, IAM, Endpoint Identity and Entitlement Management, Organizational Memory Security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Canonical Working Draft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Product Management, Enterprise Architecture, Security Architecture, IAM Engineering, Platform Engineering, AI Runtime Engineering, MCP Engineering, SRE and Compliance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PRD defines the management, tenancy, identity, authorization and Organizational Memory security model for AccuSec.</w:t>
      </w:r>
    </w:p>
    <w:p>
      <w:pPr>
        <w:pStyle w:val="BodyText"/>
      </w:pPr>
      <w:r>
        <w:t xml:space="preserve">It governs:</w:t>
      </w:r>
    </w:p>
    <w:p>
      <w:pPr>
        <w:pStyle w:val="Compact"/>
        <w:numPr>
          <w:ilvl w:val="0"/>
          <w:numId w:val="1001"/>
        </w:numPr>
      </w:pPr>
      <w:r>
        <w:t xml:space="preserve">Tenants</w:t>
      </w:r>
    </w:p>
    <w:p>
      <w:pPr>
        <w:pStyle w:val="Compact"/>
        <w:numPr>
          <w:ilvl w:val="0"/>
          <w:numId w:val="1001"/>
        </w:numPr>
      </w:pPr>
      <w:r>
        <w:t xml:space="preserve">Projects</w:t>
      </w:r>
    </w:p>
    <w:p>
      <w:pPr>
        <w:pStyle w:val="Compact"/>
        <w:numPr>
          <w:ilvl w:val="0"/>
          <w:numId w:val="1001"/>
        </w:numPr>
      </w:pPr>
      <w:r>
        <w:t xml:space="preserve">Datacenters</w:t>
      </w:r>
    </w:p>
    <w:p>
      <w:pPr>
        <w:pStyle w:val="Compact"/>
        <w:numPr>
          <w:ilvl w:val="0"/>
          <w:numId w:val="1001"/>
        </w:numPr>
      </w:pPr>
      <w:r>
        <w:t xml:space="preserve">hierarchical Folders</w:t>
      </w:r>
    </w:p>
    <w:p>
      <w:pPr>
        <w:pStyle w:val="Compact"/>
        <w:numPr>
          <w:ilvl w:val="0"/>
          <w:numId w:val="1001"/>
        </w:numPr>
      </w:pPr>
      <w:r>
        <w:t xml:space="preserve">managed Entities</w:t>
      </w:r>
    </w:p>
    <w:p>
      <w:pPr>
        <w:pStyle w:val="Compact"/>
        <w:numPr>
          <w:ilvl w:val="0"/>
          <w:numId w:val="1001"/>
        </w:numPr>
      </w:pPr>
      <w:r>
        <w:t xml:space="preserve">Endpoints</w:t>
      </w:r>
    </w:p>
    <w:p>
      <w:pPr>
        <w:pStyle w:val="Compact"/>
        <w:numPr>
          <w:ilvl w:val="0"/>
          <w:numId w:val="1001"/>
        </w:numPr>
      </w:pPr>
      <w:r>
        <w:t xml:space="preserve">Endpoint Access Identities</w:t>
      </w:r>
    </w:p>
    <w:p>
      <w:pPr>
        <w:pStyle w:val="Compact"/>
        <w:numPr>
          <w:ilvl w:val="0"/>
          <w:numId w:val="1001"/>
        </w:numPr>
      </w:pPr>
      <w:r>
        <w:t xml:space="preserve">MCP Servers</w:t>
      </w:r>
    </w:p>
    <w:p>
      <w:pPr>
        <w:pStyle w:val="Compact"/>
        <w:numPr>
          <w:ilvl w:val="0"/>
          <w:numId w:val="1001"/>
        </w:numPr>
      </w:pPr>
      <w:r>
        <w:t xml:space="preserve">Human users</w:t>
      </w:r>
    </w:p>
    <w:p>
      <w:pPr>
        <w:pStyle w:val="Compact"/>
        <w:numPr>
          <w:ilvl w:val="0"/>
          <w:numId w:val="1001"/>
        </w:numPr>
      </w:pPr>
      <w:r>
        <w:t xml:space="preserve">User groups</w:t>
      </w:r>
    </w:p>
    <w:p>
      <w:pPr>
        <w:pStyle w:val="Compact"/>
        <w:numPr>
          <w:ilvl w:val="0"/>
          <w:numId w:val="1001"/>
        </w:numPr>
      </w:pPr>
      <w:r>
        <w:t xml:space="preserve">AI Engineer agents</w:t>
      </w:r>
    </w:p>
    <w:p>
      <w:pPr>
        <w:pStyle w:val="Compact"/>
        <w:numPr>
          <w:ilvl w:val="0"/>
          <w:numId w:val="1001"/>
        </w:numPr>
      </w:pPr>
      <w:r>
        <w:t xml:space="preserve">Service Principals</w:t>
      </w:r>
    </w:p>
    <w:p>
      <w:pPr>
        <w:pStyle w:val="Compact"/>
        <w:numPr>
          <w:ilvl w:val="0"/>
          <w:numId w:val="1001"/>
        </w:numPr>
      </w:pPr>
      <w:r>
        <w:t xml:space="preserve">Identity Providers</w:t>
      </w:r>
    </w:p>
    <w:p>
      <w:pPr>
        <w:pStyle w:val="Compact"/>
        <w:numPr>
          <w:ilvl w:val="0"/>
          <w:numId w:val="1001"/>
        </w:numPr>
      </w:pPr>
      <w:r>
        <w:t xml:space="preserve">Roles</w:t>
      </w:r>
    </w:p>
    <w:p>
      <w:pPr>
        <w:pStyle w:val="Compact"/>
        <w:numPr>
          <w:ilvl w:val="0"/>
          <w:numId w:val="1001"/>
        </w:numPr>
      </w:pPr>
      <w:r>
        <w:t xml:space="preserve">Permissions</w:t>
      </w:r>
    </w:p>
    <w:p>
      <w:pPr>
        <w:pStyle w:val="Compact"/>
        <w:numPr>
          <w:ilvl w:val="0"/>
          <w:numId w:val="1001"/>
        </w:numPr>
      </w:pPr>
      <w:r>
        <w:t xml:space="preserve">Access Control Policies</w:t>
      </w:r>
    </w:p>
    <w:p>
      <w:pPr>
        <w:pStyle w:val="Compact"/>
        <w:numPr>
          <w:ilvl w:val="0"/>
          <w:numId w:val="1001"/>
        </w:numPr>
      </w:pPr>
      <w:r>
        <w:t xml:space="preserve">Entity ownership and sharing</w:t>
      </w:r>
    </w:p>
    <w:p>
      <w:pPr>
        <w:pStyle w:val="Compact"/>
        <w:numPr>
          <w:ilvl w:val="0"/>
          <w:numId w:val="1001"/>
        </w:numPr>
      </w:pPr>
      <w:r>
        <w:t xml:space="preserve">Endpoint entitlement provisioning</w:t>
      </w:r>
    </w:p>
    <w:p>
      <w:pPr>
        <w:pStyle w:val="Compact"/>
        <w:numPr>
          <w:ilvl w:val="0"/>
          <w:numId w:val="1001"/>
        </w:numPr>
      </w:pPr>
      <w:r>
        <w:t xml:space="preserve">Provider-native IAM/RBAC synchronization</w:t>
      </w:r>
    </w:p>
    <w:p>
      <w:pPr>
        <w:pStyle w:val="Compact"/>
        <w:numPr>
          <w:ilvl w:val="0"/>
          <w:numId w:val="1001"/>
        </w:numPr>
      </w:pPr>
      <w:r>
        <w:t xml:space="preserve">Organizational Memory</w:t>
      </w:r>
    </w:p>
    <w:p>
      <w:pPr>
        <w:pStyle w:val="Compact"/>
        <w:numPr>
          <w:ilvl w:val="0"/>
          <w:numId w:val="1001"/>
        </w:numPr>
      </w:pPr>
      <w:r>
        <w:t xml:space="preserve">Organizational Context</w:t>
      </w:r>
    </w:p>
    <w:p>
      <w:pPr>
        <w:pStyle w:val="Compact"/>
        <w:numPr>
          <w:ilvl w:val="0"/>
          <w:numId w:val="1001"/>
        </w:numPr>
      </w:pPr>
      <w:r>
        <w:t xml:space="preserve">Audit</w:t>
      </w:r>
    </w:p>
    <w:p>
      <w:pPr>
        <w:pStyle w:val="Compact"/>
        <w:numPr>
          <w:ilvl w:val="0"/>
          <w:numId w:val="1001"/>
        </w:numPr>
      </w:pPr>
      <w:r>
        <w:t xml:space="preserve">Human approval</w:t>
      </w:r>
    </w:p>
    <w:p>
      <w:pPr>
        <w:pStyle w:val="Compact"/>
        <w:numPr>
          <w:ilvl w:val="0"/>
          <w:numId w:val="1001"/>
        </w:numPr>
      </w:pPr>
      <w:r>
        <w:t xml:space="preserve">Provider-side authorization</w:t>
      </w:r>
    </w:p>
    <w:p>
      <w:pPr>
        <w:pStyle w:val="Compact"/>
        <w:numPr>
          <w:ilvl w:val="0"/>
          <w:numId w:val="1001"/>
        </w:numPr>
      </w:pPr>
      <w:r>
        <w:t xml:space="preserve">Desktop, hosted single-tenant and hosted multi-tenant deployment profiles</w:t>
      </w:r>
    </w:p>
    <w:p>
      <w:pPr>
        <w:pStyle w:val="FirstParagraph"/>
      </w:pPr>
      <w:r>
        <w:t xml:space="preserve">The design must allow humans and AI Engineers to safely manage hybrid cloud and datacenter infrastructure without allowing AI reasoning to establish authority.</w:t>
      </w:r>
    </w:p>
    <w:p>
      <w:r>
        <w:pict>
          <v:rect style="width:0;height:1.5pt" o:hralign="center" o:hrstd="t" o:hr="t"/>
        </w:pict>
      </w:r>
    </w:p>
    <w:bookmarkEnd w:id="11"/>
    <w:bookmarkStart w:id="12" w:name="architectural-thesis"/>
    <w:p>
      <w:pPr>
        <w:pStyle w:val="Heading1"/>
      </w:pPr>
      <w:r>
        <w:t xml:space="preserve">2. Architectural Thesis</w:t>
      </w:r>
    </w:p>
    <w:p>
      <w:pPr>
        <w:pStyle w:val="FirstParagraph"/>
      </w:pPr>
      <w:r>
        <w:t xml:space="preserve">AccuSec separates:</w:t>
      </w:r>
    </w:p>
    <w:p>
      <w:pPr>
        <w:pStyle w:val="SourceCode"/>
      </w:pPr>
      <w:r>
        <w:rPr>
          <w:rStyle w:val="VerbatimChar"/>
        </w:rPr>
        <w:t xml:space="preserve">Probabilistic Reasoning</w:t>
      </w:r>
    </w:p>
    <w:p>
      <w:pPr>
        <w:pStyle w:val="FirstParagraph"/>
      </w:pPr>
      <w:r>
        <w:t xml:space="preserve">from:</w:t>
      </w:r>
    </w:p>
    <w:p>
      <w:pPr>
        <w:pStyle w:val="SourceCode"/>
      </w:pPr>
      <w:r>
        <w:rPr>
          <w:rStyle w:val="VerbatimChar"/>
        </w:rPr>
        <w:t xml:space="preserve">Deterministic Enterprise Authority</w:t>
      </w:r>
    </w:p>
    <w:p>
      <w:pPr>
        <w:pStyle w:val="FirstParagraph"/>
      </w:pPr>
      <w:r>
        <w:t xml:space="preserve">An LLM may propose:</w:t>
      </w:r>
    </w:p>
    <w:p>
      <w:pPr>
        <w:pStyle w:val="Compact"/>
        <w:numPr>
          <w:ilvl w:val="0"/>
          <w:numId w:val="1002"/>
        </w:numPr>
      </w:pPr>
      <w:r>
        <w:t xml:space="preserve">an operation;</w:t>
      </w:r>
    </w:p>
    <w:p>
      <w:pPr>
        <w:pStyle w:val="Compact"/>
        <w:numPr>
          <w:ilvl w:val="0"/>
          <w:numId w:val="1002"/>
        </w:numPr>
      </w:pPr>
      <w:r>
        <w:t xml:space="preserve">a target resource;</w:t>
      </w:r>
    </w:p>
    <w:p>
      <w:pPr>
        <w:pStyle w:val="Compact"/>
        <w:numPr>
          <w:ilvl w:val="0"/>
          <w:numId w:val="1002"/>
        </w:numPr>
      </w:pPr>
      <w:r>
        <w:t xml:space="preserve">a workflow;</w:t>
      </w:r>
    </w:p>
    <w:p>
      <w:pPr>
        <w:pStyle w:val="Compact"/>
        <w:numPr>
          <w:ilvl w:val="0"/>
          <w:numId w:val="1002"/>
        </w:numPr>
      </w:pPr>
      <w:r>
        <w:t xml:space="preserve">a Skill;</w:t>
      </w:r>
    </w:p>
    <w:p>
      <w:pPr>
        <w:pStyle w:val="Compact"/>
        <w:numPr>
          <w:ilvl w:val="0"/>
          <w:numId w:val="1002"/>
        </w:numPr>
      </w:pPr>
      <w:r>
        <w:t xml:space="preserve">an MCP tool;</w:t>
      </w:r>
    </w:p>
    <w:p>
      <w:pPr>
        <w:pStyle w:val="Compact"/>
        <w:numPr>
          <w:ilvl w:val="0"/>
          <w:numId w:val="1002"/>
        </w:numPr>
      </w:pPr>
      <w:r>
        <w:t xml:space="preserve">execution parameters.</w:t>
      </w:r>
    </w:p>
    <w:p>
      <w:pPr>
        <w:pStyle w:val="FirstParagraph"/>
      </w:pPr>
      <w:r>
        <w:t xml:space="preserve">It cannot determine its own permissions.</w:t>
      </w:r>
    </w:p>
    <w:p>
      <w:pPr>
        <w:pStyle w:val="BodyText"/>
      </w:pPr>
      <w:r>
        <w:t xml:space="preserve">Every protected operation must resolve:</w:t>
      </w:r>
    </w:p>
    <w:p>
      <w:pPr>
        <w:pStyle w:val="SourceCode"/>
      </w:pPr>
      <w:r>
        <w:rPr>
          <w:rStyle w:val="VerbatimChar"/>
        </w:rPr>
        <w:t xml:space="preserve">WHO</w:t>
      </w:r>
      <w:r>
        <w:br/>
      </w:r>
      <w:r>
        <w:br/>
      </w:r>
      <w:r>
        <w:rPr>
          <w:rStyle w:val="VerbatimChar"/>
        </w:rPr>
        <w:t xml:space="preserve">may perform</w:t>
      </w:r>
      <w:r>
        <w:br/>
      </w:r>
      <w:r>
        <w:br/>
      </w:r>
      <w:r>
        <w:rPr>
          <w:rStyle w:val="VerbatimChar"/>
        </w:rPr>
        <w:t xml:space="preserve">WHICH OPERATION</w:t>
      </w:r>
      <w:r>
        <w:br/>
      </w:r>
      <w:r>
        <w:br/>
      </w:r>
      <w:r>
        <w:rPr>
          <w:rStyle w:val="VerbatimChar"/>
        </w:rPr>
        <w:t xml:space="preserve">on WHICH ENTITY OR ENTITY SET</w:t>
      </w:r>
      <w:r>
        <w:br/>
      </w:r>
      <w:r>
        <w:br/>
      </w:r>
      <w:r>
        <w:rPr>
          <w:rStyle w:val="VerbatimChar"/>
        </w:rPr>
        <w:t xml:space="preserve">inside WHICH TENANT</w:t>
      </w:r>
      <w:r>
        <w:br/>
      </w:r>
      <w:r>
        <w:br/>
      </w:r>
      <w:r>
        <w:rPr>
          <w:rStyle w:val="VerbatimChar"/>
        </w:rPr>
        <w:t xml:space="preserve">inside WHICH PROJECT</w:t>
      </w:r>
      <w:r>
        <w:br/>
      </w:r>
      <w:r>
        <w:br/>
      </w:r>
      <w:r>
        <w:rPr>
          <w:rStyle w:val="VerbatimChar"/>
        </w:rPr>
        <w:t xml:space="preserve">inside WHICH DATACENTER</w:t>
      </w:r>
      <w:r>
        <w:br/>
      </w:r>
      <w:r>
        <w:br/>
      </w:r>
      <w:r>
        <w:rPr>
          <w:rStyle w:val="VerbatimChar"/>
        </w:rPr>
        <w:t xml:space="preserve">within WHICH FOLDER / SCOPE</w:t>
      </w:r>
      <w:r>
        <w:br/>
      </w:r>
      <w:r>
        <w:br/>
      </w:r>
      <w:r>
        <w:rPr>
          <w:rStyle w:val="VerbatimChar"/>
        </w:rPr>
        <w:t xml:space="preserve">through WHICH ENDPOINT</w:t>
      </w:r>
      <w:r>
        <w:br/>
      </w:r>
      <w:r>
        <w:br/>
      </w:r>
      <w:r>
        <w:rPr>
          <w:rStyle w:val="VerbatimChar"/>
        </w:rPr>
        <w:t xml:space="preserve">using WHICH ENDPOINT IDENTITY</w:t>
      </w:r>
      <w:r>
        <w:br/>
      </w:r>
      <w:r>
        <w:br/>
      </w:r>
      <w:r>
        <w:rPr>
          <w:rStyle w:val="VerbatimChar"/>
        </w:rPr>
        <w:t xml:space="preserve">subject to WHICH POLICY</w:t>
      </w:r>
      <w:r>
        <w:br/>
      </w:r>
      <w:r>
        <w:br/>
      </w:r>
      <w:r>
        <w:rPr>
          <w:rStyle w:val="VerbatimChar"/>
        </w:rPr>
        <w:t xml:space="preserve">and WHICH PROVIDER AUTHORIZATION?</w:t>
      </w:r>
    </w:p>
    <w:p>
      <w:r>
        <w:pict>
          <v:rect style="width:0;height:1.5pt" o:hralign="center" o:hrstd="t" o:hr="t"/>
        </w:pict>
      </w:r>
    </w:p>
    <w:bookmarkEnd w:id="12"/>
    <w:bookmarkStart w:id="20" w:name="core-security-principles"/>
    <w:p>
      <w:pPr>
        <w:pStyle w:val="Heading1"/>
      </w:pPr>
      <w:r>
        <w:t xml:space="preserve">3. Core Security Principles</w:t>
      </w:r>
    </w:p>
    <w:bookmarkStart w:id="13" w:name="default-deny"/>
    <w:p>
      <w:pPr>
        <w:pStyle w:val="Heading2"/>
      </w:pPr>
      <w:r>
        <w:t xml:space="preserve">3.1 Default Deny</w:t>
      </w:r>
    </w:p>
    <w:p>
      <w:pPr>
        <w:pStyle w:val="FirstParagraph"/>
      </w:pPr>
      <w:r>
        <w:t xml:space="preserve">Absence of explicit authority means DENY.</w:t>
      </w:r>
    </w:p>
    <w:p>
      <w:pPr>
        <w:pStyle w:val="SourceCode"/>
      </w:pPr>
      <w:r>
        <w:rPr>
          <w:rStyle w:val="VerbatimChar"/>
        </w:rPr>
        <w:t xml:space="preserve">No Project membership → DENY</w:t>
      </w:r>
      <w:r>
        <w:br/>
      </w:r>
      <w:r>
        <w:br/>
      </w:r>
      <w:r>
        <w:rPr>
          <w:rStyle w:val="VerbatimChar"/>
        </w:rPr>
        <w:t xml:space="preserve">No applicable Role → DENY</w:t>
      </w:r>
      <w:r>
        <w:br/>
      </w:r>
      <w:r>
        <w:br/>
      </w:r>
      <w:r>
        <w:rPr>
          <w:rStyle w:val="VerbatimChar"/>
        </w:rPr>
        <w:t xml:space="preserve">No applicable Permission → DENY</w:t>
      </w:r>
      <w:r>
        <w:br/>
      </w:r>
      <w:r>
        <w:br/>
      </w:r>
      <w:r>
        <w:rPr>
          <w:rStyle w:val="VerbatimChar"/>
        </w:rPr>
        <w:t xml:space="preserve">Wrong Datacenter → DENY</w:t>
      </w:r>
      <w:r>
        <w:br/>
      </w:r>
      <w:r>
        <w:br/>
      </w:r>
      <w:r>
        <w:rPr>
          <w:rStyle w:val="VerbatimChar"/>
        </w:rPr>
        <w:t xml:space="preserve">Scope mismatch → DENY</w:t>
      </w:r>
      <w:r>
        <w:br/>
      </w:r>
      <w:r>
        <w:br/>
      </w:r>
      <w:r>
        <w:rPr>
          <w:rStyle w:val="VerbatimChar"/>
        </w:rPr>
        <w:t xml:space="preserve">ACL mismatch → DENY</w:t>
      </w:r>
      <w:r>
        <w:br/>
      </w:r>
      <w:r>
        <w:br/>
      </w:r>
      <w:r>
        <w:rPr>
          <w:rStyle w:val="VerbatimChar"/>
        </w:rPr>
        <w:t xml:space="preserve">Ambiguous identity → DENY</w:t>
      </w:r>
    </w:p>
    <w:bookmarkEnd w:id="13"/>
    <w:bookmarkStart w:id="14" w:name="authentication-is-not-authorization"/>
    <w:p>
      <w:pPr>
        <w:pStyle w:val="Heading2"/>
      </w:pPr>
      <w:r>
        <w:t xml:space="preserve">3.2 Authentication Is Not Authorization</w:t>
      </w:r>
    </w:p>
    <w:p>
      <w:pPr>
        <w:pStyle w:val="FirstParagraph"/>
      </w:pPr>
      <w:r>
        <w:t xml:space="preserve">Successful authentication establishes identity only.</w:t>
      </w:r>
    </w:p>
    <w:p>
      <w:pPr>
        <w:pStyle w:val="BodyText"/>
      </w:pPr>
      <w:r>
        <w:t xml:space="preserve">It does not automatically grant:</w:t>
      </w:r>
    </w:p>
    <w:p>
      <w:pPr>
        <w:pStyle w:val="Compact"/>
        <w:numPr>
          <w:ilvl w:val="0"/>
          <w:numId w:val="1003"/>
        </w:numPr>
      </w:pPr>
      <w:r>
        <w:t xml:space="preserve">Project membership;</w:t>
      </w:r>
    </w:p>
    <w:p>
      <w:pPr>
        <w:pStyle w:val="Compact"/>
        <w:numPr>
          <w:ilvl w:val="0"/>
          <w:numId w:val="1003"/>
        </w:numPr>
      </w:pPr>
      <w:r>
        <w:t xml:space="preserve">Datacenter access;</w:t>
      </w:r>
    </w:p>
    <w:p>
      <w:pPr>
        <w:pStyle w:val="Compact"/>
        <w:numPr>
          <w:ilvl w:val="0"/>
          <w:numId w:val="1003"/>
        </w:numPr>
      </w:pPr>
      <w:r>
        <w:t xml:space="preserve">Folder access;</w:t>
      </w:r>
    </w:p>
    <w:p>
      <w:pPr>
        <w:pStyle w:val="Compact"/>
        <w:numPr>
          <w:ilvl w:val="0"/>
          <w:numId w:val="1003"/>
        </w:numPr>
      </w:pPr>
      <w:r>
        <w:t xml:space="preserve">Entity visibility;</w:t>
      </w:r>
    </w:p>
    <w:p>
      <w:pPr>
        <w:pStyle w:val="Compact"/>
        <w:numPr>
          <w:ilvl w:val="0"/>
          <w:numId w:val="1003"/>
        </w:numPr>
      </w:pPr>
      <w:r>
        <w:t xml:space="preserve">MCP execution;</w:t>
      </w:r>
    </w:p>
    <w:p>
      <w:pPr>
        <w:pStyle w:val="Compact"/>
        <w:numPr>
          <w:ilvl w:val="0"/>
          <w:numId w:val="1003"/>
        </w:numPr>
      </w:pPr>
      <w:r>
        <w:t xml:space="preserve">Organizational Memory access.</w:t>
      </w:r>
    </w:p>
    <w:bookmarkEnd w:id="14"/>
    <w:bookmarkStart w:id="15" w:name="Xf3142fac646837514cb6b06e1c663ed4dcbe669"/>
    <w:p>
      <w:pPr>
        <w:pStyle w:val="Heading2"/>
      </w:pPr>
      <w:r>
        <w:t xml:space="preserve">3.3 Management Authority Is Not Infrastructure Authority</w:t>
      </w:r>
    </w:p>
    <w:p>
      <w:pPr>
        <w:pStyle w:val="FirstParagraph"/>
      </w:pPr>
      <w:r>
        <w:t xml:space="preserve">AccuSec administration and infrastructure operations are separate permission domains.</w:t>
      </w:r>
    </w:p>
    <w:p>
      <w:pPr>
        <w:pStyle w:val="BodyText"/>
      </w:pPr>
      <w:r>
        <w:t xml:space="preserve">An AccuSec administrator may manage:</w:t>
      </w:r>
    </w:p>
    <w:p>
      <w:pPr>
        <w:pStyle w:val="SourceCode"/>
      </w:pP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Policies</w:t>
      </w:r>
      <w:r>
        <w:br/>
      </w:r>
      <w:r>
        <w:rPr>
          <w:rStyle w:val="VerbatimChar"/>
        </w:rPr>
        <w:t xml:space="preserve">Agents</w:t>
      </w:r>
      <w:r>
        <w:br/>
      </w:r>
      <w:r>
        <w:rPr>
          <w:rStyle w:val="VerbatimChar"/>
        </w:rPr>
        <w:t xml:space="preserve">Datacenters</w:t>
      </w:r>
    </w:p>
    <w:p>
      <w:pPr>
        <w:pStyle w:val="FirstParagraph"/>
      </w:pPr>
      <w:r>
        <w:t xml:space="preserve">without being allowed to:</w:t>
      </w:r>
    </w:p>
    <w:p>
      <w:pPr>
        <w:pStyle w:val="SourceCode"/>
      </w:pPr>
      <w:r>
        <w:rPr>
          <w:rStyle w:val="VerbatimChar"/>
        </w:rPr>
        <w:t xml:space="preserve">Stop an EC2 instance</w:t>
      </w:r>
      <w:r>
        <w:br/>
      </w:r>
      <w:r>
        <w:rPr>
          <w:rStyle w:val="VerbatimChar"/>
        </w:rPr>
        <w:t xml:space="preserve">Modify an Azure VM</w:t>
      </w:r>
      <w:r>
        <w:br/>
      </w:r>
      <w:r>
        <w:rPr>
          <w:rStyle w:val="VerbatimChar"/>
        </w:rPr>
        <w:t xml:space="preserve">Expand an EBS volume</w:t>
      </w:r>
      <w:r>
        <w:br/>
      </w:r>
      <w:r>
        <w:rPr>
          <w:rStyle w:val="VerbatimChar"/>
        </w:rPr>
        <w:t xml:space="preserve">Delete a Nutanix VM</w:t>
      </w:r>
    </w:p>
    <w:bookmarkEnd w:id="15"/>
    <w:bookmarkStart w:id="16" w:name="X9ae33023089a9a7a858bbc2382589edfe4bc43f"/>
    <w:p>
      <w:pPr>
        <w:pStyle w:val="Heading2"/>
      </w:pPr>
      <w:r>
        <w:t xml:space="preserve">3.4 Human and Agent Identities Are Independent</w:t>
      </w:r>
    </w:p>
    <w:p>
      <w:pPr>
        <w:pStyle w:val="FirstParagraph"/>
      </w:pPr>
      <w:r>
        <w:t xml:space="preserve">AI Engineers are first-class security Principals.</w:t>
      </w:r>
    </w:p>
    <w:p>
      <w:pPr>
        <w:pStyle w:val="BodyText"/>
      </w:pPr>
      <w:r>
        <w:t xml:space="preserve">An agent does not impersonate its human owner.</w:t>
      </w:r>
    </w:p>
    <w:p>
      <w:pPr>
        <w:pStyle w:val="BodyText"/>
      </w:pPr>
      <w:r>
        <w:t xml:space="preserve">Both identities remain visible in:</w:t>
      </w:r>
    </w:p>
    <w:p>
      <w:pPr>
        <w:pStyle w:val="Compact"/>
        <w:numPr>
          <w:ilvl w:val="0"/>
          <w:numId w:val="1004"/>
        </w:numPr>
      </w:pPr>
      <w:r>
        <w:t xml:space="preserve">authorization;</w:t>
      </w:r>
    </w:p>
    <w:p>
      <w:pPr>
        <w:pStyle w:val="Compact"/>
        <w:numPr>
          <w:ilvl w:val="0"/>
          <w:numId w:val="1004"/>
        </w:numPr>
      </w:pPr>
      <w:r>
        <w:t xml:space="preserve">execution;</w:t>
      </w:r>
    </w:p>
    <w:p>
      <w:pPr>
        <w:pStyle w:val="Compact"/>
        <w:numPr>
          <w:ilvl w:val="0"/>
          <w:numId w:val="1004"/>
        </w:numPr>
      </w:pPr>
      <w:r>
        <w:t xml:space="preserve">audit.</w:t>
      </w:r>
    </w:p>
    <w:bookmarkEnd w:id="16"/>
    <w:bookmarkStart w:id="17" w:name="least-privilege-and-delegation"/>
    <w:p>
      <w:pPr>
        <w:pStyle w:val="Heading2"/>
      </w:pPr>
      <w:r>
        <w:t xml:space="preserve">3.5 Least Privilege and Delegation</w:t>
      </w:r>
    </w:p>
    <w:p>
      <w:pPr>
        <w:pStyle w:val="FirstParagraph"/>
      </w:pPr>
      <w:r>
        <w:t xml:space="preserve">A Principal may grant only permissions explicitly designated as delegable and already within that Principal’s own delegation boundary.</w:t>
      </w:r>
    </w:p>
    <w:p>
      <w:pPr>
        <w:pStyle w:val="SourceCode"/>
      </w:pPr>
      <w:r>
        <w:rPr>
          <w:rStyle w:val="VerbatimChar"/>
        </w:rPr>
        <w:t xml:space="preserve">Granted Permissions</w:t>
      </w:r>
      <w:r>
        <w:br/>
      </w:r>
      <w:r>
        <w:rPr>
          <w:rStyle w:val="VerbatimChar"/>
        </w:rPr>
        <w:t xml:space="preserve">⊆</w:t>
      </w:r>
      <w:r>
        <w:br/>
      </w:r>
      <w:r>
        <w:rPr>
          <w:rStyle w:val="VerbatimChar"/>
        </w:rPr>
        <w:t xml:space="preserve">Grantor Effective Delegable Permissions</w:t>
      </w:r>
    </w:p>
    <w:bookmarkEnd w:id="17"/>
    <w:bookmarkStart w:id="18" w:name="provider-authorization-remains-mandatory"/>
    <w:p>
      <w:pPr>
        <w:pStyle w:val="Heading2"/>
      </w:pPr>
      <w:r>
        <w:t xml:space="preserve">3.6 Provider Authorization Remains Mandatory</w:t>
      </w:r>
    </w:p>
    <w:p>
      <w:pPr>
        <w:pStyle w:val="FirstParagraph"/>
      </w:pPr>
      <w:r>
        <w:t xml:space="preserve">AccuSec IAM does not replace:</w:t>
      </w:r>
    </w:p>
    <w:p>
      <w:pPr>
        <w:pStyle w:val="Compact"/>
        <w:numPr>
          <w:ilvl w:val="0"/>
          <w:numId w:val="1005"/>
        </w:numPr>
      </w:pPr>
      <w:r>
        <w:t xml:space="preserve">AWS IAM;</w:t>
      </w:r>
    </w:p>
    <w:p>
      <w:pPr>
        <w:pStyle w:val="Compact"/>
        <w:numPr>
          <w:ilvl w:val="0"/>
          <w:numId w:val="1005"/>
        </w:numPr>
      </w:pPr>
      <w:r>
        <w:t xml:space="preserve">Azure RBAC;</w:t>
      </w:r>
    </w:p>
    <w:p>
      <w:pPr>
        <w:pStyle w:val="Compact"/>
        <w:numPr>
          <w:ilvl w:val="0"/>
          <w:numId w:val="1005"/>
        </w:numPr>
      </w:pPr>
      <w:r>
        <w:t xml:space="preserve">GCP IAM;</w:t>
      </w:r>
    </w:p>
    <w:p>
      <w:pPr>
        <w:pStyle w:val="Compact"/>
        <w:numPr>
          <w:ilvl w:val="0"/>
          <w:numId w:val="1005"/>
        </w:numPr>
      </w:pPr>
      <w:r>
        <w:t xml:space="preserve">Nutanix IAM;</w:t>
      </w:r>
    </w:p>
    <w:p>
      <w:pPr>
        <w:pStyle w:val="Compact"/>
        <w:numPr>
          <w:ilvl w:val="0"/>
          <w:numId w:val="1005"/>
        </w:numPr>
      </w:pPr>
      <w:r>
        <w:t xml:space="preserve">VMware authorization;</w:t>
      </w:r>
    </w:p>
    <w:p>
      <w:pPr>
        <w:pStyle w:val="Compact"/>
        <w:numPr>
          <w:ilvl w:val="0"/>
          <w:numId w:val="1005"/>
        </w:numPr>
      </w:pPr>
      <w:r>
        <w:t xml:space="preserve">Kubernetes RBAC.</w:t>
      </w:r>
    </w:p>
    <w:p>
      <w:pPr>
        <w:pStyle w:val="FirstParagraph"/>
      </w:pPr>
      <w:r>
        <w:t xml:space="preserve">Both AccuSec and the target provider may independently deny an operation.</w:t>
      </w:r>
    </w:p>
    <w:bookmarkEnd w:id="18"/>
    <w:bookmarkStart w:id="19" w:name="X5f1ff07358c8fc254135563a6a7c32599f31092"/>
    <w:p>
      <w:pPr>
        <w:pStyle w:val="Heading2"/>
      </w:pPr>
      <w:r>
        <w:t xml:space="preserve">3.7 Organizational Memory Is Protected Enterprise Data</w:t>
      </w:r>
    </w:p>
    <w:p>
      <w:pPr>
        <w:pStyle w:val="FirstParagraph"/>
      </w:pPr>
      <w:r>
        <w:t xml:space="preserve">Unauthorized Organizational Memory content must never reach:</w:t>
      </w:r>
    </w:p>
    <w:p>
      <w:pPr>
        <w:pStyle w:val="Compact"/>
        <w:numPr>
          <w:ilvl w:val="0"/>
          <w:numId w:val="1006"/>
        </w:numPr>
      </w:pPr>
      <w:r>
        <w:t xml:space="preserve">agents;</w:t>
      </w:r>
    </w:p>
    <w:p>
      <w:pPr>
        <w:pStyle w:val="Compact"/>
        <w:numPr>
          <w:ilvl w:val="0"/>
          <w:numId w:val="1006"/>
        </w:numPr>
      </w:pPr>
      <w:r>
        <w:t xml:space="preserve">Skills;</w:t>
      </w:r>
    </w:p>
    <w:p>
      <w:pPr>
        <w:pStyle w:val="Compact"/>
        <w:numPr>
          <w:ilvl w:val="0"/>
          <w:numId w:val="1006"/>
        </w:numPr>
      </w:pPr>
      <w:r>
        <w:t xml:space="preserve">RAG retrieval;</w:t>
      </w:r>
    </w:p>
    <w:p>
      <w:pPr>
        <w:pStyle w:val="Compact"/>
        <w:numPr>
          <w:ilvl w:val="0"/>
          <w:numId w:val="1006"/>
        </w:numPr>
      </w:pPr>
      <w:r>
        <w:t xml:space="preserve">prompts;</w:t>
      </w:r>
    </w:p>
    <w:p>
      <w:pPr>
        <w:pStyle w:val="Compact"/>
        <w:numPr>
          <w:ilvl w:val="0"/>
          <w:numId w:val="1006"/>
        </w:numPr>
      </w:pPr>
      <w:r>
        <w:t xml:space="preserve">LLM context;</w:t>
      </w:r>
    </w:p>
    <w:p>
      <w:pPr>
        <w:pStyle w:val="Compact"/>
        <w:numPr>
          <w:ilvl w:val="0"/>
          <w:numId w:val="1006"/>
        </w:numPr>
      </w:pPr>
      <w:r>
        <w:t xml:space="preserve">generated Context Packages.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anonical-management-hierarchy"/>
    <w:p>
      <w:pPr>
        <w:pStyle w:val="Heading1"/>
      </w:pPr>
      <w:r>
        <w:t xml:space="preserve">4. Canonical Management Hierarchy</w:t>
      </w:r>
    </w:p>
    <w:p>
      <w:pPr>
        <w:pStyle w:val="FirstParagraph"/>
      </w:pPr>
      <w:r>
        <w:t xml:space="preserve">The canonical hierarchy is:</w:t>
      </w:r>
    </w:p>
    <w:p>
      <w:pPr>
        <w:pStyle w:val="SourceCode"/>
      </w:pPr>
      <w:r>
        <w:rPr>
          <w:rStyle w:val="VerbatimChar"/>
        </w:rPr>
        <w:t xml:space="preserve">Service Provider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Project 0</w:t>
      </w:r>
      <w:r>
        <w:br/>
      </w:r>
      <w:r>
        <w:rPr>
          <w:rStyle w:val="VerbatimChar"/>
        </w:rPr>
        <w:t xml:space="preserve">      │      │</w:t>
      </w:r>
      <w:r>
        <w:br/>
      </w:r>
      <w:r>
        <w:rPr>
          <w:rStyle w:val="VerbatimChar"/>
        </w:rPr>
        <w:t xml:space="preserve">      │      ├── Datacenter</w:t>
      </w:r>
      <w:r>
        <w:br/>
      </w:r>
      <w:r>
        <w:rPr>
          <w:rStyle w:val="VerbatimChar"/>
        </w:rPr>
        <w:t xml:space="preserve">      │      │      │</w:t>
      </w:r>
      <w:r>
        <w:br/>
      </w:r>
      <w:r>
        <w:rPr>
          <w:rStyle w:val="VerbatimChar"/>
        </w:rPr>
        <w:t xml:space="preserve">      │      │      └── Default Folder</w:t>
      </w:r>
      <w:r>
        <w:br/>
      </w:r>
      <w:r>
        <w:rPr>
          <w:rStyle w:val="VerbatimChar"/>
        </w:rPr>
        <w:t xml:space="preserve">      │      │             │</w:t>
      </w:r>
      <w:r>
        <w:br/>
      </w:r>
      <w:r>
        <w:rPr>
          <w:rStyle w:val="VerbatimChar"/>
        </w:rPr>
        <w:t xml:space="preserve">      │      │             ├── Folder</w:t>
      </w:r>
      <w:r>
        <w:br/>
      </w:r>
      <w:r>
        <w:rPr>
          <w:rStyle w:val="VerbatimChar"/>
        </w:rPr>
        <w:t xml:space="preserve">      │      │             │    └── Folder</w:t>
      </w:r>
      <w:r>
        <w:br/>
      </w:r>
      <w:r>
        <w:rPr>
          <w:rStyle w:val="VerbatimChar"/>
        </w:rPr>
        <w:t xml:space="preserve">      │      │             │</w:t>
      </w:r>
      <w:r>
        <w:br/>
      </w:r>
      <w:r>
        <w:rPr>
          <w:rStyle w:val="VerbatimChar"/>
        </w:rPr>
        <w:t xml:space="preserve">      │      │             └── Managed Entities</w:t>
      </w:r>
      <w:r>
        <w:br/>
      </w:r>
      <w:r>
        <w:rPr>
          <w:rStyle w:val="VerbatimChar"/>
        </w:rPr>
        <w:t xml:space="preserve">      │      │</w:t>
      </w:r>
      <w:r>
        <w:br/>
      </w:r>
      <w:r>
        <w:rPr>
          <w:rStyle w:val="VerbatimChar"/>
        </w:rPr>
        <w:t xml:space="preserve">      │      └── Datacenter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Project N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└── Datacenter(s)</w:t>
      </w:r>
    </w:p>
    <w:p>
      <w:pPr>
        <w:pStyle w:val="FirstParagraph"/>
      </w:pPr>
      <w:r>
        <w:t xml:space="preserve">The primary management and authorization scopes are:</w:t>
      </w:r>
    </w:p>
    <w:p>
      <w:pPr>
        <w:pStyle w:val="Compact"/>
        <w:numPr>
          <w:ilvl w:val="0"/>
          <w:numId w:val="1007"/>
        </w:numPr>
      </w:pPr>
      <w:r>
        <w:t xml:space="preserve">Tenant</w:t>
      </w:r>
    </w:p>
    <w:p>
      <w:pPr>
        <w:pStyle w:val="Compact"/>
        <w:numPr>
          <w:ilvl w:val="0"/>
          <w:numId w:val="1007"/>
        </w:numPr>
      </w:pPr>
      <w:r>
        <w:t xml:space="preserve">Project</w:t>
      </w:r>
    </w:p>
    <w:p>
      <w:pPr>
        <w:pStyle w:val="Compact"/>
        <w:numPr>
          <w:ilvl w:val="0"/>
          <w:numId w:val="1007"/>
        </w:numPr>
      </w:pPr>
      <w:r>
        <w:t xml:space="preserve">Datacenter</w:t>
      </w:r>
    </w:p>
    <w:p>
      <w:pPr>
        <w:pStyle w:val="Compact"/>
        <w:numPr>
          <w:ilvl w:val="0"/>
          <w:numId w:val="1007"/>
        </w:numPr>
      </w:pPr>
      <w:r>
        <w:t xml:space="preserve">Default Folder</w:t>
      </w:r>
    </w:p>
    <w:p>
      <w:pPr>
        <w:pStyle w:val="Compact"/>
        <w:numPr>
          <w:ilvl w:val="0"/>
          <w:numId w:val="1007"/>
        </w:numPr>
      </w:pPr>
      <w:r>
        <w:t xml:space="preserve">Folder</w:t>
      </w:r>
    </w:p>
    <w:p>
      <w:pPr>
        <w:pStyle w:val="Compact"/>
        <w:numPr>
          <w:ilvl w:val="0"/>
          <w:numId w:val="1007"/>
        </w:numPr>
      </w:pPr>
      <w:r>
        <w:t xml:space="preserve">Entity</w:t>
      </w:r>
    </w:p>
    <w:p>
      <w:pPr>
        <w:pStyle w:val="Compact"/>
        <w:numPr>
          <w:ilvl w:val="0"/>
          <w:numId w:val="1007"/>
        </w:numPr>
      </w:pPr>
      <w:r>
        <w:t xml:space="preserve">Dynamic Entity Set</w:t>
      </w:r>
    </w:p>
    <w:p>
      <w:r>
        <w:pict>
          <v:rect style="width:0;height:1.5pt" o:hralign="center" o:hrstd="t" o:hr="t"/>
        </w:pict>
      </w:r>
    </w:p>
    <w:bookmarkEnd w:id="21"/>
    <w:bookmarkStart w:id="22" w:name="tenant"/>
    <w:p>
      <w:pPr>
        <w:pStyle w:val="Heading1"/>
      </w:pPr>
      <w:r>
        <w:t xml:space="preserve">5. Tenant</w:t>
      </w:r>
    </w:p>
    <w:p>
      <w:pPr>
        <w:pStyle w:val="FirstParagraph"/>
      </w:pPr>
      <w:r>
        <w:t xml:space="preserve">A Tenant represents a customer or administrative security domain.</w:t>
      </w:r>
    </w:p>
    <w:p>
      <w:pPr>
        <w:pStyle w:val="BodyText"/>
      </w:pPr>
      <w:r>
        <w:t xml:space="preserve">Each Tenant owns:</w:t>
      </w:r>
    </w:p>
    <w:p>
      <w:pPr>
        <w:pStyle w:val="Compact"/>
        <w:numPr>
          <w:ilvl w:val="0"/>
          <w:numId w:val="1008"/>
        </w:numPr>
      </w:pPr>
      <w:r>
        <w:t xml:space="preserve">Project 0</w:t>
      </w:r>
    </w:p>
    <w:p>
      <w:pPr>
        <w:pStyle w:val="Compact"/>
        <w:numPr>
          <w:ilvl w:val="0"/>
          <w:numId w:val="1008"/>
        </w:numPr>
      </w:pPr>
      <w:r>
        <w:t xml:space="preserve">additional Projects</w:t>
      </w:r>
    </w:p>
    <w:p>
      <w:pPr>
        <w:pStyle w:val="Compact"/>
        <w:numPr>
          <w:ilvl w:val="0"/>
          <w:numId w:val="1008"/>
        </w:numPr>
      </w:pPr>
      <w:r>
        <w:t xml:space="preserve">Users</w:t>
      </w:r>
    </w:p>
    <w:p>
      <w:pPr>
        <w:pStyle w:val="Compact"/>
        <w:numPr>
          <w:ilvl w:val="0"/>
          <w:numId w:val="1008"/>
        </w:numPr>
      </w:pPr>
      <w:r>
        <w:t xml:space="preserve">User Groups</w:t>
      </w:r>
    </w:p>
    <w:p>
      <w:pPr>
        <w:pStyle w:val="Compact"/>
        <w:numPr>
          <w:ilvl w:val="0"/>
          <w:numId w:val="1008"/>
        </w:numPr>
      </w:pPr>
      <w:r>
        <w:t xml:space="preserve">AI Engineers</w:t>
      </w:r>
    </w:p>
    <w:p>
      <w:pPr>
        <w:pStyle w:val="Compact"/>
        <w:numPr>
          <w:ilvl w:val="0"/>
          <w:numId w:val="1008"/>
        </w:numPr>
      </w:pPr>
      <w:r>
        <w:t xml:space="preserve">Identity Provider configuration</w:t>
      </w:r>
    </w:p>
    <w:p>
      <w:pPr>
        <w:pStyle w:val="Compact"/>
        <w:numPr>
          <w:ilvl w:val="0"/>
          <w:numId w:val="1008"/>
        </w:numPr>
      </w:pPr>
      <w:r>
        <w:t xml:space="preserve">Roles</w:t>
      </w:r>
    </w:p>
    <w:p>
      <w:pPr>
        <w:pStyle w:val="Compact"/>
        <w:numPr>
          <w:ilvl w:val="0"/>
          <w:numId w:val="1008"/>
        </w:numPr>
      </w:pPr>
      <w:r>
        <w:t xml:space="preserve">Permissions</w:t>
      </w:r>
    </w:p>
    <w:p>
      <w:pPr>
        <w:pStyle w:val="Compact"/>
        <w:numPr>
          <w:ilvl w:val="0"/>
          <w:numId w:val="1008"/>
        </w:numPr>
      </w:pPr>
      <w:r>
        <w:t xml:space="preserve">Access Control Policies</w:t>
      </w:r>
    </w:p>
    <w:p>
      <w:pPr>
        <w:pStyle w:val="Compact"/>
        <w:numPr>
          <w:ilvl w:val="0"/>
          <w:numId w:val="1008"/>
        </w:numPr>
      </w:pPr>
      <w:r>
        <w:t xml:space="preserve">Endpoint Connections</w:t>
      </w:r>
    </w:p>
    <w:p>
      <w:pPr>
        <w:pStyle w:val="Compact"/>
        <w:numPr>
          <w:ilvl w:val="0"/>
          <w:numId w:val="1008"/>
        </w:numPr>
      </w:pPr>
      <w:r>
        <w:t xml:space="preserve">Endpoint Access Identities</w:t>
      </w:r>
    </w:p>
    <w:p>
      <w:pPr>
        <w:pStyle w:val="Compact"/>
        <w:numPr>
          <w:ilvl w:val="0"/>
          <w:numId w:val="1008"/>
        </w:numPr>
      </w:pPr>
      <w:r>
        <w:t xml:space="preserve">Organizational Memory</w:t>
      </w:r>
    </w:p>
    <w:p>
      <w:pPr>
        <w:pStyle w:val="Compact"/>
        <w:numPr>
          <w:ilvl w:val="0"/>
          <w:numId w:val="1008"/>
        </w:numPr>
      </w:pPr>
      <w:r>
        <w:t xml:space="preserve">audit configuration</w:t>
      </w:r>
    </w:p>
    <w:p>
      <w:pPr>
        <w:pStyle w:val="FirstParagraph"/>
      </w:pPr>
      <w:r>
        <w:t xml:space="preserve">Each Tenant has exactly one logical Organizational Memory.</w:t>
      </w:r>
    </w:p>
    <w:p>
      <w:pPr>
        <w:pStyle w:val="BodyText"/>
      </w:pPr>
      <w:r>
        <w:t xml:space="preserve">Cross-Tenant Organizational Memory access is prohibited.</w:t>
      </w:r>
    </w:p>
    <w:p>
      <w:r>
        <w:pict>
          <v:rect style="width:0;height:1.5pt" o:hralign="center" o:hrstd="t" o:hr="t"/>
        </w:pict>
      </w:r>
    </w:p>
    <w:bookmarkEnd w:id="22"/>
    <w:bookmarkStart w:id="23" w:name="service-provider-administration"/>
    <w:p>
      <w:pPr>
        <w:pStyle w:val="Heading1"/>
      </w:pPr>
      <w:r>
        <w:t xml:space="preserve">6. Service Provider Administration</w:t>
      </w:r>
    </w:p>
    <w:p>
      <w:pPr>
        <w:pStyle w:val="FirstParagraph"/>
      </w:pPr>
      <w:r>
        <w:t xml:space="preserve">A Service Provider Administrator may perform AccuSec management functions according to assigned policy.</w:t>
      </w:r>
    </w:p>
    <w:p>
      <w:pPr>
        <w:pStyle w:val="BodyText"/>
      </w:pPr>
      <w:r>
        <w:t xml:space="preserve">Possible capabilities include:</w:t>
      </w:r>
    </w:p>
    <w:p>
      <w:pPr>
        <w:pStyle w:val="Compact"/>
        <w:numPr>
          <w:ilvl w:val="0"/>
          <w:numId w:val="1009"/>
        </w:numPr>
      </w:pPr>
      <w:r>
        <w:t xml:space="preserve">creating Tenants;</w:t>
      </w:r>
    </w:p>
    <w:p>
      <w:pPr>
        <w:pStyle w:val="Compact"/>
        <w:numPr>
          <w:ilvl w:val="0"/>
          <w:numId w:val="1009"/>
        </w:numPr>
      </w:pPr>
      <w:r>
        <w:t xml:space="preserve">configuring Tenant identity;</w:t>
      </w:r>
    </w:p>
    <w:p>
      <w:pPr>
        <w:pStyle w:val="Compact"/>
        <w:numPr>
          <w:ilvl w:val="0"/>
          <w:numId w:val="1009"/>
        </w:numPr>
      </w:pPr>
      <w:r>
        <w:t xml:space="preserve">managing Project 0;</w:t>
      </w:r>
    </w:p>
    <w:p>
      <w:pPr>
        <w:pStyle w:val="Compact"/>
        <w:numPr>
          <w:ilvl w:val="0"/>
          <w:numId w:val="1009"/>
        </w:numPr>
      </w:pPr>
      <w:r>
        <w:t xml:space="preserve">creating Projects;</w:t>
      </w:r>
    </w:p>
    <w:p>
      <w:pPr>
        <w:pStyle w:val="Compact"/>
        <w:numPr>
          <w:ilvl w:val="0"/>
          <w:numId w:val="1009"/>
        </w:numPr>
      </w:pPr>
      <w:r>
        <w:t xml:space="preserve">registering Endpoints;</w:t>
      </w:r>
    </w:p>
    <w:p>
      <w:pPr>
        <w:pStyle w:val="Compact"/>
        <w:numPr>
          <w:ilvl w:val="0"/>
          <w:numId w:val="1009"/>
        </w:numPr>
      </w:pPr>
      <w:r>
        <w:t xml:space="preserve">configuring Datacenters;</w:t>
      </w:r>
    </w:p>
    <w:p>
      <w:pPr>
        <w:pStyle w:val="Compact"/>
        <w:numPr>
          <w:ilvl w:val="0"/>
          <w:numId w:val="1009"/>
        </w:numPr>
      </w:pPr>
      <w:r>
        <w:t xml:space="preserve">admitting users;</w:t>
      </w:r>
    </w:p>
    <w:p>
      <w:pPr>
        <w:pStyle w:val="Compact"/>
        <w:numPr>
          <w:ilvl w:val="0"/>
          <w:numId w:val="1009"/>
        </w:numPr>
      </w:pPr>
      <w:r>
        <w:t xml:space="preserve">creating Roles and Policies;</w:t>
      </w:r>
    </w:p>
    <w:p>
      <w:pPr>
        <w:pStyle w:val="Compact"/>
        <w:numPr>
          <w:ilvl w:val="0"/>
          <w:numId w:val="1009"/>
        </w:numPr>
      </w:pPr>
      <w:r>
        <w:t xml:space="preserve">creating agents;</w:t>
      </w:r>
    </w:p>
    <w:p>
      <w:pPr>
        <w:pStyle w:val="Compact"/>
        <w:numPr>
          <w:ilvl w:val="0"/>
          <w:numId w:val="1009"/>
        </w:numPr>
      </w:pPr>
      <w:r>
        <w:t xml:space="preserve">delegating administration;</w:t>
      </w:r>
    </w:p>
    <w:p>
      <w:pPr>
        <w:pStyle w:val="Compact"/>
        <w:numPr>
          <w:ilvl w:val="0"/>
          <w:numId w:val="1009"/>
        </w:numPr>
      </w:pPr>
      <w:r>
        <w:t xml:space="preserve">configuring audit.</w:t>
      </w:r>
    </w:p>
    <w:p>
      <w:pPr>
        <w:pStyle w:val="FirstParagraph"/>
      </w:pPr>
      <w:r>
        <w:t xml:space="preserve">An SP Admin does not automatically possess operational permissions on a customer’s AWS, Azure, Nutanix or other Datacenter.</w:t>
      </w:r>
    </w:p>
    <w:p>
      <w:r>
        <w:pict>
          <v:rect style="width:0;height:1.5pt" o:hralign="center" o:hrstd="t" o:hr="t"/>
        </w:pict>
      </w:r>
    </w:p>
    <w:bookmarkEnd w:id="23"/>
    <w:bookmarkStart w:id="24" w:name="project-0"/>
    <w:p>
      <w:pPr>
        <w:pStyle w:val="Heading1"/>
      </w:pPr>
      <w:r>
        <w:t xml:space="preserve">7. Project 0</w:t>
      </w:r>
    </w:p>
    <w:p>
      <w:pPr>
        <w:pStyle w:val="FirstParagraph"/>
      </w:pPr>
      <w:r>
        <w:t xml:space="preserve">Every Tenant automatically receives mandatory:</w:t>
      </w:r>
    </w:p>
    <w:p>
      <w:pPr>
        <w:pStyle w:val="SourceCode"/>
      </w:pPr>
      <w:r>
        <w:rPr>
          <w:rStyle w:val="VerbatimChar"/>
        </w:rPr>
        <w:t xml:space="preserve">Project 0</w:t>
      </w:r>
    </w:p>
    <w:p>
      <w:pPr>
        <w:pStyle w:val="FirstParagraph"/>
      </w:pPr>
      <w:r>
        <w:t xml:space="preserve">Project 0:</w:t>
      </w:r>
    </w:p>
    <w:p>
      <w:pPr>
        <w:pStyle w:val="Compact"/>
        <w:numPr>
          <w:ilvl w:val="0"/>
          <w:numId w:val="1010"/>
        </w:numPr>
      </w:pPr>
      <w:r>
        <w:t xml:space="preserve">exists for the lifetime of the Tenant;</w:t>
      </w:r>
    </w:p>
    <w:p>
      <w:pPr>
        <w:pStyle w:val="Compact"/>
        <w:numPr>
          <w:ilvl w:val="0"/>
          <w:numId w:val="1010"/>
        </w:numPr>
      </w:pPr>
      <w:r>
        <w:t xml:space="preserve">supports users, groups and agents;</w:t>
      </w:r>
    </w:p>
    <w:p>
      <w:pPr>
        <w:pStyle w:val="Compact"/>
        <w:numPr>
          <w:ilvl w:val="0"/>
          <w:numId w:val="1010"/>
        </w:numPr>
      </w:pPr>
      <w:r>
        <w:t xml:space="preserve">may contain Datacenters;</w:t>
      </w:r>
    </w:p>
    <w:p>
      <w:pPr>
        <w:pStyle w:val="Compact"/>
        <w:numPr>
          <w:ilvl w:val="0"/>
          <w:numId w:val="1010"/>
        </w:numPr>
      </w:pPr>
      <w:r>
        <w:t xml:space="preserve">supports the same IAM semantics as other Projects.</w:t>
      </w:r>
    </w:p>
    <w:p>
      <w:pPr>
        <w:pStyle w:val="FirstParagraph"/>
      </w:pPr>
      <w:r>
        <w:t xml:space="preserve">Project 0 is not equivalent to the Tenant.</w:t>
      </w:r>
    </w:p>
    <w:p>
      <w:r>
        <w:pict>
          <v:rect style="width:0;height:1.5pt" o:hralign="center" o:hrstd="t" o:hr="t"/>
        </w:pict>
      </w:r>
    </w:p>
    <w:bookmarkEnd w:id="24"/>
    <w:bookmarkStart w:id="25" w:name="projects"/>
    <w:p>
      <w:pPr>
        <w:pStyle w:val="Heading1"/>
      </w:pPr>
      <w:r>
        <w:t xml:space="preserve">8. Projects</w:t>
      </w:r>
    </w:p>
    <w:p>
      <w:pPr>
        <w:pStyle w:val="FirstParagraph"/>
      </w:pPr>
      <w:r>
        <w:t xml:space="preserve">A Project is an administrative and operational isolation boundary within a Tenant.</w:t>
      </w:r>
    </w:p>
    <w:p>
      <w:pPr>
        <w:pStyle w:val="BodyText"/>
      </w:pPr>
      <w:r>
        <w:t xml:space="preserve">A Project may contain:</w:t>
      </w:r>
    </w:p>
    <w:p>
      <w:pPr>
        <w:pStyle w:val="Compact"/>
        <w:numPr>
          <w:ilvl w:val="0"/>
          <w:numId w:val="1011"/>
        </w:numPr>
      </w:pPr>
      <w:r>
        <w:t xml:space="preserve">multiple Datacenters;</w:t>
      </w:r>
    </w:p>
    <w:p>
      <w:pPr>
        <w:pStyle w:val="Compact"/>
        <w:numPr>
          <w:ilvl w:val="0"/>
          <w:numId w:val="1011"/>
        </w:numPr>
      </w:pPr>
      <w:r>
        <w:t xml:space="preserve">multiple Endpoints through Datacenter associations;</w:t>
      </w:r>
    </w:p>
    <w:p>
      <w:pPr>
        <w:pStyle w:val="Compact"/>
        <w:numPr>
          <w:ilvl w:val="0"/>
          <w:numId w:val="1011"/>
        </w:numPr>
      </w:pPr>
      <w:r>
        <w:t xml:space="preserve">multiple MCP Servers;</w:t>
      </w:r>
    </w:p>
    <w:p>
      <w:pPr>
        <w:pStyle w:val="Compact"/>
        <w:numPr>
          <w:ilvl w:val="0"/>
          <w:numId w:val="1011"/>
        </w:numPr>
      </w:pPr>
      <w:r>
        <w:t xml:space="preserve">Human users;</w:t>
      </w:r>
    </w:p>
    <w:p>
      <w:pPr>
        <w:pStyle w:val="Compact"/>
        <w:numPr>
          <w:ilvl w:val="0"/>
          <w:numId w:val="1011"/>
        </w:numPr>
      </w:pPr>
      <w:r>
        <w:t xml:space="preserve">Groups;</w:t>
      </w:r>
    </w:p>
    <w:p>
      <w:pPr>
        <w:pStyle w:val="Compact"/>
        <w:numPr>
          <w:ilvl w:val="0"/>
          <w:numId w:val="1011"/>
        </w:numPr>
      </w:pPr>
      <w:r>
        <w:t xml:space="preserve">AI Engineers;</w:t>
      </w:r>
    </w:p>
    <w:p>
      <w:pPr>
        <w:pStyle w:val="Compact"/>
        <w:numPr>
          <w:ilvl w:val="0"/>
          <w:numId w:val="1011"/>
        </w:numPr>
      </w:pPr>
      <w:r>
        <w:t xml:space="preserve">Policies;</w:t>
      </w:r>
    </w:p>
    <w:p>
      <w:pPr>
        <w:pStyle w:val="Compact"/>
        <w:numPr>
          <w:ilvl w:val="0"/>
          <w:numId w:val="1011"/>
        </w:numPr>
      </w:pPr>
      <w:r>
        <w:t xml:space="preserve">Datacenter-specific Roles;</w:t>
      </w:r>
    </w:p>
    <w:p>
      <w:pPr>
        <w:pStyle w:val="Compact"/>
        <w:numPr>
          <w:ilvl w:val="0"/>
          <w:numId w:val="1011"/>
        </w:numPr>
      </w:pPr>
      <w:r>
        <w:t xml:space="preserve">Organizational Memory associations.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Project: Payments</w:t>
      </w:r>
      <w:r>
        <w:br/>
      </w:r>
      <w:r>
        <w:br/>
      </w:r>
      <w:r>
        <w:rPr>
          <w:rStyle w:val="VerbatimChar"/>
        </w:rPr>
        <w:t xml:space="preserve">Datacenters:</w:t>
      </w:r>
      <w:r>
        <w:br/>
      </w:r>
      <w:r>
        <w:rPr>
          <w:rStyle w:val="VerbatimChar"/>
        </w:rPr>
        <w:t xml:space="preserve">  AWS Production</w:t>
      </w:r>
      <w:r>
        <w:br/>
      </w:r>
      <w:r>
        <w:rPr>
          <w:rStyle w:val="VerbatimChar"/>
        </w:rPr>
        <w:t xml:space="preserve">  Azure Production</w:t>
      </w:r>
      <w:r>
        <w:br/>
      </w:r>
      <w:r>
        <w:rPr>
          <w:rStyle w:val="VerbatimChar"/>
        </w:rPr>
        <w:t xml:space="preserve">  Nutanix Private Cloud</w:t>
      </w:r>
    </w:p>
    <w:p>
      <w:r>
        <w:pict>
          <v:rect style="width:0;height:1.5pt" o:hralign="center" o:hrstd="t" o:hr="t"/>
        </w:pict>
      </w:r>
    </w:p>
    <w:bookmarkEnd w:id="25"/>
    <w:bookmarkStart w:id="26" w:name="datacenter"/>
    <w:p>
      <w:pPr>
        <w:pStyle w:val="Heading1"/>
      </w:pPr>
      <w:r>
        <w:t xml:space="preserve">9. Datacenter</w:t>
      </w:r>
    </w:p>
    <w:p>
      <w:pPr>
        <w:pStyle w:val="FirstParagraph"/>
      </w:pPr>
      <w:r>
        <w:t xml:space="preserve">Datacenter is a first-class AccuSec object.</w:t>
      </w:r>
    </w:p>
    <w:p>
      <w:pPr>
        <w:pStyle w:val="BodyText"/>
      </w:pPr>
      <w:r>
        <w:t xml:space="preserve">A Datacenter represents a provider-bound managed infrastructure domain.</w:t>
      </w:r>
    </w:p>
    <w:p>
      <w:pPr>
        <w:pStyle w:val="BodyText"/>
      </w:pPr>
      <w:r>
        <w:t xml:space="preserve">The term does not imply a physical building.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AWS Account/environment</w:t>
      </w:r>
    </w:p>
    <w:p>
      <w:pPr>
        <w:pStyle w:val="Compact"/>
        <w:numPr>
          <w:ilvl w:val="0"/>
          <w:numId w:val="1012"/>
        </w:numPr>
      </w:pPr>
      <w:r>
        <w:t xml:space="preserve">Azure Subscription</w:t>
      </w:r>
    </w:p>
    <w:p>
      <w:pPr>
        <w:pStyle w:val="Compact"/>
        <w:numPr>
          <w:ilvl w:val="0"/>
          <w:numId w:val="1012"/>
        </w:numPr>
      </w:pPr>
      <w:r>
        <w:t xml:space="preserve">GCP Project</w:t>
      </w:r>
    </w:p>
    <w:p>
      <w:pPr>
        <w:pStyle w:val="Compact"/>
        <w:numPr>
          <w:ilvl w:val="0"/>
          <w:numId w:val="1012"/>
        </w:numPr>
      </w:pPr>
      <w:r>
        <w:t xml:space="preserve">Nutanix Prism Central</w:t>
      </w:r>
    </w:p>
    <w:p>
      <w:pPr>
        <w:pStyle w:val="Compact"/>
        <w:numPr>
          <w:ilvl w:val="0"/>
          <w:numId w:val="1012"/>
        </w:numPr>
      </w:pPr>
      <w:r>
        <w:t xml:space="preserve">VMware vCenter</w:t>
      </w:r>
    </w:p>
    <w:p>
      <w:pPr>
        <w:pStyle w:val="Compact"/>
        <w:numPr>
          <w:ilvl w:val="0"/>
          <w:numId w:val="1012"/>
        </w:numPr>
      </w:pPr>
      <w:r>
        <w:t xml:space="preserve">Kubernetes management domain</w:t>
      </w:r>
    </w:p>
    <w:p>
      <w:pPr>
        <w:pStyle w:val="Compact"/>
        <w:numPr>
          <w:ilvl w:val="0"/>
          <w:numId w:val="1012"/>
        </w:numPr>
      </w:pPr>
      <w:r>
        <w:t xml:space="preserve">private physical datacenter</w:t>
      </w:r>
    </w:p>
    <w:p>
      <w:pPr>
        <w:pStyle w:val="FirstParagraph"/>
      </w:pPr>
      <w:r>
        <w:t xml:space="preserve">Every Datacenter has:</w:t>
      </w:r>
    </w:p>
    <w:p>
      <w:pPr>
        <w:pStyle w:val="SourceCode"/>
      </w:pPr>
      <w:r>
        <w:rPr>
          <w:rStyle w:val="VerbatimChar"/>
        </w:rPr>
        <w:t xml:space="preserve">datacenter_id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provider_type</w:t>
      </w:r>
      <w:r>
        <w:br/>
      </w:r>
      <w:r>
        <w:rPr>
          <w:rStyle w:val="VerbatimChar"/>
        </w:rPr>
        <w:t xml:space="preserve">endpoint_reference</w:t>
      </w:r>
      <w:r>
        <w:br/>
      </w:r>
      <w:r>
        <w:rPr>
          <w:rStyle w:val="VerbatimChar"/>
        </w:rPr>
        <w:t xml:space="preserve">display_name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26"/>
    <w:bookmarkStart w:id="27" w:name="datacenter-provider-type"/>
    <w:p>
      <w:pPr>
        <w:pStyle w:val="Heading1"/>
      </w:pPr>
      <w:r>
        <w:t xml:space="preserve">10. Datacenter Provider Type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AWS</w:t>
      </w:r>
      <w:r>
        <w:br/>
      </w:r>
      <w:r>
        <w:rPr>
          <w:rStyle w:val="VerbatimChar"/>
        </w:rPr>
        <w:t xml:space="preserve">AZURE</w:t>
      </w:r>
      <w:r>
        <w:br/>
      </w:r>
      <w:r>
        <w:rPr>
          <w:rStyle w:val="VerbatimChar"/>
        </w:rPr>
        <w:t xml:space="preserve">GCP</w:t>
      </w:r>
      <w:r>
        <w:br/>
      </w:r>
      <w:r>
        <w:rPr>
          <w:rStyle w:val="VerbatimChar"/>
        </w:rPr>
        <w:t xml:space="preserve">NUTANIX</w:t>
      </w:r>
      <w:r>
        <w:br/>
      </w:r>
      <w:r>
        <w:rPr>
          <w:rStyle w:val="VerbatimChar"/>
        </w:rPr>
        <w:t xml:space="preserve">VMWARE</w:t>
      </w:r>
      <w:r>
        <w:br/>
      </w:r>
      <w:r>
        <w:rPr>
          <w:rStyle w:val="VerbatimChar"/>
        </w:rPr>
        <w:t xml:space="preserve">KUBERNETES</w:t>
      </w:r>
    </w:p>
    <w:p>
      <w:pPr>
        <w:pStyle w:val="FirstParagraph"/>
      </w:pPr>
      <w:r>
        <w:t xml:space="preserve">Provider type determines:</w:t>
      </w:r>
    </w:p>
    <w:p>
      <w:pPr>
        <w:pStyle w:val="Compact"/>
        <w:numPr>
          <w:ilvl w:val="0"/>
          <w:numId w:val="1013"/>
        </w:numPr>
      </w:pPr>
      <w:r>
        <w:t xml:space="preserve">provider-native hierarchy;</w:t>
      </w:r>
    </w:p>
    <w:p>
      <w:pPr>
        <w:pStyle w:val="Compact"/>
        <w:numPr>
          <w:ilvl w:val="0"/>
          <w:numId w:val="1013"/>
        </w:numPr>
      </w:pPr>
      <w:r>
        <w:t xml:space="preserve">entity taxonomy;</w:t>
      </w:r>
    </w:p>
    <w:p>
      <w:pPr>
        <w:pStyle w:val="Compact"/>
        <w:numPr>
          <w:ilvl w:val="0"/>
          <w:numId w:val="1013"/>
        </w:numPr>
      </w:pPr>
      <w:r>
        <w:t xml:space="preserve">compatible MCP Servers;</w:t>
      </w:r>
    </w:p>
    <w:p>
      <w:pPr>
        <w:pStyle w:val="Compact"/>
        <w:numPr>
          <w:ilvl w:val="0"/>
          <w:numId w:val="1013"/>
        </w:numPr>
      </w:pPr>
      <w:r>
        <w:t xml:space="preserve">Endpoint Identity models;</w:t>
      </w:r>
    </w:p>
    <w:p>
      <w:pPr>
        <w:pStyle w:val="Compact"/>
        <w:numPr>
          <w:ilvl w:val="0"/>
          <w:numId w:val="1013"/>
        </w:numPr>
      </w:pPr>
      <w:r>
        <w:t xml:space="preserve">provider operations;</w:t>
      </w:r>
    </w:p>
    <w:p>
      <w:pPr>
        <w:pStyle w:val="Compact"/>
        <w:numPr>
          <w:ilvl w:val="0"/>
          <w:numId w:val="1013"/>
        </w:numPr>
      </w:pPr>
      <w:r>
        <w:t xml:space="preserve">entitlement translation.</w:t>
      </w:r>
    </w:p>
    <w:p>
      <w:r>
        <w:pict>
          <v:rect style="width:0;height:1.5pt" o:hralign="center" o:hrstd="t" o:hr="t"/>
        </w:pict>
      </w:r>
    </w:p>
    <w:bookmarkEnd w:id="27"/>
    <w:bookmarkStart w:id="28" w:name="datacenter-default-folder"/>
    <w:p>
      <w:pPr>
        <w:pStyle w:val="Heading1"/>
      </w:pPr>
      <w:r>
        <w:t xml:space="preserve">11. Datacenter Default Folder</w:t>
      </w:r>
    </w:p>
    <w:p>
      <w:pPr>
        <w:pStyle w:val="FirstParagraph"/>
      </w:pPr>
      <w:r>
        <w:t xml:space="preserve">Every Datacenter automatically contains exactly one Default Folder.</w:t>
      </w:r>
    </w:p>
    <w:p>
      <w:pPr>
        <w:pStyle w:val="BodyText"/>
      </w:pPr>
      <w:r>
        <w:t xml:space="preserve">The Default Folder is:</w:t>
      </w:r>
    </w:p>
    <w:p>
      <w:pPr>
        <w:pStyle w:val="Compact"/>
        <w:numPr>
          <w:ilvl w:val="0"/>
          <w:numId w:val="1014"/>
        </w:numPr>
      </w:pPr>
      <w:r>
        <w:t xml:space="preserve">the Datacenter administrative root;</w:t>
      </w:r>
    </w:p>
    <w:p>
      <w:pPr>
        <w:pStyle w:val="Compact"/>
        <w:numPr>
          <w:ilvl w:val="0"/>
          <w:numId w:val="1014"/>
        </w:numPr>
      </w:pPr>
      <w:r>
        <w:t xml:space="preserve">the Datacenter authorization root;</w:t>
      </w:r>
    </w:p>
    <w:p>
      <w:pPr>
        <w:pStyle w:val="Compact"/>
        <w:numPr>
          <w:ilvl w:val="0"/>
          <w:numId w:val="1014"/>
        </w:numPr>
      </w:pPr>
      <w:r>
        <w:t xml:space="preserve">the default entity navigation location.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  └── Datacenter</w:t>
      </w:r>
      <w:r>
        <w:br/>
      </w:r>
      <w:r>
        <w:rPr>
          <w:rStyle w:val="VerbatimChar"/>
        </w:rPr>
        <w:t xml:space="preserve">       └── Default Folder</w:t>
      </w:r>
    </w:p>
    <w:p>
      <w:pPr>
        <w:pStyle w:val="FirstParagraph"/>
      </w:pPr>
      <w:r>
        <w:t xml:space="preserve">Users, groups and agents may receive permissions at:</w:t>
      </w:r>
    </w:p>
    <w:p>
      <w:pPr>
        <w:pStyle w:val="Compact"/>
        <w:numPr>
          <w:ilvl w:val="0"/>
          <w:numId w:val="1015"/>
        </w:numPr>
      </w:pPr>
      <w:r>
        <w:t xml:space="preserve">Project;</w:t>
      </w:r>
    </w:p>
    <w:p>
      <w:pPr>
        <w:pStyle w:val="Compact"/>
        <w:numPr>
          <w:ilvl w:val="0"/>
          <w:numId w:val="1015"/>
        </w:numPr>
      </w:pPr>
      <w:r>
        <w:t xml:space="preserve">Datacenter;</w:t>
      </w:r>
    </w:p>
    <w:p>
      <w:pPr>
        <w:pStyle w:val="Compact"/>
        <w:numPr>
          <w:ilvl w:val="0"/>
          <w:numId w:val="1015"/>
        </w:numPr>
      </w:pPr>
      <w:r>
        <w:t xml:space="preserve">Default Folder;</w:t>
      </w:r>
    </w:p>
    <w:p>
      <w:pPr>
        <w:pStyle w:val="Compact"/>
        <w:numPr>
          <w:ilvl w:val="0"/>
          <w:numId w:val="1015"/>
        </w:numPr>
      </w:pPr>
      <w:r>
        <w:t xml:space="preserve">descendant Folder.</w:t>
      </w:r>
    </w:p>
    <w:p>
      <w:r>
        <w:pict>
          <v:rect style="width:0;height:1.5pt" o:hralign="center" o:hrstd="t" o:hr="t"/>
        </w:pict>
      </w:r>
    </w:p>
    <w:bookmarkEnd w:id="28"/>
    <w:bookmarkStart w:id="29" w:name="folder-hierarchy"/>
    <w:p>
      <w:pPr>
        <w:pStyle w:val="Heading1"/>
      </w:pPr>
      <w:r>
        <w:t xml:space="preserve">12. Folder Hierarchy</w:t>
      </w:r>
    </w:p>
    <w:p>
      <w:pPr>
        <w:pStyle w:val="FirstParagraph"/>
      </w:pPr>
      <w:r>
        <w:t xml:space="preserve">Authorized administrators may create Folders at any depth beneath a Datacenter’s Default Folder.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AWS Production</w:t>
      </w:r>
      <w:r>
        <w:br/>
      </w:r>
      <w:r>
        <w:rPr>
          <w:rStyle w:val="VerbatimChar"/>
        </w:rPr>
        <w:t xml:space="preserve">  └── Default</w:t>
      </w:r>
      <w:r>
        <w:br/>
      </w:r>
      <w:r>
        <w:rPr>
          <w:rStyle w:val="VerbatimChar"/>
        </w:rPr>
        <w:t xml:space="preserve">       ├── Payments</w:t>
      </w:r>
      <w:r>
        <w:br/>
      </w:r>
      <w:r>
        <w:rPr>
          <w:rStyle w:val="VerbatimChar"/>
        </w:rPr>
        <w:t xml:space="preserve">       │    ├── Web</w:t>
      </w:r>
      <w:r>
        <w:br/>
      </w:r>
      <w:r>
        <w:rPr>
          <w:rStyle w:val="VerbatimChar"/>
        </w:rPr>
        <w:t xml:space="preserve">       │    ├── Database</w:t>
      </w:r>
      <w:r>
        <w:br/>
      </w:r>
      <w:r>
        <w:rPr>
          <w:rStyle w:val="VerbatimChar"/>
        </w:rPr>
        <w:t xml:space="preserve">       │    └── Kubernetes</w:t>
      </w:r>
      <w:r>
        <w:br/>
      </w:r>
      <w:r>
        <w:rPr>
          <w:rStyle w:val="VerbatimChar"/>
        </w:rPr>
        <w:t xml:space="preserve">       │          ├── East</w:t>
      </w:r>
      <w:r>
        <w:br/>
      </w:r>
      <w:r>
        <w:rPr>
          <w:rStyle w:val="VerbatimChar"/>
        </w:rPr>
        <w:t xml:space="preserve">       │          └── West</w:t>
      </w:r>
      <w:r>
        <w:br/>
      </w:r>
      <w:r>
        <w:rPr>
          <w:rStyle w:val="VerbatimChar"/>
        </w:rPr>
        <w:t xml:space="preserve">       └── Analytics</w:t>
      </w:r>
    </w:p>
    <w:p>
      <w:pPr>
        <w:pStyle w:val="FirstParagraph"/>
      </w:pPr>
      <w:r>
        <w:t xml:space="preserve">Every non-default Folder:</w:t>
      </w:r>
    </w:p>
    <w:p>
      <w:pPr>
        <w:pStyle w:val="Compact"/>
        <w:numPr>
          <w:ilvl w:val="0"/>
          <w:numId w:val="1016"/>
        </w:numPr>
      </w:pPr>
      <w:r>
        <w:t xml:space="preserve">belongs to exactly one Datacenter;</w:t>
      </w:r>
    </w:p>
    <w:p>
      <w:pPr>
        <w:pStyle w:val="Compact"/>
        <w:numPr>
          <w:ilvl w:val="0"/>
          <w:numId w:val="1016"/>
        </w:numPr>
      </w:pPr>
      <w:r>
        <w:t xml:space="preserve">belongs indirectly to exactly one Project;</w:t>
      </w:r>
    </w:p>
    <w:p>
      <w:pPr>
        <w:pStyle w:val="Compact"/>
        <w:numPr>
          <w:ilvl w:val="0"/>
          <w:numId w:val="1016"/>
        </w:numPr>
      </w:pPr>
      <w:r>
        <w:t xml:space="preserve">has one parent Folder;</w:t>
      </w:r>
    </w:p>
    <w:p>
      <w:pPr>
        <w:pStyle w:val="Compact"/>
        <w:numPr>
          <w:ilvl w:val="0"/>
          <w:numId w:val="1016"/>
        </w:numPr>
      </w:pPr>
      <w:r>
        <w:t xml:space="preserve">may have multiple children.</w:t>
      </w:r>
    </w:p>
    <w:p>
      <w:pPr>
        <w:pStyle w:val="FirstParagraph"/>
      </w:pPr>
      <w:r>
        <w:t xml:space="preserve">No fixed depth is imposed at the product level.</w:t>
      </w:r>
    </w:p>
    <w:p>
      <w:r>
        <w:pict>
          <v:rect style="width:0;height:1.5pt" o:hralign="center" o:hrstd="t" o:hr="t"/>
        </w:pict>
      </w:r>
    </w:p>
    <w:bookmarkEnd w:id="29"/>
    <w:bookmarkStart w:id="30" w:name="native-infrastructure-hierarchy"/>
    <w:p>
      <w:pPr>
        <w:pStyle w:val="Heading1"/>
      </w:pPr>
      <w:r>
        <w:t xml:space="preserve">13. Native Infrastructure Hierarchy</w:t>
      </w:r>
    </w:p>
    <w:p>
      <w:pPr>
        <w:pStyle w:val="FirstParagraph"/>
      </w:pPr>
      <w:r>
        <w:t xml:space="preserve">AccuSec must preserve provider-native topology.</w:t>
      </w:r>
    </w:p>
    <w:p>
      <w:pPr>
        <w:pStyle w:val="BodyText"/>
      </w:pPr>
      <w:r>
        <w:t xml:space="preserve">Example AWS:</w:t>
      </w:r>
    </w:p>
    <w:p>
      <w:pPr>
        <w:pStyle w:val="SourceCode"/>
      </w:pPr>
      <w:r>
        <w:rPr>
          <w:rStyle w:val="VerbatimChar"/>
        </w:rPr>
        <w:t xml:space="preserve">AWS</w:t>
      </w:r>
      <w:r>
        <w:br/>
      </w:r>
      <w:r>
        <w:rPr>
          <w:rStyle w:val="VerbatimChar"/>
        </w:rPr>
        <w:t xml:space="preserve"> └── Account</w:t>
      </w:r>
      <w:r>
        <w:br/>
      </w:r>
      <w:r>
        <w:rPr>
          <w:rStyle w:val="VerbatimChar"/>
        </w:rPr>
        <w:t xml:space="preserve">      └── Region</w:t>
      </w:r>
      <w:r>
        <w:br/>
      </w:r>
      <w:r>
        <w:rPr>
          <w:rStyle w:val="VerbatimChar"/>
        </w:rPr>
        <w:t xml:space="preserve">           └── Availability Zone</w:t>
      </w:r>
      <w:r>
        <w:br/>
      </w:r>
      <w:r>
        <w:rPr>
          <w:rStyle w:val="VerbatimChar"/>
        </w:rPr>
        <w:t xml:space="preserve">                ├── VPC</w:t>
      </w:r>
      <w:r>
        <w:br/>
      </w:r>
      <w:r>
        <w:rPr>
          <w:rStyle w:val="VerbatimChar"/>
        </w:rPr>
        <w:t xml:space="preserve">                │    ├── Subnet</w:t>
      </w:r>
      <w:r>
        <w:br/>
      </w:r>
      <w:r>
        <w:rPr>
          <w:rStyle w:val="VerbatimChar"/>
        </w:rPr>
        <w:t xml:space="preserve">                │    ├── Security Group</w:t>
      </w:r>
      <w:r>
        <w:br/>
      </w:r>
      <w:r>
        <w:rPr>
          <w:rStyle w:val="VerbatimChar"/>
        </w:rPr>
        <w:t xml:space="preserve">                │    └── EC2</w:t>
      </w:r>
      <w:r>
        <w:br/>
      </w:r>
      <w:r>
        <w:rPr>
          <w:rStyle w:val="VerbatimChar"/>
        </w:rPr>
        <w:t xml:space="preserve">                └── EBS</w:t>
      </w:r>
    </w:p>
    <w:p>
      <w:pPr>
        <w:pStyle w:val="FirstParagraph"/>
      </w:pPr>
      <w:r>
        <w:t xml:space="preserve">Example Azure:</w:t>
      </w:r>
    </w:p>
    <w:p>
      <w:pPr>
        <w:pStyle w:val="SourceCode"/>
      </w:pPr>
      <w:r>
        <w:rPr>
          <w:rStyle w:val="VerbatimChar"/>
        </w:rPr>
        <w:t xml:space="preserve">Azure</w:t>
      </w:r>
      <w:r>
        <w:br/>
      </w:r>
      <w:r>
        <w:rPr>
          <w:rStyle w:val="VerbatimChar"/>
        </w:rPr>
        <w:t xml:space="preserve"> └── Subscription</w:t>
      </w:r>
      <w:r>
        <w:br/>
      </w:r>
      <w:r>
        <w:rPr>
          <w:rStyle w:val="VerbatimChar"/>
        </w:rPr>
        <w:t xml:space="preserve">      └── Resource Group</w:t>
      </w:r>
      <w:r>
        <w:br/>
      </w:r>
      <w:r>
        <w:rPr>
          <w:rStyle w:val="VerbatimChar"/>
        </w:rPr>
        <w:t xml:space="preserve">           ├── VNet</w:t>
      </w:r>
      <w:r>
        <w:br/>
      </w:r>
      <w:r>
        <w:rPr>
          <w:rStyle w:val="VerbatimChar"/>
        </w:rPr>
        <w:t xml:space="preserve">           ├── Subnet</w:t>
      </w:r>
      <w:r>
        <w:br/>
      </w:r>
      <w:r>
        <w:rPr>
          <w:rStyle w:val="VerbatimChar"/>
        </w:rPr>
        <w:t xml:space="preserve">           ├── VM</w:t>
      </w:r>
      <w:r>
        <w:br/>
      </w:r>
      <w:r>
        <w:rPr>
          <w:rStyle w:val="VerbatimChar"/>
        </w:rPr>
        <w:t xml:space="preserve">           └── Disk</w:t>
      </w:r>
    </w:p>
    <w:p>
      <w:pPr>
        <w:pStyle w:val="FirstParagraph"/>
      </w:pPr>
      <w:r>
        <w:t xml:space="preserve">Example Nutanix:</w:t>
      </w:r>
    </w:p>
    <w:p>
      <w:pPr>
        <w:pStyle w:val="SourceCode"/>
      </w:pPr>
      <w:r>
        <w:rPr>
          <w:rStyle w:val="VerbatimChar"/>
        </w:rPr>
        <w:t xml:space="preserve">Prism Central</w:t>
      </w:r>
      <w:r>
        <w:br/>
      </w:r>
      <w:r>
        <w:rPr>
          <w:rStyle w:val="VerbatimChar"/>
        </w:rPr>
        <w:t xml:space="preserve"> └── Cluster</w:t>
      </w:r>
      <w:r>
        <w:br/>
      </w:r>
      <w:r>
        <w:rPr>
          <w:rStyle w:val="VerbatimChar"/>
        </w:rPr>
        <w:t xml:space="preserve">      ├── Host</w:t>
      </w:r>
      <w:r>
        <w:br/>
      </w:r>
      <w:r>
        <w:rPr>
          <w:rStyle w:val="VerbatimChar"/>
        </w:rPr>
        <w:t xml:space="preserve">      ├── Network</w:t>
      </w:r>
      <w:r>
        <w:br/>
      </w:r>
      <w:r>
        <w:rPr>
          <w:rStyle w:val="VerbatimChar"/>
        </w:rPr>
        <w:t xml:space="preserve">      ├── Storage Container</w:t>
      </w:r>
      <w:r>
        <w:br/>
      </w:r>
      <w:r>
        <w:rPr>
          <w:rStyle w:val="VerbatimChar"/>
        </w:rPr>
        <w:t xml:space="preserve">      └── VM</w:t>
      </w:r>
    </w:p>
    <w:p>
      <w:pPr>
        <w:pStyle w:val="FirstParagraph"/>
      </w:pPr>
      <w:r>
        <w:t xml:space="preserve">Provider-native topology and AccuSec Folder hierarchy are independent views over the same canonical Entities.</w:t>
      </w:r>
    </w:p>
    <w:p>
      <w:r>
        <w:pict>
          <v:rect style="width:0;height:1.5pt" o:hralign="center" o:hrstd="t" o:hr="t"/>
        </w:pict>
      </w:r>
    </w:p>
    <w:bookmarkEnd w:id="30"/>
    <w:bookmarkStart w:id="31" w:name="provider-namespace-isolation"/>
    <w:p>
      <w:pPr>
        <w:pStyle w:val="Heading1"/>
      </w:pPr>
      <w:r>
        <w:t xml:space="preserve">14. Provider Namespace Isolation</w:t>
      </w:r>
    </w:p>
    <w:p>
      <w:pPr>
        <w:pStyle w:val="FirstParagraph"/>
      </w:pPr>
      <w:r>
        <w:t xml:space="preserve">Entities from different Datacenters must not be ambiguously mixed.</w:t>
      </w:r>
    </w:p>
    <w:p>
      <w:pPr>
        <w:pStyle w:val="BodyText"/>
      </w:pPr>
      <w:r>
        <w:t xml:space="preserve">AccuSec shall preserve explicit Datacenter context during:</w:t>
      </w:r>
    </w:p>
    <w:p>
      <w:pPr>
        <w:pStyle w:val="Compact"/>
        <w:numPr>
          <w:ilvl w:val="0"/>
          <w:numId w:val="1017"/>
        </w:numPr>
      </w:pPr>
      <w:r>
        <w:t xml:space="preserve">navigation;</w:t>
      </w:r>
    </w:p>
    <w:p>
      <w:pPr>
        <w:pStyle w:val="Compact"/>
        <w:numPr>
          <w:ilvl w:val="0"/>
          <w:numId w:val="1017"/>
        </w:numPr>
      </w:pPr>
      <w:r>
        <w:t xml:space="preserve">context retrieval;</w:t>
      </w:r>
    </w:p>
    <w:p>
      <w:pPr>
        <w:pStyle w:val="Compact"/>
        <w:numPr>
          <w:ilvl w:val="0"/>
          <w:numId w:val="1017"/>
        </w:numPr>
      </w:pPr>
      <w:r>
        <w:t xml:space="preserve">policy evaluation;</w:t>
      </w:r>
    </w:p>
    <w:p>
      <w:pPr>
        <w:pStyle w:val="Compact"/>
        <w:numPr>
          <w:ilvl w:val="0"/>
          <w:numId w:val="1017"/>
        </w:numPr>
      </w:pPr>
      <w:r>
        <w:t xml:space="preserve">MCP selection;</w:t>
      </w:r>
    </w:p>
    <w:p>
      <w:pPr>
        <w:pStyle w:val="Compact"/>
        <w:numPr>
          <w:ilvl w:val="0"/>
          <w:numId w:val="1017"/>
        </w:numPr>
      </w:pPr>
      <w:r>
        <w:t xml:space="preserve">Endpoint resolution;</w:t>
      </w:r>
    </w:p>
    <w:p>
      <w:pPr>
        <w:pStyle w:val="Compact"/>
        <w:numPr>
          <w:ilvl w:val="0"/>
          <w:numId w:val="1017"/>
        </w:numPr>
      </w:pPr>
      <w:r>
        <w:t xml:space="preserve">execution;</w:t>
      </w:r>
    </w:p>
    <w:p>
      <w:pPr>
        <w:pStyle w:val="Compact"/>
        <w:numPr>
          <w:ilvl w:val="0"/>
          <w:numId w:val="1017"/>
        </w:numPr>
      </w:pPr>
      <w:r>
        <w:t xml:space="preserve">audit.</w:t>
      </w:r>
    </w:p>
    <w:p>
      <w:pPr>
        <w:pStyle w:val="FirstParagraph"/>
      </w:pPr>
      <w:r>
        <w:t xml:space="preserve">A Project containing AWS and Azure must expose these as separate Datacenter namespaces.</w:t>
      </w:r>
    </w:p>
    <w:p>
      <w:r>
        <w:pict>
          <v:rect style="width:0;height:1.5pt" o:hralign="center" o:hrstd="t" o:hr="t"/>
        </w:pict>
      </w:r>
    </w:p>
    <w:bookmarkEnd w:id="31"/>
    <w:bookmarkStart w:id="32" w:name="endpoint"/>
    <w:p>
      <w:pPr>
        <w:pStyle w:val="Heading1"/>
      </w:pPr>
      <w:r>
        <w:t xml:space="preserve">15. Endpoint</w:t>
      </w:r>
    </w:p>
    <w:p>
      <w:pPr>
        <w:pStyle w:val="FirstParagraph"/>
      </w:pPr>
      <w:r>
        <w:t xml:space="preserve">An Endpoint represents the external managed system connection.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8"/>
        </w:numPr>
      </w:pPr>
      <w:r>
        <w:t xml:space="preserve">AWS environment</w:t>
      </w:r>
    </w:p>
    <w:p>
      <w:pPr>
        <w:pStyle w:val="Compact"/>
        <w:numPr>
          <w:ilvl w:val="0"/>
          <w:numId w:val="1018"/>
        </w:numPr>
      </w:pPr>
      <w:r>
        <w:t xml:space="preserve">Azure Subscription</w:t>
      </w:r>
    </w:p>
    <w:p>
      <w:pPr>
        <w:pStyle w:val="Compact"/>
        <w:numPr>
          <w:ilvl w:val="0"/>
          <w:numId w:val="1018"/>
        </w:numPr>
      </w:pPr>
      <w:r>
        <w:t xml:space="preserve">Nutanix Prism Central</w:t>
      </w:r>
    </w:p>
    <w:p>
      <w:pPr>
        <w:pStyle w:val="Compact"/>
        <w:numPr>
          <w:ilvl w:val="0"/>
          <w:numId w:val="1018"/>
        </w:numPr>
      </w:pPr>
      <w:r>
        <w:t xml:space="preserve">VMware vCenter</w:t>
      </w:r>
    </w:p>
    <w:p>
      <w:pPr>
        <w:pStyle w:val="Compact"/>
        <w:numPr>
          <w:ilvl w:val="0"/>
          <w:numId w:val="1018"/>
        </w:numPr>
      </w:pPr>
      <w:r>
        <w:t xml:space="preserve">Kubernetes API</w:t>
      </w:r>
    </w:p>
    <w:p>
      <w:pPr>
        <w:pStyle w:val="Compact"/>
        <w:numPr>
          <w:ilvl w:val="0"/>
          <w:numId w:val="1018"/>
        </w:numPr>
      </w:pPr>
      <w:r>
        <w:t xml:space="preserve">GCP Project</w:t>
      </w:r>
    </w:p>
    <w:p>
      <w:pPr>
        <w:pStyle w:val="FirstParagraph"/>
      </w:pPr>
      <w:r>
        <w:t xml:space="preserve">Endpoint and Datacenter are intentionally different.</w:t>
      </w:r>
    </w:p>
    <w:p>
      <w:pPr>
        <w:pStyle w:val="BlockText"/>
      </w:pPr>
      <w:r>
        <w:t xml:space="preserve">Endpoint identifies the managed system.</w:t>
      </w:r>
    </w:p>
    <w:p>
      <w:pPr>
        <w:pStyle w:val="BlockText"/>
      </w:pPr>
      <w:r>
        <w:t xml:space="preserve">Datacenter represents that Endpoint inside a Project’s management and authorization model.</w:t>
      </w:r>
    </w:p>
    <w:p>
      <w:r>
        <w:pict>
          <v:rect style="width:0;height:1.5pt" o:hralign="center" o:hrstd="t" o:hr="t"/>
        </w:pict>
      </w:r>
    </w:p>
    <w:bookmarkEnd w:id="32"/>
    <w:bookmarkStart w:id="33" w:name="endpoint-connection"/>
    <w:p>
      <w:pPr>
        <w:pStyle w:val="Heading1"/>
      </w:pPr>
      <w:r>
        <w:t xml:space="preserve">16. Endpoint Connection</w:t>
      </w:r>
    </w:p>
    <w:p>
      <w:pPr>
        <w:pStyle w:val="FirstParagraph"/>
      </w:pPr>
      <w:r>
        <w:t xml:space="preserve">Endpoint Connections are Tenant-level reusable objects.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EndpointConnection {</w:t>
      </w:r>
      <w:r>
        <w:br/>
      </w:r>
      <w:r>
        <w:rPr>
          <w:rStyle w:val="VerbatimChar"/>
        </w:rPr>
        <w:t xml:space="preserve">    endpoint_id</w:t>
      </w:r>
      <w:r>
        <w:br/>
      </w:r>
      <w:r>
        <w:rPr>
          <w:rStyle w:val="VerbatimChar"/>
        </w:rPr>
        <w:t xml:space="preserve">    tenant_id</w:t>
      </w:r>
      <w:r>
        <w:br/>
      </w:r>
      <w:r>
        <w:rPr>
          <w:rStyle w:val="VerbatimChar"/>
        </w:rPr>
        <w:t xml:space="preserve">    provider_type</w:t>
      </w:r>
      <w:r>
        <w:br/>
      </w:r>
      <w:r>
        <w:rPr>
          <w:rStyle w:val="VerbatimChar"/>
        </w:rPr>
        <w:t xml:space="preserve">    display_name</w:t>
      </w:r>
      <w:r>
        <w:br/>
      </w:r>
      <w:r>
        <w:rPr>
          <w:rStyle w:val="VerbatimChar"/>
        </w:rPr>
        <w:t xml:space="preserve">    connection_metadata</w:t>
      </w:r>
      <w:r>
        <w:br/>
      </w:r>
      <w:r>
        <w:rPr>
          <w:rStyle w:val="VerbatimChar"/>
        </w:rPr>
        <w:t xml:space="preserve">    authentication_type</w:t>
      </w:r>
      <w:r>
        <w:br/>
      </w:r>
      <w:r>
        <w:rPr>
          <w:rStyle w:val="VerbatimChar"/>
        </w:rPr>
        <w:t xml:space="preserve">    status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Secrets are referenced through a secure secrets subsystem and are not stored in ordinary configuration or Organizational Memory.</w:t>
      </w:r>
    </w:p>
    <w:p>
      <w:r>
        <w:pict>
          <v:rect style="width:0;height:1.5pt" o:hralign="center" o:hrstd="t" o:hr="t"/>
        </w:pict>
      </w:r>
    </w:p>
    <w:bookmarkEnd w:id="33"/>
    <w:bookmarkStart w:id="34" w:name="endpoint-reuse-across-projects"/>
    <w:p>
      <w:pPr>
        <w:pStyle w:val="Heading1"/>
      </w:pPr>
      <w:r>
        <w:t xml:space="preserve">17. Endpoint Reuse Across Projects</w:t>
      </w:r>
    </w:p>
    <w:p>
      <w:pPr>
        <w:pStyle w:val="FirstParagraph"/>
      </w:pPr>
      <w:r>
        <w:t xml:space="preserve">One Endpoint may be associated with multiple Projects.</w:t>
      </w:r>
    </w:p>
    <w:p>
      <w:pPr>
        <w:pStyle w:val="SourceCode"/>
      </w:pPr>
      <w:r>
        <w:rPr>
          <w:rStyle w:val="VerbatimChar"/>
        </w:rPr>
        <w:t xml:space="preserve">AWS Endpoint 12345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Project A</w:t>
      </w:r>
      <w:r>
        <w:br/>
      </w:r>
      <w:r>
        <w:rPr>
          <w:rStyle w:val="VerbatimChar"/>
        </w:rPr>
        <w:t xml:space="preserve">      │     └── Datacenter 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Project B</w:t>
      </w:r>
      <w:r>
        <w:br/>
      </w:r>
      <w:r>
        <w:rPr>
          <w:rStyle w:val="VerbatimChar"/>
        </w:rPr>
        <w:t xml:space="preserve">            └── Datacenter B</w:t>
      </w:r>
    </w:p>
    <w:p>
      <w:pPr>
        <w:pStyle w:val="FirstParagraph"/>
      </w:pPr>
      <w:r>
        <w:t xml:space="preserve">Each Project/Datacenter may have independently defined:</w:t>
      </w:r>
    </w:p>
    <w:p>
      <w:pPr>
        <w:pStyle w:val="Compact"/>
        <w:numPr>
          <w:ilvl w:val="0"/>
          <w:numId w:val="1019"/>
        </w:numPr>
      </w:pPr>
      <w:r>
        <w:t xml:space="preserve">users;</w:t>
      </w:r>
    </w:p>
    <w:p>
      <w:pPr>
        <w:pStyle w:val="Compact"/>
        <w:numPr>
          <w:ilvl w:val="0"/>
          <w:numId w:val="1019"/>
        </w:numPr>
      </w:pPr>
      <w:r>
        <w:t xml:space="preserve">agents;</w:t>
      </w:r>
    </w:p>
    <w:p>
      <w:pPr>
        <w:pStyle w:val="Compact"/>
        <w:numPr>
          <w:ilvl w:val="0"/>
          <w:numId w:val="1019"/>
        </w:numPr>
      </w:pPr>
      <w:r>
        <w:t xml:space="preserve">Folders;</w:t>
      </w:r>
    </w:p>
    <w:p>
      <w:pPr>
        <w:pStyle w:val="Compact"/>
        <w:numPr>
          <w:ilvl w:val="0"/>
          <w:numId w:val="1019"/>
        </w:numPr>
      </w:pPr>
      <w:r>
        <w:t xml:space="preserve">Policies;</w:t>
      </w:r>
    </w:p>
    <w:p>
      <w:pPr>
        <w:pStyle w:val="Compact"/>
        <w:numPr>
          <w:ilvl w:val="0"/>
          <w:numId w:val="1019"/>
        </w:numPr>
      </w:pPr>
      <w:r>
        <w:t xml:space="preserve">entity visibility;</w:t>
      </w:r>
    </w:p>
    <w:p>
      <w:pPr>
        <w:pStyle w:val="Compact"/>
        <w:numPr>
          <w:ilvl w:val="0"/>
          <w:numId w:val="1019"/>
        </w:numPr>
      </w:pPr>
      <w:r>
        <w:t xml:space="preserve">permission sets.</w:t>
      </w:r>
    </w:p>
    <w:p>
      <w:r>
        <w:pict>
          <v:rect style="width:0;height:1.5pt" o:hralign="center" o:hrstd="t" o:hr="t"/>
        </w:pict>
      </w:r>
    </w:p>
    <w:bookmarkEnd w:id="34"/>
    <w:bookmarkStart w:id="35" w:name="endpoint-access-identities"/>
    <w:p>
      <w:pPr>
        <w:pStyle w:val="Heading1"/>
      </w:pPr>
      <w:r>
        <w:t xml:space="preserve">18. Endpoint Access Identities</w:t>
      </w:r>
    </w:p>
    <w:p>
      <w:pPr>
        <w:pStyle w:val="FirstParagraph"/>
      </w:pPr>
      <w:r>
        <w:t xml:space="preserve">A single Endpoint may support multiple Endpoint Access Identities.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Infrastructure Admin Identity</w:t>
      </w:r>
      <w:r>
        <w:br/>
      </w:r>
      <w:r>
        <w:br/>
      </w:r>
      <w:r>
        <w:rPr>
          <w:rStyle w:val="VerbatimChar"/>
        </w:rPr>
        <w:t xml:space="preserve">Coke Tenant Admin Identity</w:t>
      </w:r>
      <w:r>
        <w:br/>
      </w:r>
      <w:r>
        <w:br/>
      </w:r>
      <w:r>
        <w:rPr>
          <w:rStyle w:val="VerbatimChar"/>
        </w:rPr>
        <w:t xml:space="preserve">Pepsi Tenant Admin Identity</w:t>
      </w:r>
      <w:r>
        <w:br/>
      </w:r>
      <w:r>
        <w:br/>
      </w:r>
      <w:r>
        <w:rPr>
          <w:rStyle w:val="VerbatimChar"/>
        </w:rPr>
        <w:t xml:space="preserve">Read-Only Operator</w:t>
      </w:r>
      <w:r>
        <w:br/>
      </w:r>
      <w:r>
        <w:br/>
      </w:r>
      <w:r>
        <w:rPr>
          <w:rStyle w:val="VerbatimChar"/>
        </w:rPr>
        <w:t xml:space="preserve">Agent Workload Identity</w:t>
      </w:r>
      <w:r>
        <w:br/>
      </w:r>
      <w:r>
        <w:br/>
      </w:r>
      <w:r>
        <w:rPr>
          <w:rStyle w:val="VerbatimChar"/>
        </w:rPr>
        <w:t xml:space="preserve">Entitlement Provisioner</w:t>
      </w:r>
    </w:p>
    <w:p>
      <w:pPr>
        <w:pStyle w:val="FirstParagraph"/>
      </w:pPr>
      <w:r>
        <w:t xml:space="preserve">An Endpoint Access Identity represents provider-native authority, not merely credential storage.</w:t>
      </w:r>
    </w:p>
    <w:p>
      <w:r>
        <w:pict>
          <v:rect style="width:0;height:1.5pt" o:hralign="center" o:hrstd="t" o:hr="t"/>
        </w:pict>
      </w:r>
    </w:p>
    <w:bookmarkEnd w:id="35"/>
    <w:bookmarkStart w:id="36" w:name="endpoint-access-identity-object"/>
    <w:p>
      <w:pPr>
        <w:pStyle w:val="Heading1"/>
      </w:pPr>
      <w:r>
        <w:t xml:space="preserve">19. Endpoint Access Identity Object</w:t>
      </w:r>
    </w:p>
    <w:p>
      <w:pPr>
        <w:pStyle w:val="FirstParagraph"/>
      </w:pPr>
      <w:r>
        <w:t xml:space="preserve">Conceptual representation:</w:t>
      </w:r>
    </w:p>
    <w:p>
      <w:pPr>
        <w:pStyle w:val="SourceCode"/>
      </w:pPr>
      <w:r>
        <w:rPr>
          <w:rStyle w:val="VerbatimChar"/>
        </w:rPr>
        <w:t xml:space="preserve">EndpointAccessIdentity {</w:t>
      </w:r>
      <w:r>
        <w:br/>
      </w:r>
      <w:r>
        <w:rPr>
          <w:rStyle w:val="VerbatimChar"/>
        </w:rPr>
        <w:t xml:space="preserve">    endpoint_identity_id</w:t>
      </w:r>
      <w:r>
        <w:br/>
      </w:r>
      <w:r>
        <w:rPr>
          <w:rStyle w:val="VerbatimChar"/>
        </w:rPr>
        <w:t xml:space="preserve">    tenant_id</w:t>
      </w:r>
      <w:r>
        <w:br/>
      </w:r>
      <w:r>
        <w:rPr>
          <w:rStyle w:val="VerbatimChar"/>
        </w:rPr>
        <w:t xml:space="preserve">    endpoint_id</w:t>
      </w:r>
      <w:r>
        <w:br/>
      </w:r>
      <w:r>
        <w:rPr>
          <w:rStyle w:val="VerbatimChar"/>
        </w:rPr>
        <w:t xml:space="preserve">    provider_type</w:t>
      </w:r>
      <w:r>
        <w:br/>
      </w:r>
      <w:r>
        <w:rPr>
          <w:rStyle w:val="VerbatimChar"/>
        </w:rPr>
        <w:t xml:space="preserve">    identity_type</w:t>
      </w:r>
      <w:r>
        <w:br/>
      </w:r>
      <w:r>
        <w:rPr>
          <w:rStyle w:val="VerbatimChar"/>
        </w:rPr>
        <w:t xml:space="preserve">    provider_native_identity_id</w:t>
      </w:r>
      <w:r>
        <w:br/>
      </w:r>
      <w:r>
        <w:rPr>
          <w:rStyle w:val="VerbatimChar"/>
        </w:rPr>
        <w:t xml:space="preserve">    authentication_method</w:t>
      </w:r>
      <w:r>
        <w:br/>
      </w:r>
      <w:r>
        <w:rPr>
          <w:rStyle w:val="VerbatimChar"/>
        </w:rPr>
        <w:t xml:space="preserve">    credential_reference</w:t>
      </w:r>
      <w:r>
        <w:br/>
      </w:r>
      <w:r>
        <w:rPr>
          <w:rStyle w:val="VerbatimChar"/>
        </w:rPr>
        <w:t xml:space="preserve">    native_role_assignments</w:t>
      </w:r>
      <w:r>
        <w:br/>
      </w:r>
      <w:r>
        <w:rPr>
          <w:rStyle w:val="VerbatimChar"/>
        </w:rPr>
        <w:t xml:space="preserve">    resource_scope</w:t>
      </w:r>
      <w:r>
        <w:br/>
      </w:r>
      <w:r>
        <w:rPr>
          <w:rStyle w:val="VerbatimChar"/>
        </w:rPr>
        <w:t xml:space="preserve">    status</w:t>
      </w:r>
      <w:r>
        <w:br/>
      </w:r>
      <w:r>
        <w:rPr>
          <w:rStyle w:val="VerbatimChar"/>
        </w:rPr>
        <w:t xml:space="preserve">    last_verified_at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endpoint-identity-types"/>
    <w:p>
      <w:pPr>
        <w:pStyle w:val="Heading1"/>
      </w:pPr>
      <w:r>
        <w:t xml:space="preserve">20. Endpoint Identity Types</w:t>
      </w:r>
    </w:p>
    <w:p>
      <w:pPr>
        <w:pStyle w:val="FirstParagraph"/>
      </w:pPr>
      <w:r>
        <w:t xml:space="preserve">Logical classifications include:</w:t>
      </w:r>
    </w:p>
    <w:p>
      <w:pPr>
        <w:pStyle w:val="SourceCode"/>
      </w:pPr>
      <w:r>
        <w:rPr>
          <w:rStyle w:val="VerbatimChar"/>
        </w:rPr>
        <w:t xml:space="preserve">INFRASTRUCTURE_ADMIN</w:t>
      </w:r>
      <w:r>
        <w:br/>
      </w:r>
      <w:r>
        <w:rPr>
          <w:rStyle w:val="VerbatimChar"/>
        </w:rPr>
        <w:t xml:space="preserve">TENANT_ADMIN</w:t>
      </w:r>
      <w:r>
        <w:br/>
      </w:r>
      <w:r>
        <w:rPr>
          <w:rStyle w:val="VerbatimChar"/>
        </w:rPr>
        <w:t xml:space="preserve">PROJECT_ADMIN</w:t>
      </w:r>
      <w:r>
        <w:br/>
      </w:r>
      <w:r>
        <w:rPr>
          <w:rStyle w:val="VerbatimChar"/>
        </w:rPr>
        <w:t xml:space="preserve">OPERATOR</w:t>
      </w:r>
      <w:r>
        <w:br/>
      </w:r>
      <w:r>
        <w:rPr>
          <w:rStyle w:val="VerbatimChar"/>
        </w:rPr>
        <w:t xml:space="preserve">READ_ONLY</w:t>
      </w:r>
      <w:r>
        <w:br/>
      </w:r>
      <w:r>
        <w:rPr>
          <w:rStyle w:val="VerbatimChar"/>
        </w:rPr>
        <w:t xml:space="preserve">AGENT_WORKLOAD</w:t>
      </w:r>
      <w:r>
        <w:br/>
      </w:r>
      <w:r>
        <w:rPr>
          <w:rStyle w:val="VerbatimChar"/>
        </w:rPr>
        <w:t xml:space="preserve">ENTITLEMENT_PROVISIONER</w:t>
      </w:r>
      <w:r>
        <w:br/>
      </w:r>
      <w:r>
        <w:rPr>
          <w:rStyle w:val="VerbatimChar"/>
        </w:rPr>
        <w:t xml:space="preserve">CUSTOM</w:t>
      </w:r>
    </w:p>
    <w:p>
      <w:pPr>
        <w:pStyle w:val="FirstParagraph"/>
      </w:pPr>
      <w:r>
        <w:t xml:space="preserve">These are AccuSec classifications, not substitutes for provider-native Roles.</w:t>
      </w:r>
    </w:p>
    <w:p>
      <w:r>
        <w:pict>
          <v:rect style="width:0;height:1.5pt" o:hralign="center" o:hrstd="t" o:hr="t"/>
        </w:pict>
      </w:r>
    </w:p>
    <w:bookmarkEnd w:id="37"/>
    <w:bookmarkStart w:id="38" w:name="service-provider-endpoint-model"/>
    <w:p>
      <w:pPr>
        <w:pStyle w:val="Heading1"/>
      </w:pPr>
      <w:r>
        <w:t xml:space="preserve">21. Service Provider Endpoint Model</w:t>
      </w:r>
    </w:p>
    <w:p>
      <w:pPr>
        <w:pStyle w:val="FirstParagraph"/>
      </w:pPr>
      <w:r>
        <w:t xml:space="preserve">A Service Provider may operate shared provider infrastructure and expose different native privilege scopes to different customers or Projects.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AWS Endpoint</w:t>
      </w:r>
      <w:r>
        <w:br/>
      </w:r>
      <w:r>
        <w:rPr>
          <w:rStyle w:val="VerbatimChar"/>
        </w:rPr>
        <w:t xml:space="preserve">   ├── Infrastructure resources</w:t>
      </w:r>
      <w:r>
        <w:br/>
      </w:r>
      <w:r>
        <w:rPr>
          <w:rStyle w:val="VerbatimChar"/>
        </w:rPr>
        <w:t xml:space="preserve">   ├── Coke resources</w:t>
      </w:r>
      <w:r>
        <w:br/>
      </w:r>
      <w:r>
        <w:rPr>
          <w:rStyle w:val="VerbatimChar"/>
        </w:rPr>
        <w:t xml:space="preserve">   └── Pepsi resources</w:t>
      </w:r>
    </w:p>
    <w:p>
      <w:pPr>
        <w:pStyle w:val="FirstParagraph"/>
      </w:pPr>
      <w:r>
        <w:t xml:space="preserve">Endpoint identities might include:</w:t>
      </w:r>
    </w:p>
    <w:p>
      <w:pPr>
        <w:pStyle w:val="SourceCode"/>
      </w:pPr>
      <w:r>
        <w:rPr>
          <w:rStyle w:val="VerbatimChar"/>
        </w:rPr>
        <w:t xml:space="preserve">SP-Infrastructure-Role</w:t>
      </w:r>
      <w:r>
        <w:br/>
      </w:r>
      <w:r>
        <w:rPr>
          <w:rStyle w:val="VerbatimChar"/>
        </w:rPr>
        <w:t xml:space="preserve">Coke-Tenant-Admin</w:t>
      </w:r>
      <w:r>
        <w:br/>
      </w:r>
      <w:r>
        <w:rPr>
          <w:rStyle w:val="VerbatimChar"/>
        </w:rPr>
        <w:t xml:space="preserve">Pepsi-Tenant-Admin</w:t>
      </w:r>
    </w:p>
    <w:p>
      <w:pPr>
        <w:pStyle w:val="FirstParagraph"/>
      </w:pPr>
      <w:r>
        <w:t xml:space="preserve">These identities remain separate and cannot be substituted merely because they target the same Endpoint.</w:t>
      </w:r>
    </w:p>
    <w:p>
      <w:r>
        <w:pict>
          <v:rect style="width:0;height:1.5pt" o:hralign="center" o:hrstd="t" o:hr="t"/>
        </w:pict>
      </w:r>
    </w:p>
    <w:bookmarkEnd w:id="38"/>
    <w:bookmarkStart w:id="39" w:name="infrastructure-administrator"/>
    <w:p>
      <w:pPr>
        <w:pStyle w:val="Heading1"/>
      </w:pPr>
      <w:r>
        <w:t xml:space="preserve">22. Infrastructure Administrator</w:t>
      </w:r>
    </w:p>
    <w:p>
      <w:pPr>
        <w:pStyle w:val="FirstParagraph"/>
      </w:pPr>
      <w:r>
        <w:t xml:space="preserve">Infrastructure Administrators may manage constructs such as:</w:t>
      </w:r>
    </w:p>
    <w:p>
      <w:pPr>
        <w:pStyle w:val="Compact"/>
        <w:numPr>
          <w:ilvl w:val="0"/>
          <w:numId w:val="1020"/>
        </w:numPr>
      </w:pPr>
      <w:r>
        <w:t xml:space="preserve">clusters;</w:t>
      </w:r>
    </w:p>
    <w:p>
      <w:pPr>
        <w:pStyle w:val="Compact"/>
        <w:numPr>
          <w:ilvl w:val="0"/>
          <w:numId w:val="1020"/>
        </w:numPr>
      </w:pPr>
      <w:r>
        <w:t xml:space="preserve">hosts;</w:t>
      </w:r>
    </w:p>
    <w:p>
      <w:pPr>
        <w:pStyle w:val="Compact"/>
        <w:numPr>
          <w:ilvl w:val="0"/>
          <w:numId w:val="1020"/>
        </w:numPr>
      </w:pPr>
      <w:r>
        <w:t xml:space="preserve">physical networks;</w:t>
      </w:r>
    </w:p>
    <w:p>
      <w:pPr>
        <w:pStyle w:val="Compact"/>
        <w:numPr>
          <w:ilvl w:val="0"/>
          <w:numId w:val="1020"/>
        </w:numPr>
      </w:pPr>
      <w:r>
        <w:t xml:space="preserve">platform storage;</w:t>
      </w:r>
    </w:p>
    <w:p>
      <w:pPr>
        <w:pStyle w:val="Compact"/>
        <w:numPr>
          <w:ilvl w:val="0"/>
          <w:numId w:val="1020"/>
        </w:numPr>
      </w:pPr>
      <w:r>
        <w:t xml:space="preserve">capacity;</w:t>
      </w:r>
    </w:p>
    <w:p>
      <w:pPr>
        <w:pStyle w:val="Compact"/>
        <w:numPr>
          <w:ilvl w:val="0"/>
          <w:numId w:val="1020"/>
        </w:numPr>
      </w:pPr>
      <w:r>
        <w:t xml:space="preserve">infrastructure lifecycle;</w:t>
      </w:r>
    </w:p>
    <w:p>
      <w:pPr>
        <w:pStyle w:val="Compact"/>
        <w:numPr>
          <w:ilvl w:val="0"/>
          <w:numId w:val="1020"/>
        </w:numPr>
      </w:pPr>
      <w:r>
        <w:t xml:space="preserve">platform upgrades.</w:t>
      </w:r>
    </w:p>
    <w:p>
      <w:pPr>
        <w:pStyle w:val="FirstParagraph"/>
      </w:pPr>
      <w:r>
        <w:t xml:space="preserve">They do not automatically administer Tenant virtual resources or AccuSec IAM.</w:t>
      </w:r>
    </w:p>
    <w:p>
      <w:r>
        <w:pict>
          <v:rect style="width:0;height:1.5pt" o:hralign="center" o:hrstd="t" o:hr="t"/>
        </w:pict>
      </w:r>
    </w:p>
    <w:bookmarkEnd w:id="39"/>
    <w:bookmarkStart w:id="40" w:name="virtual-project-administrator"/>
    <w:p>
      <w:pPr>
        <w:pStyle w:val="Heading1"/>
      </w:pPr>
      <w:r>
        <w:t xml:space="preserve">23. Virtual Project Administrator</w:t>
      </w:r>
    </w:p>
    <w:p>
      <w:pPr>
        <w:pStyle w:val="FirstParagraph"/>
      </w:pPr>
      <w:r>
        <w:t xml:space="preserve">A Virtual Project Administrator manages virtual or workload infrastructure within their delegated Project/Datacenter scope.</w:t>
      </w:r>
    </w:p>
    <w:p>
      <w:pPr>
        <w:pStyle w:val="BodyText"/>
      </w:pPr>
      <w:r>
        <w:t xml:space="preserve">Possible capabilities include:</w:t>
      </w:r>
    </w:p>
    <w:p>
      <w:pPr>
        <w:pStyle w:val="Compact"/>
        <w:numPr>
          <w:ilvl w:val="0"/>
          <w:numId w:val="1021"/>
        </w:numPr>
      </w:pPr>
      <w:r>
        <w:t xml:space="preserve">create VMs;</w:t>
      </w:r>
    </w:p>
    <w:p>
      <w:pPr>
        <w:pStyle w:val="Compact"/>
        <w:numPr>
          <w:ilvl w:val="0"/>
          <w:numId w:val="1021"/>
        </w:numPr>
      </w:pPr>
      <w:r>
        <w:t xml:space="preserve">create VPCs or VNets;</w:t>
      </w:r>
    </w:p>
    <w:p>
      <w:pPr>
        <w:pStyle w:val="Compact"/>
        <w:numPr>
          <w:ilvl w:val="0"/>
          <w:numId w:val="1021"/>
        </w:numPr>
      </w:pPr>
      <w:r>
        <w:t xml:space="preserve">manage virtual networks;</w:t>
      </w:r>
    </w:p>
    <w:p>
      <w:pPr>
        <w:pStyle w:val="Compact"/>
        <w:numPr>
          <w:ilvl w:val="0"/>
          <w:numId w:val="1021"/>
        </w:numPr>
      </w:pPr>
      <w:r>
        <w:t xml:space="preserve">create virtual storage;</w:t>
      </w:r>
    </w:p>
    <w:p>
      <w:pPr>
        <w:pStyle w:val="Compact"/>
        <w:numPr>
          <w:ilvl w:val="0"/>
          <w:numId w:val="1021"/>
        </w:numPr>
      </w:pPr>
      <w:r>
        <w:t xml:space="preserve">manage categories/tags;</w:t>
      </w:r>
    </w:p>
    <w:p>
      <w:pPr>
        <w:pStyle w:val="Compact"/>
        <w:numPr>
          <w:ilvl w:val="0"/>
          <w:numId w:val="1021"/>
        </w:numPr>
      </w:pPr>
      <w:r>
        <w:t xml:space="preserve">add Project users;</w:t>
      </w:r>
    </w:p>
    <w:p>
      <w:pPr>
        <w:pStyle w:val="Compact"/>
        <w:numPr>
          <w:ilvl w:val="0"/>
          <w:numId w:val="1021"/>
        </w:numPr>
      </w:pPr>
      <w:r>
        <w:t xml:space="preserve">create AI Engineer agents;</w:t>
      </w:r>
    </w:p>
    <w:p>
      <w:pPr>
        <w:pStyle w:val="Compact"/>
        <w:numPr>
          <w:ilvl w:val="0"/>
          <w:numId w:val="1021"/>
        </w:numPr>
      </w:pPr>
      <w:r>
        <w:t xml:space="preserve">assign permitted Roles;</w:t>
      </w:r>
    </w:p>
    <w:p>
      <w:pPr>
        <w:pStyle w:val="Compact"/>
        <w:numPr>
          <w:ilvl w:val="0"/>
          <w:numId w:val="1021"/>
        </w:numPr>
      </w:pPr>
      <w:r>
        <w:t xml:space="preserve">create Folder hierarchy.</w:t>
      </w:r>
    </w:p>
    <w:p>
      <w:pPr>
        <w:pStyle w:val="FirstParagraph"/>
      </w:pPr>
      <w:r>
        <w:t xml:space="preserve">They do not automatically receive:</w:t>
      </w:r>
    </w:p>
    <w:p>
      <w:pPr>
        <w:pStyle w:val="Compact"/>
        <w:numPr>
          <w:ilvl w:val="0"/>
          <w:numId w:val="1022"/>
        </w:numPr>
      </w:pPr>
      <w:r>
        <w:t xml:space="preserve">physical host administration;</w:t>
      </w:r>
    </w:p>
    <w:p>
      <w:pPr>
        <w:pStyle w:val="Compact"/>
        <w:numPr>
          <w:ilvl w:val="0"/>
          <w:numId w:val="1022"/>
        </w:numPr>
      </w:pPr>
      <w:r>
        <w:t xml:space="preserve">infrastructure cluster administration;</w:t>
      </w:r>
    </w:p>
    <w:p>
      <w:pPr>
        <w:pStyle w:val="Compact"/>
        <w:numPr>
          <w:ilvl w:val="0"/>
          <w:numId w:val="1022"/>
        </w:numPr>
      </w:pPr>
      <w:r>
        <w:t xml:space="preserve">Service Provider IAM;</w:t>
      </w:r>
    </w:p>
    <w:p>
      <w:pPr>
        <w:pStyle w:val="Compact"/>
        <w:numPr>
          <w:ilvl w:val="0"/>
          <w:numId w:val="1022"/>
        </w:numPr>
      </w:pPr>
      <w:r>
        <w:t xml:space="preserve">provider organization/root access.</w:t>
      </w:r>
    </w:p>
    <w:p>
      <w:r>
        <w:pict>
          <v:rect style="width:0;height:1.5pt" o:hralign="center" o:hrstd="t" o:hr="t"/>
        </w:pict>
      </w:r>
    </w:p>
    <w:bookmarkEnd w:id="40"/>
    <w:bookmarkStart w:id="41" w:name="principal-types"/>
    <w:p>
      <w:pPr>
        <w:pStyle w:val="Heading1"/>
      </w:pPr>
      <w:r>
        <w:t xml:space="preserve">24. Principal Types</w:t>
      </w:r>
    </w:p>
    <w:p>
      <w:pPr>
        <w:pStyle w:val="FirstParagraph"/>
      </w:pPr>
      <w:r>
        <w:t xml:space="preserve">IAM supports:</w:t>
      </w:r>
    </w:p>
    <w:p>
      <w:pPr>
        <w:pStyle w:val="SourceCode"/>
      </w:pPr>
      <w:r>
        <w:rPr>
          <w:rStyle w:val="VerbatimChar"/>
        </w:rPr>
        <w:t xml:space="preserve">HUMAN</w:t>
      </w:r>
      <w:r>
        <w:br/>
      </w:r>
      <w:r>
        <w:rPr>
          <w:rStyle w:val="VerbatimChar"/>
        </w:rPr>
        <w:t xml:space="preserve">GROUP</w:t>
      </w:r>
      <w:r>
        <w:br/>
      </w:r>
      <w:r>
        <w:rPr>
          <w:rStyle w:val="VerbatimChar"/>
        </w:rPr>
        <w:t xml:space="preserve">AI_ENGINEER</w:t>
      </w:r>
      <w:r>
        <w:br/>
      </w:r>
      <w:r>
        <w:rPr>
          <w:rStyle w:val="VerbatimChar"/>
        </w:rPr>
        <w:t xml:space="preserve">SERVICE_PRINCIPAL</w:t>
      </w:r>
    </w:p>
    <w:p>
      <w:pPr>
        <w:pStyle w:val="FirstParagraph"/>
      </w:pPr>
      <w:r>
        <w:t xml:space="preserve">Groups are policy subjects rather than interactive login identities.</w:t>
      </w:r>
    </w:p>
    <w:p>
      <w:r>
        <w:pict>
          <v:rect style="width:0;height:1.5pt" o:hralign="center" o:hrstd="t" o:hr="t"/>
        </w:pict>
      </w:r>
    </w:p>
    <w:bookmarkEnd w:id="41"/>
    <w:bookmarkStart w:id="42" w:name="human-principals"/>
    <w:p>
      <w:pPr>
        <w:pStyle w:val="Heading1"/>
      </w:pPr>
      <w:r>
        <w:t xml:space="preserve">25. Human Principals</w:t>
      </w:r>
    </w:p>
    <w:p>
      <w:pPr>
        <w:pStyle w:val="FirstParagraph"/>
      </w:pPr>
      <w:r>
        <w:t xml:space="preserve">A Human Principal contains at least:</w:t>
      </w:r>
    </w:p>
    <w:p>
      <w:pPr>
        <w:pStyle w:val="SourceCode"/>
      </w:pPr>
      <w:r>
        <w:rPr>
          <w:rStyle w:val="VerbatimChar"/>
        </w:rPr>
        <w:t xml:space="preserve">principal_id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identity_provider_id</w:t>
      </w:r>
      <w:r>
        <w:br/>
      </w:r>
      <w:r>
        <w:rPr>
          <w:rStyle w:val="VerbatimChar"/>
        </w:rPr>
        <w:t xml:space="preserve">external_identity_id</w:t>
      </w:r>
      <w:r>
        <w:br/>
      </w:r>
      <w:r>
        <w:rPr>
          <w:rStyle w:val="VerbatimChar"/>
        </w:rPr>
        <w:t xml:space="preserve">display_name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42"/>
    <w:bookmarkStart w:id="43" w:name="ai-engineer-principals"/>
    <w:p>
      <w:pPr>
        <w:pStyle w:val="Heading1"/>
      </w:pPr>
      <w:r>
        <w:t xml:space="preserve">26. AI Engineer Principals</w:t>
      </w:r>
    </w:p>
    <w:p>
      <w:pPr>
        <w:pStyle w:val="FirstParagraph"/>
      </w:pPr>
      <w:r>
        <w:t xml:space="preserve">AI Engineers are first-class non-human security Principals.</w:t>
      </w:r>
    </w:p>
    <w:p>
      <w:pPr>
        <w:pStyle w:val="BodyText"/>
      </w:pPr>
      <w:r>
        <w:t xml:space="preserve">Each has:</w:t>
      </w:r>
    </w:p>
    <w:p>
      <w:pPr>
        <w:pStyle w:val="SourceCode"/>
      </w:pPr>
      <w:r>
        <w:rPr>
          <w:rStyle w:val="VerbatimChar"/>
        </w:rPr>
        <w:t xml:space="preserve">agent_id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owner_principal_id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An AI Engineer belongs to exactly one Project.</w:t>
      </w:r>
    </w:p>
    <w:p>
      <w:r>
        <w:pict>
          <v:rect style="width:0;height:1.5pt" o:hralign="center" o:hrstd="t" o:hr="t"/>
        </w:pict>
      </w:r>
    </w:p>
    <w:bookmarkEnd w:id="43"/>
    <w:bookmarkStart w:id="44" w:name="agent-project-boundary"/>
    <w:p>
      <w:pPr>
        <w:pStyle w:val="Heading1"/>
      </w:pPr>
      <w:r>
        <w:t xml:space="preserve">27. Agent Project Boundary</w:t>
      </w:r>
    </w:p>
    <w:p>
      <w:pPr>
        <w:pStyle w:val="FirstParagraph"/>
      </w:pPr>
      <w:r>
        <w:t xml:space="preserve">An AI Engineer cannot operate outside its Project.</w:t>
      </w:r>
    </w:p>
    <w:p>
      <w:pPr>
        <w:pStyle w:val="BodyText"/>
      </w:pPr>
      <w:r>
        <w:t xml:space="preserve">Within that Project it may receive different rights across multiple Datacenters.</w:t>
      </w:r>
    </w:p>
    <w:p>
      <w:pPr>
        <w:pStyle w:val="SourceCode"/>
      </w:pPr>
      <w:r>
        <w:rPr>
          <w:rStyle w:val="VerbatimChar"/>
        </w:rPr>
        <w:t xml:space="preserve">Agent: Cloud Engineer</w:t>
      </w:r>
      <w:r>
        <w:br/>
      </w:r>
      <w:r>
        <w:br/>
      </w:r>
      <w:r>
        <w:rPr>
          <w:rStyle w:val="VerbatimChar"/>
        </w:rPr>
        <w:t xml:space="preserve">Project: Payments</w:t>
      </w:r>
      <w:r>
        <w:br/>
      </w:r>
      <w:r>
        <w:br/>
      </w:r>
      <w:r>
        <w:rPr>
          <w:rStyle w:val="VerbatimChar"/>
        </w:rPr>
        <w:t xml:space="preserve">AWS Production:</w:t>
      </w:r>
      <w:r>
        <w:br/>
      </w:r>
      <w:r>
        <w:rPr>
          <w:rStyle w:val="VerbatimChar"/>
        </w:rPr>
        <w:t xml:space="preserve">    Operator</w:t>
      </w:r>
      <w:r>
        <w:br/>
      </w:r>
      <w:r>
        <w:br/>
      </w:r>
      <w:r>
        <w:rPr>
          <w:rStyle w:val="VerbatimChar"/>
        </w:rPr>
        <w:t xml:space="preserve">Azure Production:</w:t>
      </w:r>
      <w:r>
        <w:br/>
      </w:r>
      <w:r>
        <w:rPr>
          <w:rStyle w:val="VerbatimChar"/>
        </w:rPr>
        <w:t xml:space="preserve">    Viewer</w:t>
      </w:r>
    </w:p>
    <w:p>
      <w:r>
        <w:pict>
          <v:rect style="width:0;height:1.5pt" o:hralign="center" o:hrstd="t" o:hr="t"/>
        </w:pict>
      </w:r>
    </w:p>
    <w:bookmarkEnd w:id="44"/>
    <w:bookmarkStart w:id="45" w:name="agent-ownership"/>
    <w:p>
      <w:pPr>
        <w:pStyle w:val="Heading1"/>
      </w:pPr>
      <w:r>
        <w:t xml:space="preserve">28. Agent Ownership</w:t>
      </w:r>
    </w:p>
    <w:p>
      <w:pPr>
        <w:pStyle w:val="FirstParagraph"/>
      </w:pPr>
      <w:r>
        <w:t xml:space="preserve">Every AI Engineer has one human owner.</w:t>
      </w:r>
    </w:p>
    <w:p>
      <w:pPr>
        <w:pStyle w:val="BodyText"/>
      </w:pPr>
      <w:r>
        <w:t xml:space="preserve">Ownership does not automatically grant the agent all permissions held by the owner.</w:t>
      </w:r>
    </w:p>
    <w:p>
      <w:pPr>
        <w:pStyle w:val="BodyText"/>
      </w:pPr>
      <w:r>
        <w:t xml:space="preserve">Agent permissions require explicit delegation.</w:t>
      </w:r>
    </w:p>
    <w:p>
      <w:r>
        <w:pict>
          <v:rect style="width:0;height:1.5pt" o:hralign="center" o:hrstd="t" o:hr="t"/>
        </w:pict>
      </w:r>
    </w:p>
    <w:bookmarkEnd w:id="45"/>
    <w:bookmarkStart w:id="46" w:name="mandatory-agent-role-assignment"/>
    <w:p>
      <w:pPr>
        <w:pStyle w:val="Heading1"/>
      </w:pPr>
      <w:r>
        <w:t xml:space="preserve">29. Mandatory Agent Role Assignment</w:t>
      </w:r>
    </w:p>
    <w:p>
      <w:pPr>
        <w:pStyle w:val="FirstParagraph"/>
      </w:pPr>
      <w:r>
        <w:t xml:space="preserve">A newly created AI Engineer has:</w:t>
      </w:r>
    </w:p>
    <w:p>
      <w:pPr>
        <w:pStyle w:val="SourceCode"/>
      </w:pPr>
      <w:r>
        <w:rPr>
          <w:rStyle w:val="VerbatimChar"/>
        </w:rPr>
        <w:t xml:space="preserve">Effective Permission = NONE</w:t>
      </w:r>
    </w:p>
    <w:p>
      <w:pPr>
        <w:pStyle w:val="FirstParagraph"/>
      </w:pPr>
      <w:r>
        <w:t xml:space="preserve">until an authorized human assigns Role/Policy access.</w:t>
      </w:r>
    </w:p>
    <w:p>
      <w:r>
        <w:pict>
          <v:rect style="width:0;height:1.5pt" o:hralign="center" o:hrstd="t" o:hr="t"/>
        </w:pict>
      </w:r>
    </w:p>
    <w:bookmarkEnd w:id="46"/>
    <w:bookmarkStart w:id="47" w:name="agent-security-restrictions"/>
    <w:p>
      <w:pPr>
        <w:pStyle w:val="Heading1"/>
      </w:pPr>
      <w:r>
        <w:t xml:space="preserve">30. Agent Security Restrictions</w:t>
      </w:r>
    </w:p>
    <w:p>
      <w:pPr>
        <w:pStyle w:val="FirstParagraph"/>
      </w:pPr>
      <w:r>
        <w:t xml:space="preserve">Agents may never autonomously:</w:t>
      </w:r>
    </w:p>
    <w:p>
      <w:pPr>
        <w:pStyle w:val="Compact"/>
        <w:numPr>
          <w:ilvl w:val="0"/>
          <w:numId w:val="1023"/>
        </w:numPr>
      </w:pPr>
      <w:r>
        <w:t xml:space="preserve">create agents;</w:t>
      </w:r>
    </w:p>
    <w:p>
      <w:pPr>
        <w:pStyle w:val="Compact"/>
        <w:numPr>
          <w:ilvl w:val="0"/>
          <w:numId w:val="1023"/>
        </w:numPr>
      </w:pPr>
      <w:r>
        <w:t xml:space="preserve">create human users;</w:t>
      </w:r>
    </w:p>
    <w:p>
      <w:pPr>
        <w:pStyle w:val="Compact"/>
        <w:numPr>
          <w:ilvl w:val="0"/>
          <w:numId w:val="1023"/>
        </w:numPr>
      </w:pPr>
      <w:r>
        <w:t xml:space="preserve">create security Roles;</w:t>
      </w:r>
    </w:p>
    <w:p>
      <w:pPr>
        <w:pStyle w:val="Compact"/>
        <w:numPr>
          <w:ilvl w:val="0"/>
          <w:numId w:val="1023"/>
        </w:numPr>
      </w:pPr>
      <w:r>
        <w:t xml:space="preserve">modify IAM Policies;</w:t>
      </w:r>
    </w:p>
    <w:p>
      <w:pPr>
        <w:pStyle w:val="Compact"/>
        <w:numPr>
          <w:ilvl w:val="0"/>
          <w:numId w:val="1023"/>
        </w:numPr>
      </w:pPr>
      <w:r>
        <w:t xml:space="preserve">assign Roles;</w:t>
      </w:r>
    </w:p>
    <w:p>
      <w:pPr>
        <w:pStyle w:val="Compact"/>
        <w:numPr>
          <w:ilvl w:val="0"/>
          <w:numId w:val="1023"/>
        </w:numPr>
      </w:pPr>
      <w:r>
        <w:t xml:space="preserve">change SSO configuration;</w:t>
      </w:r>
    </w:p>
    <w:p>
      <w:pPr>
        <w:pStyle w:val="Compact"/>
        <w:numPr>
          <w:ilvl w:val="0"/>
          <w:numId w:val="1023"/>
        </w:numPr>
      </w:pPr>
      <w:r>
        <w:t xml:space="preserve">associate Identity Providers;</w:t>
      </w:r>
    </w:p>
    <w:p>
      <w:pPr>
        <w:pStyle w:val="Compact"/>
        <w:numPr>
          <w:ilvl w:val="0"/>
          <w:numId w:val="1023"/>
        </w:numPr>
      </w:pPr>
      <w:r>
        <w:t xml:space="preserve">increase their privileges;</w:t>
      </w:r>
    </w:p>
    <w:p>
      <w:pPr>
        <w:pStyle w:val="Compact"/>
        <w:numPr>
          <w:ilvl w:val="0"/>
          <w:numId w:val="1023"/>
        </w:numPr>
      </w:pPr>
      <w:r>
        <w:t xml:space="preserve">delegate permissions;</w:t>
      </w:r>
    </w:p>
    <w:p>
      <w:pPr>
        <w:pStyle w:val="Compact"/>
        <w:numPr>
          <w:ilvl w:val="0"/>
          <w:numId w:val="1023"/>
        </w:numPr>
      </w:pPr>
      <w:r>
        <w:t xml:space="preserve">transfer entity ownership;</w:t>
      </w:r>
    </w:p>
    <w:p>
      <w:pPr>
        <w:pStyle w:val="Compact"/>
        <w:numPr>
          <w:ilvl w:val="0"/>
          <w:numId w:val="1023"/>
        </w:numPr>
      </w:pPr>
      <w:r>
        <w:t xml:space="preserve">switch to a more privileged Endpoint Identity.</w:t>
      </w:r>
    </w:p>
    <w:p>
      <w:r>
        <w:pict>
          <v:rect style="width:0;height:1.5pt" o:hralign="center" o:hrstd="t" o:hr="t"/>
        </w:pict>
      </w:r>
    </w:p>
    <w:bookmarkEnd w:id="47"/>
    <w:bookmarkStart w:id="48" w:name="identity-provider-integration"/>
    <w:p>
      <w:pPr>
        <w:pStyle w:val="Heading1"/>
      </w:pPr>
      <w:r>
        <w:t xml:space="preserve">31. Identity Provider Integration</w:t>
      </w:r>
    </w:p>
    <w:p>
      <w:pPr>
        <w:pStyle w:val="FirstParagraph"/>
      </w:pPr>
      <w:r>
        <w:t xml:space="preserve">Projects may use approved enterprise identity providers.</w:t>
      </w:r>
    </w:p>
    <w:p>
      <w:pPr>
        <w:pStyle w:val="BodyText"/>
      </w:pPr>
      <w:r>
        <w:t xml:space="preserve">Supported standards should include:</w:t>
      </w:r>
    </w:p>
    <w:p>
      <w:pPr>
        <w:pStyle w:val="Compact"/>
        <w:numPr>
          <w:ilvl w:val="0"/>
          <w:numId w:val="1024"/>
        </w:numPr>
      </w:pPr>
      <w:r>
        <w:t xml:space="preserve">OIDC</w:t>
      </w:r>
    </w:p>
    <w:p>
      <w:pPr>
        <w:pStyle w:val="Compact"/>
        <w:numPr>
          <w:ilvl w:val="0"/>
          <w:numId w:val="1024"/>
        </w:numPr>
      </w:pPr>
      <w:r>
        <w:t xml:space="preserve">SAML 2.0</w:t>
      </w:r>
    </w:p>
    <w:p>
      <w:pPr>
        <w:pStyle w:val="Compact"/>
        <w:numPr>
          <w:ilvl w:val="0"/>
          <w:numId w:val="1024"/>
        </w:numPr>
      </w:pPr>
      <w:r>
        <w:t xml:space="preserve">OAuth 2.x for delegated/API authorization</w:t>
      </w:r>
    </w:p>
    <w:p>
      <w:pPr>
        <w:pStyle w:val="FirstParagraph"/>
      </w:pPr>
      <w:r>
        <w:t xml:space="preserve">Potential providers include standards-compatible enterprise identity platforms.</w:t>
      </w:r>
    </w:p>
    <w:p>
      <w:r>
        <w:pict>
          <v:rect style="width:0;height:1.5pt" o:hralign="center" o:hrstd="t" o:hr="t"/>
        </w:pict>
      </w:r>
    </w:p>
    <w:bookmarkEnd w:id="48"/>
    <w:bookmarkStart w:id="49" w:name="identity-provider-association"/>
    <w:p>
      <w:pPr>
        <w:pStyle w:val="Heading1"/>
      </w:pPr>
      <w:r>
        <w:t xml:space="preserve">32. Identity Provider Association</w:t>
      </w:r>
    </w:p>
    <w:p>
      <w:pPr>
        <w:pStyle w:val="FirstParagraph"/>
      </w:pPr>
      <w:r>
        <w:t xml:space="preserve">Authentication does not automatically create Project membership.</w:t>
      </w:r>
    </w:p>
    <w:p>
      <w:pPr>
        <w:pStyle w:val="BodyText"/>
      </w:pPr>
      <w:r>
        <w:t xml:space="preserve">Required admission:</w:t>
      </w:r>
    </w:p>
    <w:p>
      <w:pPr>
        <w:pStyle w:val="SourceCode"/>
      </w:pPr>
      <w:r>
        <w:rPr>
          <w:rStyle w:val="VerbatimChar"/>
        </w:rPr>
        <w:t xml:space="preserve">Approved IDP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Authenticated Identity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Explicit Project Admission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Project Member</w:t>
      </w:r>
    </w:p>
    <w:p>
      <w:r>
        <w:pict>
          <v:rect style="width:0;height:1.5pt" o:hralign="center" o:hrstd="t" o:hr="t"/>
        </w:pict>
      </w:r>
    </w:p>
    <w:bookmarkEnd w:id="49"/>
    <w:bookmarkStart w:id="50" w:name="user-groups"/>
    <w:p>
      <w:pPr>
        <w:pStyle w:val="Heading1"/>
      </w:pPr>
      <w:r>
        <w:t xml:space="preserve">33. User Groups</w:t>
      </w:r>
    </w:p>
    <w:p>
      <w:pPr>
        <w:pStyle w:val="FirstParagraph"/>
      </w:pPr>
      <w:r>
        <w:t xml:space="preserve">Policies may target:</w:t>
      </w:r>
    </w:p>
    <w:p>
      <w:pPr>
        <w:pStyle w:val="Compact"/>
        <w:numPr>
          <w:ilvl w:val="0"/>
          <w:numId w:val="1025"/>
        </w:numPr>
      </w:pPr>
      <w:r>
        <w:t xml:space="preserve">Human users;</w:t>
      </w:r>
    </w:p>
    <w:p>
      <w:pPr>
        <w:pStyle w:val="Compact"/>
        <w:numPr>
          <w:ilvl w:val="0"/>
          <w:numId w:val="1025"/>
        </w:numPr>
      </w:pPr>
      <w:r>
        <w:t xml:space="preserve">external identity groups;</w:t>
      </w:r>
    </w:p>
    <w:p>
      <w:pPr>
        <w:pStyle w:val="Compact"/>
        <w:numPr>
          <w:ilvl w:val="0"/>
          <w:numId w:val="1025"/>
        </w:numPr>
      </w:pPr>
      <w:r>
        <w:t xml:space="preserve">AccuSec groups where supported;</w:t>
      </w:r>
    </w:p>
    <w:p>
      <w:pPr>
        <w:pStyle w:val="Compact"/>
        <w:numPr>
          <w:ilvl w:val="0"/>
          <w:numId w:val="1025"/>
        </w:numPr>
      </w:pPr>
      <w:r>
        <w:t xml:space="preserve">AI Engineers.</w:t>
      </w:r>
    </w:p>
    <w:p>
      <w:pPr>
        <w:pStyle w:val="FirstParagraph"/>
      </w:pPr>
      <w:r>
        <w:t xml:space="preserve">External group membership alone does not grant Project access.</w:t>
      </w:r>
    </w:p>
    <w:p>
      <w:r>
        <w:pict>
          <v:rect style="width:0;height:1.5pt" o:hralign="center" o:hrstd="t" o:hr="t"/>
        </w:pict>
      </w:r>
    </w:p>
    <w:bookmarkEnd w:id="50"/>
    <w:bookmarkStart w:id="51" w:name="roles"/>
    <w:p>
      <w:pPr>
        <w:pStyle w:val="Heading1"/>
      </w:pPr>
      <w:r>
        <w:t xml:space="preserve">34. Roles</w:t>
      </w:r>
    </w:p>
    <w:p>
      <w:pPr>
        <w:pStyle w:val="FirstParagraph"/>
      </w:pPr>
      <w:r>
        <w:t xml:space="preserve">A Role is a named collection of permissions.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AccuSec Project Administrator</w:t>
      </w:r>
      <w:r>
        <w:br/>
      </w:r>
      <w:r>
        <w:rPr>
          <w:rStyle w:val="VerbatimChar"/>
        </w:rPr>
        <w:t xml:space="preserve">Virtual Project Administrator</w:t>
      </w:r>
      <w:r>
        <w:br/>
      </w:r>
      <w:r>
        <w:rPr>
          <w:rStyle w:val="VerbatimChar"/>
        </w:rPr>
        <w:t xml:space="preserve">Cloud Viewer</w:t>
      </w:r>
      <w:r>
        <w:br/>
      </w:r>
      <w:r>
        <w:rPr>
          <w:rStyle w:val="VerbatimChar"/>
        </w:rPr>
        <w:t xml:space="preserve">AWS Operator</w:t>
      </w:r>
      <w:r>
        <w:br/>
      </w:r>
      <w:r>
        <w:rPr>
          <w:rStyle w:val="VerbatimChar"/>
        </w:rPr>
        <w:t xml:space="preserve">Storage Administrator</w:t>
      </w:r>
      <w:r>
        <w:br/>
      </w:r>
      <w:r>
        <w:rPr>
          <w:rStyle w:val="VerbatimChar"/>
        </w:rPr>
        <w:t xml:space="preserve">Network Administrator</w:t>
      </w:r>
      <w:r>
        <w:br/>
      </w:r>
      <w:r>
        <w:rPr>
          <w:rStyle w:val="VerbatimChar"/>
        </w:rPr>
        <w:t xml:space="preserve">Auditor</w:t>
      </w:r>
    </w:p>
    <w:p>
      <w:pPr>
        <w:pStyle w:val="FirstParagraph"/>
      </w:pPr>
      <w:r>
        <w:t xml:space="preserve">Roles alone do not grant access.</w:t>
      </w:r>
    </w:p>
    <w:p>
      <w:pPr>
        <w:pStyle w:val="BodyText"/>
      </w:pPr>
      <w:r>
        <w:t xml:space="preserve">They become effective through Access Control Policies.</w:t>
      </w:r>
    </w:p>
    <w:p>
      <w:r>
        <w:pict>
          <v:rect style="width:0;height:1.5pt" o:hralign="center" o:hrstd="t" o:hr="t"/>
        </w:pict>
      </w:r>
    </w:p>
    <w:bookmarkEnd w:id="51"/>
    <w:bookmarkStart w:id="56" w:name="permission-classes"/>
    <w:p>
      <w:pPr>
        <w:pStyle w:val="Heading1"/>
      </w:pPr>
      <w:r>
        <w:t xml:space="preserve">35. Permission Classes</w:t>
      </w:r>
    </w:p>
    <w:p>
      <w:pPr>
        <w:pStyle w:val="FirstParagraph"/>
      </w:pPr>
      <w:r>
        <w:t xml:space="preserve">AccuSec distinguishes at least four classes.</w:t>
      </w:r>
    </w:p>
    <w:bookmarkStart w:id="52" w:name="management-permissions"/>
    <w:p>
      <w:pPr>
        <w:pStyle w:val="Heading2"/>
      </w:pPr>
      <w:r>
        <w:t xml:space="preserve">Management Permissions</w:t>
      </w:r>
    </w:p>
    <w:p>
      <w:pPr>
        <w:pStyle w:val="SourceCode"/>
      </w:pPr>
      <w:r>
        <w:rPr>
          <w:rStyle w:val="VerbatimChar"/>
        </w:rPr>
        <w:t xml:space="preserve">tenant.manage</w:t>
      </w:r>
      <w:r>
        <w:br/>
      </w:r>
      <w:r>
        <w:rPr>
          <w:rStyle w:val="VerbatimChar"/>
        </w:rPr>
        <w:t xml:space="preserve">project.create</w:t>
      </w:r>
      <w:r>
        <w:br/>
      </w:r>
      <w:r>
        <w:rPr>
          <w:rStyle w:val="VerbatimChar"/>
        </w:rPr>
        <w:t xml:space="preserve">project.update</w:t>
      </w:r>
      <w:r>
        <w:br/>
      </w:r>
      <w:r>
        <w:rPr>
          <w:rStyle w:val="VerbatimChar"/>
        </w:rPr>
        <w:t xml:space="preserve">datacenter.create</w:t>
      </w:r>
      <w:r>
        <w:br/>
      </w:r>
      <w:r>
        <w:rPr>
          <w:rStyle w:val="VerbatimChar"/>
        </w:rPr>
        <w:t xml:space="preserve">folder.create</w:t>
      </w:r>
      <w:r>
        <w:br/>
      </w:r>
      <w:r>
        <w:rPr>
          <w:rStyle w:val="VerbatimChar"/>
        </w:rPr>
        <w:t xml:space="preserve">user.add</w:t>
      </w:r>
      <w:r>
        <w:br/>
      </w:r>
      <w:r>
        <w:rPr>
          <w:rStyle w:val="VerbatimChar"/>
        </w:rPr>
        <w:t xml:space="preserve">role.assign</w:t>
      </w:r>
      <w:r>
        <w:br/>
      </w:r>
      <w:r>
        <w:rPr>
          <w:rStyle w:val="VerbatimChar"/>
        </w:rPr>
        <w:t xml:space="preserve">policy.manage</w:t>
      </w:r>
      <w:r>
        <w:br/>
      </w:r>
      <w:r>
        <w:rPr>
          <w:rStyle w:val="VerbatimChar"/>
        </w:rPr>
        <w:t xml:space="preserve">agent.create</w:t>
      </w:r>
      <w:r>
        <w:br/>
      </w:r>
      <w:r>
        <w:rPr>
          <w:rStyle w:val="VerbatimChar"/>
        </w:rPr>
        <w:t xml:space="preserve">endpoint.register</w:t>
      </w:r>
      <w:r>
        <w:br/>
      </w:r>
      <w:r>
        <w:rPr>
          <w:rStyle w:val="VerbatimChar"/>
        </w:rPr>
        <w:t xml:space="preserve">endpoint.assign</w:t>
      </w:r>
    </w:p>
    <w:bookmarkEnd w:id="52"/>
    <w:bookmarkStart w:id="53" w:name="operational-permissions"/>
    <w:p>
      <w:pPr>
        <w:pStyle w:val="Heading2"/>
      </w:pPr>
      <w:r>
        <w:t xml:space="preserve">Operational Permissions</w:t>
      </w:r>
    </w:p>
    <w:p>
      <w:pPr>
        <w:pStyle w:val="SourceCode"/>
      </w:pPr>
      <w:r>
        <w:rPr>
          <w:rStyle w:val="VerbatimChar"/>
        </w:rPr>
        <w:t xml:space="preserve">compute.instance.start</w:t>
      </w:r>
      <w:r>
        <w:br/>
      </w:r>
      <w:r>
        <w:rPr>
          <w:rStyle w:val="VerbatimChar"/>
        </w:rPr>
        <w:t xml:space="preserve">storage.volume.expand</w:t>
      </w:r>
      <w:r>
        <w:br/>
      </w:r>
      <w:r>
        <w:rPr>
          <w:rStyle w:val="VerbatimChar"/>
        </w:rPr>
        <w:t xml:space="preserve">network.vpc.update</w:t>
      </w:r>
    </w:p>
    <w:bookmarkEnd w:id="53"/>
    <w:bookmarkStart w:id="54" w:name="mcp-executable-permissions"/>
    <w:p>
      <w:pPr>
        <w:pStyle w:val="Heading2"/>
      </w:pPr>
      <w:r>
        <w:t xml:space="preserve">MCP Executable Permissions</w:t>
      </w:r>
    </w:p>
    <w:p>
      <w:pPr>
        <w:pStyle w:val="SourceCode"/>
      </w:pPr>
      <w:r>
        <w:rPr>
          <w:rStyle w:val="VerbatimChar"/>
        </w:rPr>
        <w:t xml:space="preserve">mcp.aws.ec2.start_instances</w:t>
      </w:r>
      <w:r>
        <w:br/>
      </w:r>
      <w:r>
        <w:rPr>
          <w:rStyle w:val="VerbatimChar"/>
        </w:rPr>
        <w:t xml:space="preserve">mcp.aws.ec2.modify_volume</w:t>
      </w:r>
    </w:p>
    <w:bookmarkEnd w:id="54"/>
    <w:bookmarkStart w:id="55" w:name="entitlement-management-permissions"/>
    <w:p>
      <w:pPr>
        <w:pStyle w:val="Heading2"/>
      </w:pPr>
      <w:r>
        <w:t xml:space="preserve">Entitlement Management Permissions</w:t>
      </w:r>
    </w:p>
    <w:p>
      <w:pPr>
        <w:pStyle w:val="SourceCode"/>
      </w:pPr>
      <w:r>
        <w:rPr>
          <w:rStyle w:val="VerbatimChar"/>
        </w:rPr>
        <w:t xml:space="preserve">endpoint.identity.create</w:t>
      </w:r>
      <w:r>
        <w:br/>
      </w:r>
      <w:r>
        <w:rPr>
          <w:rStyle w:val="VerbatimChar"/>
        </w:rPr>
        <w:t xml:space="preserve">endpoint.entitlement.assign</w:t>
      </w:r>
      <w:r>
        <w:br/>
      </w:r>
      <w:r>
        <w:rPr>
          <w:rStyle w:val="VerbatimChar"/>
        </w:rPr>
        <w:t xml:space="preserve">endpoint.entitlement.revoke</w:t>
      </w:r>
      <w:r>
        <w:br/>
      </w:r>
      <w:r>
        <w:rPr>
          <w:rStyle w:val="VerbatimChar"/>
        </w:rPr>
        <w:t xml:space="preserve">endpoint.entitlement.reconcile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anonical-operations"/>
    <w:p>
      <w:pPr>
        <w:pStyle w:val="Heading1"/>
      </w:pPr>
      <w:r>
        <w:t xml:space="preserve">36. Canonical Operations</w:t>
      </w:r>
    </w:p>
    <w:p>
      <w:pPr>
        <w:pStyle w:val="FirstParagraph"/>
      </w:pPr>
      <w:r>
        <w:t xml:space="preserve">AccuSec maintains a provider-independent operation taxonomy.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compute.instance.read</w:t>
      </w:r>
      <w:r>
        <w:br/>
      </w:r>
      <w:r>
        <w:rPr>
          <w:rStyle w:val="VerbatimChar"/>
        </w:rPr>
        <w:t xml:space="preserve">compute.instance.start</w:t>
      </w:r>
      <w:r>
        <w:br/>
      </w:r>
      <w:r>
        <w:rPr>
          <w:rStyle w:val="VerbatimChar"/>
        </w:rPr>
        <w:t xml:space="preserve">compute.instance.stop</w:t>
      </w:r>
      <w:r>
        <w:br/>
      </w:r>
      <w:r>
        <w:rPr>
          <w:rStyle w:val="VerbatimChar"/>
        </w:rPr>
        <w:t xml:space="preserve">compute.instance.restart</w:t>
      </w:r>
      <w:r>
        <w:br/>
      </w:r>
      <w:r>
        <w:br/>
      </w:r>
      <w:r>
        <w:rPr>
          <w:rStyle w:val="VerbatimChar"/>
        </w:rPr>
        <w:t xml:space="preserve">storage.volume.read</w:t>
      </w:r>
      <w:r>
        <w:br/>
      </w:r>
      <w:r>
        <w:rPr>
          <w:rStyle w:val="VerbatimChar"/>
        </w:rPr>
        <w:t xml:space="preserve">storage.volume.expand</w:t>
      </w:r>
      <w:r>
        <w:br/>
      </w:r>
      <w:r>
        <w:br/>
      </w:r>
      <w:r>
        <w:rPr>
          <w:rStyle w:val="VerbatimChar"/>
        </w:rPr>
        <w:t xml:space="preserve">network.vpc.read</w:t>
      </w:r>
      <w:r>
        <w:br/>
      </w:r>
      <w:r>
        <w:rPr>
          <w:rStyle w:val="VerbatimChar"/>
        </w:rPr>
        <w:t xml:space="preserve">network.vpc.update</w:t>
      </w:r>
    </w:p>
    <w:p>
      <w:r>
        <w:pict>
          <v:rect style="width:0;height:1.5pt" o:hralign="center" o:hrstd="t" o:hr="t"/>
        </w:pict>
      </w:r>
    </w:p>
    <w:bookmarkEnd w:id="57"/>
    <w:bookmarkStart w:id="58" w:name="mcp-derived-permissions"/>
    <w:p>
      <w:pPr>
        <w:pStyle w:val="Heading1"/>
      </w:pPr>
      <w:r>
        <w:t xml:space="preserve">37. MCP-Derived Permissions</w:t>
      </w:r>
    </w:p>
    <w:p>
      <w:pPr>
        <w:pStyle w:val="FirstParagraph"/>
      </w:pPr>
      <w:r>
        <w:t xml:space="preserve">MCP Proxy retrieves tool definitions through</w:t>
      </w:r>
      <w:r>
        <w:t xml:space="preserve"> </w:t>
      </w:r>
      <w:r>
        <w:rPr>
          <w:rStyle w:val="VerbatimChar"/>
        </w:rPr>
        <w:t xml:space="preserve">GetTools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MCP Server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GetTools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Flatten Tool 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Normalize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IAM Permission Catalog</w:t>
      </w:r>
    </w:p>
    <w:p>
      <w:pPr>
        <w:pStyle w:val="FirstParagraph"/>
      </w:pPr>
      <w:r>
        <w:t xml:space="preserve">Each executable tool maps to a fine-grained permission.</w:t>
      </w:r>
    </w:p>
    <w:p>
      <w:r>
        <w:pict>
          <v:rect style="width:0;height:1.5pt" o:hralign="center" o:hrstd="t" o:hr="t"/>
        </w:pict>
      </w:r>
    </w:p>
    <w:bookmarkEnd w:id="58"/>
    <w:bookmarkStart w:id="59" w:name="tool-discovery-does-not-grant-access"/>
    <w:p>
      <w:pPr>
        <w:pStyle w:val="Heading1"/>
      </w:pPr>
      <w:r>
        <w:t xml:space="preserve">38. Tool Discovery Does Not Grant Access</w:t>
      </w:r>
    </w:p>
    <w:p>
      <w:pPr>
        <w:pStyle w:val="FirstParagraph"/>
      </w:pPr>
      <w:r>
        <w:t xml:space="preserve">Tool discovery only registers capability.</w:t>
      </w:r>
    </w:p>
    <w:p>
      <w:pPr>
        <w:pStyle w:val="SourceCode"/>
      </w:pPr>
      <w:r>
        <w:rPr>
          <w:rStyle w:val="VerbatimChar"/>
        </w:rPr>
        <w:t xml:space="preserve">Tool discovered</w:t>
      </w:r>
      <w:r>
        <w:br/>
      </w:r>
      <w:r>
        <w:rPr>
          <w:rStyle w:val="VerbatimChar"/>
        </w:rPr>
        <w:t xml:space="preserve">→ Permission created</w:t>
      </w:r>
      <w:r>
        <w:br/>
      </w:r>
      <w:r>
        <w:rPr>
          <w:rStyle w:val="VerbatimChar"/>
        </w:rPr>
        <w:t xml:space="preserve">→ Permission added to Role</w:t>
      </w:r>
      <w:r>
        <w:br/>
      </w:r>
      <w:r>
        <w:rPr>
          <w:rStyle w:val="VerbatimChar"/>
        </w:rPr>
        <w:t xml:space="preserve">→ Role bound through Policy</w:t>
      </w:r>
      <w:r>
        <w:br/>
      </w:r>
      <w:r>
        <w:rPr>
          <w:rStyle w:val="VerbatimChar"/>
        </w:rPr>
        <w:t xml:space="preserve">→ Principal receives scoped access</w:t>
      </w:r>
    </w:p>
    <w:p>
      <w:r>
        <w:pict>
          <v:rect style="width:0;height:1.5pt" o:hralign="center" o:hrstd="t" o:hr="t"/>
        </w:pict>
      </w:r>
    </w:p>
    <w:bookmarkEnd w:id="59"/>
    <w:bookmarkStart w:id="60" w:name="multiple-mcp-servers"/>
    <w:p>
      <w:pPr>
        <w:pStyle w:val="Heading1"/>
      </w:pPr>
      <w:r>
        <w:t xml:space="preserve">39. Multiple MCP Servers</w:t>
      </w:r>
    </w:p>
    <w:p>
      <w:pPr>
        <w:pStyle w:val="FirstParagraph"/>
      </w:pPr>
      <w:r>
        <w:t xml:space="preserve">A Project may have multiple MCP Servers.</w:t>
      </w:r>
    </w:p>
    <w:p>
      <w:pPr>
        <w:pStyle w:val="BodyText"/>
      </w:pPr>
      <w:r>
        <w:t xml:space="preserve">A Datacenter may have multiple MCP Servers.</w:t>
      </w:r>
    </w:p>
    <w:p>
      <w:pPr>
        <w:pStyle w:val="BodyText"/>
      </w:pPr>
      <w:r>
        <w:t xml:space="preserve">MCP Server association does not imply permission.</w:t>
      </w:r>
    </w:p>
    <w:p>
      <w:r>
        <w:pict>
          <v:rect style="width:0;height:1.5pt" o:hralign="center" o:hrstd="t" o:hr="t"/>
        </w:pict>
      </w:r>
    </w:p>
    <w:bookmarkEnd w:id="60"/>
    <w:bookmarkStart w:id="61" w:name="datacenter-bound-mcp-execution"/>
    <w:p>
      <w:pPr>
        <w:pStyle w:val="Heading1"/>
      </w:pPr>
      <w:r>
        <w:t xml:space="preserve">40. Datacenter-Bound MCP Execution</w:t>
      </w:r>
    </w:p>
    <w:p>
      <w:pPr>
        <w:pStyle w:val="FirstParagraph"/>
      </w:pPr>
      <w:r>
        <w:t xml:space="preserve">Every provider-bound MCP operation must resolve: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datacenter_id</w:t>
      </w:r>
      <w:r>
        <w:br/>
      </w:r>
      <w:r>
        <w:rPr>
          <w:rStyle w:val="VerbatimChar"/>
        </w:rPr>
        <w:t xml:space="preserve">endpoint_id</w:t>
      </w:r>
      <w:r>
        <w:br/>
      </w:r>
      <w:r>
        <w:rPr>
          <w:rStyle w:val="VerbatimChar"/>
        </w:rPr>
        <w:t xml:space="preserve">mcp_server_id</w:t>
      </w:r>
      <w:r>
        <w:br/>
      </w:r>
      <w:r>
        <w:rPr>
          <w:rStyle w:val="VerbatimChar"/>
        </w:rPr>
        <w:t xml:space="preserve">tool_id</w:t>
      </w:r>
      <w:r>
        <w:br/>
      </w:r>
      <w:r>
        <w:rPr>
          <w:rStyle w:val="VerbatimChar"/>
        </w:rPr>
        <w:t xml:space="preserve">target_entity_id</w:t>
      </w:r>
    </w:p>
    <w:p>
      <w:pPr>
        <w:pStyle w:val="FirstParagraph"/>
      </w:pPr>
      <w:r>
        <w:t xml:space="preserve">before execution.</w:t>
      </w:r>
    </w:p>
    <w:p>
      <w:r>
        <w:pict>
          <v:rect style="width:0;height:1.5pt" o:hralign="center" o:hrstd="t" o:hr="t"/>
        </w:pict>
      </w:r>
    </w:p>
    <w:bookmarkEnd w:id="61"/>
    <w:bookmarkStart w:id="62" w:name="access-control-policy"/>
    <w:p>
      <w:pPr>
        <w:pStyle w:val="Heading1"/>
      </w:pPr>
      <w:r>
        <w:t xml:space="preserve">41. Access Control Policy</w:t>
      </w:r>
    </w:p>
    <w:p>
      <w:pPr>
        <w:pStyle w:val="FirstParagraph"/>
      </w:pPr>
      <w:r>
        <w:t xml:space="preserve">An Access Control Policy consists of: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SUBJECTS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Humans / Groups / Agents</w:t>
      </w:r>
      <w:r>
        <w:br/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Project / Datacenter / Folder /</w:t>
      </w:r>
      <w:r>
        <w:br/>
      </w:r>
      <w:r>
        <w:rPr>
          <w:rStyle w:val="VerbatimChar"/>
        </w:rPr>
        <w:t xml:space="preserve">Explicit Entities / Scope Filter</w:t>
      </w:r>
    </w:p>
    <w:p>
      <w:pPr>
        <w:pStyle w:val="FirstParagraph"/>
      </w:pPr>
      <w:r>
        <w:t xml:space="preserve">Meaning:</w:t>
      </w:r>
    </w:p>
    <w:p>
      <w:pPr>
        <w:pStyle w:val="BlockText"/>
      </w:pPr>
      <w:r>
        <w:t xml:space="preserve">The selected Subjects receive the permissions of the Role within the selected Scope.</w:t>
      </w:r>
    </w:p>
    <w:p>
      <w:r>
        <w:pict>
          <v:rect style="width:0;height:1.5pt" o:hralign="center" o:hrstd="t" o:hr="t"/>
        </w:pict>
      </w:r>
    </w:p>
    <w:bookmarkEnd w:id="62"/>
    <w:bookmarkStart w:id="63" w:name="policy-scope"/>
    <w:p>
      <w:pPr>
        <w:pStyle w:val="Heading1"/>
      </w:pPr>
      <w:r>
        <w:t xml:space="preserve">42. Policy Scope</w:t>
      </w:r>
    </w:p>
    <w:p>
      <w:pPr>
        <w:pStyle w:val="FirstParagraph"/>
      </w:pPr>
      <w:r>
        <w:t xml:space="preserve">Scope may exist at:</w:t>
      </w:r>
    </w:p>
    <w:p>
      <w:pPr>
        <w:pStyle w:val="Compact"/>
        <w:numPr>
          <w:ilvl w:val="0"/>
          <w:numId w:val="1026"/>
        </w:numPr>
      </w:pPr>
      <w:r>
        <w:t xml:space="preserve">Project</w:t>
      </w:r>
    </w:p>
    <w:p>
      <w:pPr>
        <w:pStyle w:val="Compact"/>
        <w:numPr>
          <w:ilvl w:val="0"/>
          <w:numId w:val="1026"/>
        </w:numPr>
      </w:pPr>
      <w:r>
        <w:t xml:space="preserve">Datacenter</w:t>
      </w:r>
    </w:p>
    <w:p>
      <w:pPr>
        <w:pStyle w:val="Compact"/>
        <w:numPr>
          <w:ilvl w:val="0"/>
          <w:numId w:val="1026"/>
        </w:numPr>
      </w:pPr>
      <w:r>
        <w:t xml:space="preserve">Default Folder</w:t>
      </w:r>
    </w:p>
    <w:p>
      <w:pPr>
        <w:pStyle w:val="Compact"/>
        <w:numPr>
          <w:ilvl w:val="0"/>
          <w:numId w:val="1026"/>
        </w:numPr>
      </w:pPr>
      <w:r>
        <w:t xml:space="preserve">Folder</w:t>
      </w:r>
    </w:p>
    <w:p>
      <w:pPr>
        <w:pStyle w:val="Compact"/>
        <w:numPr>
          <w:ilvl w:val="0"/>
          <w:numId w:val="1026"/>
        </w:numPr>
      </w:pPr>
      <w:r>
        <w:t xml:space="preserve">Explicit Entity</w:t>
      </w:r>
    </w:p>
    <w:p>
      <w:pPr>
        <w:pStyle w:val="Compact"/>
        <w:numPr>
          <w:ilvl w:val="0"/>
          <w:numId w:val="1026"/>
        </w:numPr>
      </w:pPr>
      <w:r>
        <w:t xml:space="preserve">Dynamic Entity Set</w:t>
      </w:r>
    </w:p>
    <w:p>
      <w:r>
        <w:pict>
          <v:rect style="width:0;height:1.5pt" o:hralign="center" o:hrstd="t" o:hr="t"/>
        </w:pict>
      </w:r>
    </w:p>
    <w:bookmarkEnd w:id="63"/>
    <w:bookmarkStart w:id="64" w:name="dynamic-scope-filters"/>
    <w:p>
      <w:pPr>
        <w:pStyle w:val="Heading1"/>
      </w:pPr>
      <w:r>
        <w:t xml:space="preserve">43. Dynamic Scope Filters</w:t>
      </w:r>
    </w:p>
    <w:p>
      <w:pPr>
        <w:pStyle w:val="FirstParagraph"/>
      </w:pPr>
      <w:r>
        <w:t xml:space="preserve">Scope Filters resolve Entities using Organizational Memory metadata.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datacenter = AWS Production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entity_type = aws.ec2.instance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environment = production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application = payments</w:t>
      </w:r>
    </w:p>
    <w:p>
      <w:r>
        <w:pict>
          <v:rect style="width:0;height:1.5pt" o:hralign="center" o:hrstd="t" o:hr="t"/>
        </w:pict>
      </w:r>
    </w:p>
    <w:bookmarkEnd w:id="64"/>
    <w:bookmarkStart w:id="65" w:name="scope-filter-attributes"/>
    <w:p>
      <w:pPr>
        <w:pStyle w:val="Heading1"/>
      </w:pPr>
      <w:r>
        <w:t xml:space="preserve">44. Scope Filter Attributes</w:t>
      </w:r>
    </w:p>
    <w:p>
      <w:pPr>
        <w:pStyle w:val="FirstParagraph"/>
      </w:pPr>
      <w:r>
        <w:t xml:space="preserve">Approved attributes may include: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datacenter</w:t>
      </w:r>
      <w:r>
        <w:br/>
      </w:r>
      <w:r>
        <w:rPr>
          <w:rStyle w:val="VerbatimChar"/>
        </w:rPr>
        <w:t xml:space="preserve">folder</w:t>
      </w:r>
      <w:r>
        <w:br/>
      </w:r>
      <w:r>
        <w:rPr>
          <w:rStyle w:val="VerbatimChar"/>
        </w:rPr>
        <w:t xml:space="preserve">entity_id</w:t>
      </w:r>
      <w:r>
        <w:br/>
      </w: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region</w:t>
      </w:r>
      <w:r>
        <w:br/>
      </w:r>
      <w:r>
        <w:rPr>
          <w:rStyle w:val="VerbatimChar"/>
        </w:rPr>
        <w:t xml:space="preserve">cluster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creator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label</w:t>
      </w:r>
      <w:r>
        <w:br/>
      </w:r>
      <w:r>
        <w:rPr>
          <w:rStyle w:val="VerbatimChar"/>
        </w:rPr>
        <w:t xml:space="preserve">tag</w:t>
      </w:r>
      <w:r>
        <w:br/>
      </w:r>
      <w:r>
        <w:rPr>
          <w:rStyle w:val="VerbatimChar"/>
        </w:rPr>
        <w:t xml:space="preserve">criticality</w:t>
      </w:r>
      <w:r>
        <w:br/>
      </w:r>
      <w:r>
        <w:rPr>
          <w:rStyle w:val="VerbatimChar"/>
        </w:rPr>
        <w:t xml:space="preserve">classification</w:t>
      </w:r>
    </w:p>
    <w:p>
      <w:r>
        <w:pict>
          <v:rect style="width:0;height:1.5pt" o:hralign="center" o:hrstd="t" o:hr="t"/>
        </w:pict>
      </w:r>
    </w:p>
    <w:bookmarkEnd w:id="65"/>
    <w:bookmarkStart w:id="66" w:name="policy-line-items-and-expressions"/>
    <w:p>
      <w:pPr>
        <w:pStyle w:val="Heading1"/>
      </w:pPr>
      <w:r>
        <w:t xml:space="preserve">45. Policy Line Items and Expressions</w:t>
      </w:r>
    </w:p>
    <w:p>
      <w:pPr>
        <w:pStyle w:val="FirstParagraph"/>
      </w:pPr>
      <w:r>
        <w:t xml:space="preserve">A Policy may contain multiple line items and combine them using:</w:t>
      </w:r>
    </w:p>
    <w:p>
      <w:pPr>
        <w:pStyle w:val="SourceCode"/>
      </w:pP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UNION</w:t>
      </w:r>
      <w:r>
        <w:br/>
      </w:r>
      <w:r>
        <w:rPr>
          <w:rStyle w:val="VerbatimChar"/>
        </w:rPr>
        <w:t xml:space="preserve">NOT</w:t>
      </w:r>
    </w:p>
    <w:p>
      <w:pPr>
        <w:pStyle w:val="FirstParagraph"/>
      </w:pPr>
      <w:r>
        <w:t xml:space="preserve">Complex expressions use an explicit expression tree.</w:t>
      </w:r>
    </w:p>
    <w:p>
      <w:pPr>
        <w:pStyle w:val="BodyText"/>
      </w:pPr>
      <w:r>
        <w:rPr>
          <w:rStyle w:val="VerbatimChar"/>
        </w:rPr>
        <w:t xml:space="preserve">NOT</w:t>
      </w:r>
      <w:r>
        <w:t xml:space="preserve"> </w:t>
      </w:r>
      <w:r>
        <w:t xml:space="preserve">is always bounded inside an already authorized Tenant/Project/Datacenter universe.</w:t>
      </w:r>
    </w:p>
    <w:p>
      <w:r>
        <w:pict>
          <v:rect style="width:0;height:1.5pt" o:hralign="center" o:hrstd="t" o:hr="t"/>
        </w:pict>
      </w:r>
    </w:p>
    <w:bookmarkEnd w:id="66"/>
    <w:bookmarkStart w:id="67" w:name="delegation"/>
    <w:p>
      <w:pPr>
        <w:pStyle w:val="Heading1"/>
      </w:pPr>
      <w:r>
        <w:t xml:space="preserve">46. Delegation</w:t>
      </w:r>
    </w:p>
    <w:p>
      <w:pPr>
        <w:pStyle w:val="FirstParagraph"/>
      </w:pPr>
      <w:r>
        <w:t xml:space="preserve">Permission metadata includes:</w:t>
      </w:r>
    </w:p>
    <w:p>
      <w:pPr>
        <w:pStyle w:val="SourceCode"/>
      </w:pPr>
      <w:r>
        <w:rPr>
          <w:rStyle w:val="VerbatimChar"/>
        </w:rPr>
        <w:t xml:space="preserve">delegable = true | false</w:t>
      </w:r>
    </w:p>
    <w:p>
      <w:pPr>
        <w:pStyle w:val="FirstParagraph"/>
      </w:pPr>
      <w:r>
        <w:t xml:space="preserve">A Principal cannot grant more than their effective delegable permission set.</w:t>
      </w:r>
    </w:p>
    <w:p>
      <w:pPr>
        <w:pStyle w:val="BodyText"/>
      </w:pPr>
      <w:r>
        <w:t xml:space="preserve">This applies to:</w:t>
      </w:r>
    </w:p>
    <w:p>
      <w:pPr>
        <w:pStyle w:val="Compact"/>
        <w:numPr>
          <w:ilvl w:val="0"/>
          <w:numId w:val="1027"/>
        </w:numPr>
      </w:pPr>
      <w:r>
        <w:t xml:space="preserve">Human → Human</w:t>
      </w:r>
    </w:p>
    <w:p>
      <w:pPr>
        <w:pStyle w:val="Compact"/>
        <w:numPr>
          <w:ilvl w:val="0"/>
          <w:numId w:val="1027"/>
        </w:numPr>
      </w:pPr>
      <w:r>
        <w:t xml:space="preserve">Human → Agent</w:t>
      </w:r>
    </w:p>
    <w:p>
      <w:pPr>
        <w:pStyle w:val="FirstParagraph"/>
      </w:pPr>
      <w:r>
        <w:t xml:space="preserve">Agent → Human/Agent delegation is prohibited.</w:t>
      </w:r>
    </w:p>
    <w:p>
      <w:r>
        <w:pict>
          <v:rect style="width:0;height:1.5pt" o:hralign="center" o:hrstd="t" o:hr="t"/>
        </w:pict>
      </w:r>
    </w:p>
    <w:bookmarkEnd w:id="67"/>
    <w:bookmarkStart w:id="68" w:name="X13b5975eeac53c21806e1c28a19627763a2d495"/>
    <w:p>
      <w:pPr>
        <w:pStyle w:val="Heading1"/>
      </w:pPr>
      <w:r>
        <w:t xml:space="preserve">47. Project-, Datacenter- and Folder-Level Authorization</w:t>
      </w:r>
    </w:p>
    <w:p>
      <w:pPr>
        <w:pStyle w:val="FirstParagraph"/>
      </w:pPr>
      <w:r>
        <w:t xml:space="preserve">Users, groups and agents may receive scoped authorization at: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Datacenter</w:t>
      </w:r>
      <w:r>
        <w:br/>
      </w:r>
      <w:r>
        <w:rPr>
          <w:rStyle w:val="VerbatimChar"/>
        </w:rPr>
        <w:t xml:space="preserve">Folder</w:t>
      </w:r>
      <w:r>
        <w:br/>
      </w: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Dynamic Entity Set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Alice</w:t>
      </w:r>
      <w:r>
        <w:br/>
      </w:r>
      <w:r>
        <w:br/>
      </w:r>
      <w:r>
        <w:rPr>
          <w:rStyle w:val="VerbatimChar"/>
        </w:rPr>
        <w:t xml:space="preserve">Project:</w:t>
      </w:r>
      <w:r>
        <w:br/>
      </w:r>
      <w:r>
        <w:rPr>
          <w:rStyle w:val="VerbatimChar"/>
        </w:rPr>
        <w:t xml:space="preserve">Payments</w:t>
      </w:r>
      <w:r>
        <w:br/>
      </w:r>
      <w:r>
        <w:br/>
      </w:r>
      <w:r>
        <w:rPr>
          <w:rStyle w:val="VerbatimChar"/>
        </w:rPr>
        <w:t xml:space="preserve">AWS Production:</w:t>
      </w:r>
      <w:r>
        <w:br/>
      </w:r>
      <w:r>
        <w:rPr>
          <w:rStyle w:val="VerbatimChar"/>
        </w:rPr>
        <w:t xml:space="preserve">AWS Administrator</w:t>
      </w:r>
      <w:r>
        <w:br/>
      </w:r>
      <w:r>
        <w:br/>
      </w:r>
      <w:r>
        <w:rPr>
          <w:rStyle w:val="VerbatimChar"/>
        </w:rPr>
        <w:t xml:space="preserve">Azure Production:</w:t>
      </w:r>
      <w:r>
        <w:br/>
      </w:r>
      <w:r>
        <w:rPr>
          <w:rStyle w:val="VerbatimChar"/>
        </w:rPr>
        <w:t xml:space="preserve">Azure Viewer</w:t>
      </w:r>
    </w:p>
    <w:p>
      <w:pPr>
        <w:pStyle w:val="FirstParagraph"/>
      </w:pPr>
      <w:r>
        <w:t xml:space="preserve">These permission sets remain independent.</w:t>
      </w:r>
    </w:p>
    <w:p>
      <w:r>
        <w:pict>
          <v:rect style="width:0;height:1.5pt" o:hralign="center" o:hrstd="t" o:hr="t"/>
        </w:pict>
      </w:r>
    </w:p>
    <w:bookmarkEnd w:id="68"/>
    <w:bookmarkStart w:id="73" w:name="four-permission-and-control-planes"/>
    <w:p>
      <w:pPr>
        <w:pStyle w:val="Heading1"/>
      </w:pPr>
      <w:r>
        <w:t xml:space="preserve">48. Four Permission and Control Planes</w:t>
      </w:r>
    </w:p>
    <w:p>
      <w:pPr>
        <w:pStyle w:val="FirstParagraph"/>
      </w:pPr>
      <w:r>
        <w:t xml:space="preserve">The architecture contains four distinct control planes.</w:t>
      </w:r>
    </w:p>
    <w:bookmarkStart w:id="69" w:name="plane-1-accusec-management"/>
    <w:p>
      <w:pPr>
        <w:pStyle w:val="Heading2"/>
      </w:pPr>
      <w:r>
        <w:t xml:space="preserve">Plane 1 — AccuSec Management</w:t>
      </w:r>
    </w:p>
    <w:p>
      <w:pPr>
        <w:pStyle w:val="FirstParagraph"/>
      </w:pPr>
      <w:r>
        <w:t xml:space="preserve">Controls:</w:t>
      </w:r>
    </w:p>
    <w:p>
      <w:pPr>
        <w:pStyle w:val="Compact"/>
        <w:numPr>
          <w:ilvl w:val="0"/>
          <w:numId w:val="1028"/>
        </w:numPr>
      </w:pPr>
      <w:r>
        <w:t xml:space="preserve">Tenant</w:t>
      </w:r>
    </w:p>
    <w:p>
      <w:pPr>
        <w:pStyle w:val="Compact"/>
        <w:numPr>
          <w:ilvl w:val="0"/>
          <w:numId w:val="1028"/>
        </w:numPr>
      </w:pPr>
      <w:r>
        <w:t xml:space="preserve">Project</w:t>
      </w:r>
    </w:p>
    <w:p>
      <w:pPr>
        <w:pStyle w:val="Compact"/>
        <w:numPr>
          <w:ilvl w:val="0"/>
          <w:numId w:val="1028"/>
        </w:numPr>
      </w:pPr>
      <w:r>
        <w:t xml:space="preserve">Datacenter</w:t>
      </w:r>
    </w:p>
    <w:p>
      <w:pPr>
        <w:pStyle w:val="Compact"/>
        <w:numPr>
          <w:ilvl w:val="0"/>
          <w:numId w:val="1028"/>
        </w:numPr>
      </w:pPr>
      <w:r>
        <w:t xml:space="preserve">Folder</w:t>
      </w:r>
    </w:p>
    <w:p>
      <w:pPr>
        <w:pStyle w:val="Compact"/>
        <w:numPr>
          <w:ilvl w:val="0"/>
          <w:numId w:val="1028"/>
        </w:numPr>
      </w:pPr>
      <w:r>
        <w:t xml:space="preserve">Users</w:t>
      </w:r>
    </w:p>
    <w:p>
      <w:pPr>
        <w:pStyle w:val="Compact"/>
        <w:numPr>
          <w:ilvl w:val="0"/>
          <w:numId w:val="1028"/>
        </w:numPr>
      </w:pPr>
      <w:r>
        <w:t xml:space="preserve">Groups</w:t>
      </w:r>
    </w:p>
    <w:p>
      <w:pPr>
        <w:pStyle w:val="Compact"/>
        <w:numPr>
          <w:ilvl w:val="0"/>
          <w:numId w:val="1028"/>
        </w:numPr>
      </w:pPr>
      <w:r>
        <w:t xml:space="preserve">Agents</w:t>
      </w:r>
    </w:p>
    <w:p>
      <w:pPr>
        <w:pStyle w:val="Compact"/>
        <w:numPr>
          <w:ilvl w:val="0"/>
          <w:numId w:val="1028"/>
        </w:numPr>
      </w:pPr>
      <w:r>
        <w:t xml:space="preserve">Roles</w:t>
      </w:r>
    </w:p>
    <w:p>
      <w:pPr>
        <w:pStyle w:val="Compact"/>
        <w:numPr>
          <w:ilvl w:val="0"/>
          <w:numId w:val="1028"/>
        </w:numPr>
      </w:pPr>
      <w:r>
        <w:t xml:space="preserve">Policies</w:t>
      </w:r>
    </w:p>
    <w:p>
      <w:pPr>
        <w:pStyle w:val="Compact"/>
        <w:numPr>
          <w:ilvl w:val="0"/>
          <w:numId w:val="1028"/>
        </w:numPr>
      </w:pPr>
      <w:r>
        <w:t xml:space="preserve">Endpoint configuration</w:t>
      </w:r>
    </w:p>
    <w:bookmarkEnd w:id="69"/>
    <w:bookmarkStart w:id="70" w:name="Xda21eaf6f6011d89d9d6b72e465594c6be8a98d"/>
    <w:p>
      <w:pPr>
        <w:pStyle w:val="Heading2"/>
      </w:pPr>
      <w:r>
        <w:t xml:space="preserve">Plane 2 — AccuSec Operational Authorization</w:t>
      </w:r>
    </w:p>
    <w:p>
      <w:pPr>
        <w:pStyle w:val="FirstParagraph"/>
      </w:pPr>
      <w:r>
        <w:t xml:space="preserve">Determines:</w:t>
      </w:r>
    </w:p>
    <w:p>
      <w:pPr>
        <w:pStyle w:val="BlockText"/>
      </w:pPr>
      <w:r>
        <w:t xml:space="preserve">Which Principal may perform which operation on which Entity in which Datacenter/Scope?</w:t>
      </w:r>
    </w:p>
    <w:bookmarkEnd w:id="70"/>
    <w:bookmarkStart w:id="71" w:name="plane-3-endpoint-entitlement-management"/>
    <w:p>
      <w:pPr>
        <w:pStyle w:val="Heading2"/>
      </w:pPr>
      <w:r>
        <w:t xml:space="preserve">Plane 3 — Endpoint Entitlement Management</w:t>
      </w:r>
    </w:p>
    <w:p>
      <w:pPr>
        <w:pStyle w:val="FirstParagraph"/>
      </w:pPr>
      <w:r>
        <w:t xml:space="preserve">Determines:</w:t>
      </w:r>
    </w:p>
    <w:p>
      <w:pPr>
        <w:pStyle w:val="BlockText"/>
      </w:pPr>
      <w:r>
        <w:t xml:space="preserve">Which provider-native identities, roles and scopes should exist to implement AccuSec operational authorization?</w:t>
      </w:r>
    </w:p>
    <w:bookmarkEnd w:id="71"/>
    <w:bookmarkStart w:id="72" w:name="plane-4-native-provider-enforcement"/>
    <w:p>
      <w:pPr>
        <w:pStyle w:val="Heading2"/>
      </w:pPr>
      <w:r>
        <w:t xml:space="preserve">Plane 4 — Native Provider Enforcement</w:t>
      </w:r>
    </w:p>
    <w:p>
      <w:pPr>
        <w:pStyle w:val="FirstParagraph"/>
      </w:pPr>
      <w:r>
        <w:t xml:space="preserve">The provider ultimately evaluates its native identity, permission and resource scope.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endpoint-entitlement-provisioning"/>
    <w:p>
      <w:pPr>
        <w:pStyle w:val="Heading1"/>
      </w:pPr>
      <w:r>
        <w:t xml:space="preserve">49. Endpoint Entitlement Provisioning</w:t>
      </w:r>
    </w:p>
    <w:p>
      <w:pPr>
        <w:pStyle w:val="FirstParagraph"/>
      </w:pPr>
      <w:r>
        <w:t xml:space="preserve">When an AccuSec operational Role requires provider-side authorization, AccuSec provisions equivalent native entitlements where technically supported.</w:t>
      </w:r>
    </w:p>
    <w:p>
      <w:pPr>
        <w:pStyle w:val="SourceCode"/>
      </w:pPr>
      <w:r>
        <w:rPr>
          <w:rStyle w:val="VerbatimChar"/>
        </w:rPr>
        <w:t xml:space="preserve">AccuSec Role Assignment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Entitlement Translator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Provider Entitlement Profile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Endpoint IAM / RBAC</w:t>
      </w:r>
    </w:p>
    <w:p>
      <w:r>
        <w:pict>
          <v:rect style="width:0;height:1.5pt" o:hralign="center" o:hrstd="t" o:hr="t"/>
        </w:pict>
      </w:r>
    </w:p>
    <w:bookmarkEnd w:id="74"/>
    <w:bookmarkStart w:id="75" w:name="Xf0e51b783e5c58c4d81869dda725a4780f5e273"/>
    <w:p>
      <w:pPr>
        <w:pStyle w:val="Heading1"/>
      </w:pPr>
      <w:r>
        <w:t xml:space="preserve">50. Endpoint Entitlement Provisioning Service</w:t>
      </w:r>
    </w:p>
    <w:p>
      <w:pPr>
        <w:pStyle w:val="FirstParagraph"/>
      </w:pPr>
      <w:r>
        <w:t xml:space="preserve">A logical Endpoint Entitlement Provisioning Service provides:</w:t>
      </w:r>
    </w:p>
    <w:p>
      <w:pPr>
        <w:pStyle w:val="Compact"/>
        <w:numPr>
          <w:ilvl w:val="0"/>
          <w:numId w:val="1029"/>
        </w:numPr>
      </w:pPr>
      <w:r>
        <w:t xml:space="preserve">Role translation;</w:t>
      </w:r>
    </w:p>
    <w:p>
      <w:pPr>
        <w:pStyle w:val="Compact"/>
        <w:numPr>
          <w:ilvl w:val="0"/>
          <w:numId w:val="1029"/>
        </w:numPr>
      </w:pPr>
      <w:r>
        <w:t xml:space="preserve">identity mapping;</w:t>
      </w:r>
    </w:p>
    <w:p>
      <w:pPr>
        <w:pStyle w:val="Compact"/>
        <w:numPr>
          <w:ilvl w:val="0"/>
          <w:numId w:val="1029"/>
        </w:numPr>
      </w:pPr>
      <w:r>
        <w:t xml:space="preserve">resource-scope translation;</w:t>
      </w:r>
    </w:p>
    <w:p>
      <w:pPr>
        <w:pStyle w:val="Compact"/>
        <w:numPr>
          <w:ilvl w:val="0"/>
          <w:numId w:val="1029"/>
        </w:numPr>
      </w:pPr>
      <w:r>
        <w:t xml:space="preserve">provider Role provisioning;</w:t>
      </w:r>
    </w:p>
    <w:p>
      <w:pPr>
        <w:pStyle w:val="Compact"/>
        <w:numPr>
          <w:ilvl w:val="0"/>
          <w:numId w:val="1029"/>
        </w:numPr>
      </w:pPr>
      <w:r>
        <w:t xml:space="preserve">entitlement assignment;</w:t>
      </w:r>
    </w:p>
    <w:p>
      <w:pPr>
        <w:pStyle w:val="Compact"/>
        <w:numPr>
          <w:ilvl w:val="0"/>
          <w:numId w:val="1029"/>
        </w:numPr>
      </w:pPr>
      <w:r>
        <w:t xml:space="preserve">entitlement removal;</w:t>
      </w:r>
    </w:p>
    <w:p>
      <w:pPr>
        <w:pStyle w:val="Compact"/>
        <w:numPr>
          <w:ilvl w:val="0"/>
          <w:numId w:val="1029"/>
        </w:numPr>
      </w:pPr>
      <w:r>
        <w:t xml:space="preserve">synchronization;</w:t>
      </w:r>
    </w:p>
    <w:p>
      <w:pPr>
        <w:pStyle w:val="Compact"/>
        <w:numPr>
          <w:ilvl w:val="0"/>
          <w:numId w:val="1029"/>
        </w:numPr>
      </w:pPr>
      <w:r>
        <w:t xml:space="preserve">reconciliation;</w:t>
      </w:r>
    </w:p>
    <w:p>
      <w:pPr>
        <w:pStyle w:val="Compact"/>
        <w:numPr>
          <w:ilvl w:val="0"/>
          <w:numId w:val="1029"/>
        </w:numPr>
      </w:pPr>
      <w:r>
        <w:t xml:space="preserve">drift reporting.</w:t>
      </w:r>
    </w:p>
    <w:p>
      <w:r>
        <w:pict>
          <v:rect style="width:0;height:1.5pt" o:hralign="center" o:hrstd="t" o:hr="t"/>
        </w:pict>
      </w:r>
    </w:p>
    <w:bookmarkEnd w:id="75"/>
    <w:bookmarkStart w:id="76" w:name="Xd848712c794b5cc1e1133175ef030fe5b60b8b1"/>
    <w:p>
      <w:pPr>
        <w:pStyle w:val="Heading1"/>
      </w:pPr>
      <w:r>
        <w:t xml:space="preserve">51. AccuSec Role Versus Provider Entitlement Profile</w:t>
      </w:r>
    </w:p>
    <w:p>
      <w:pPr>
        <w:pStyle w:val="FirstParagraph"/>
      </w:pPr>
      <w:r>
        <w:t xml:space="preserve">An AccuSec Role is provider-neutral.</w:t>
      </w:r>
    </w:p>
    <w:p>
      <w:pPr>
        <w:pStyle w:val="BodyText"/>
      </w:pPr>
      <w:r>
        <w:t xml:space="preserve">A Provider Entitlement Profile defines provider-specific realization.</w:t>
      </w:r>
    </w:p>
    <w:p>
      <w:pPr>
        <w:pStyle w:val="SourceCode"/>
      </w:pPr>
      <w:r>
        <w:rPr>
          <w:rStyle w:val="VerbatimChar"/>
        </w:rPr>
        <w:t xml:space="preserve">AccuSec:</w:t>
      </w:r>
      <w:r>
        <w:br/>
      </w:r>
      <w:r>
        <w:rPr>
          <w:rStyle w:val="VerbatimChar"/>
        </w:rPr>
        <w:t xml:space="preserve">Virtual Compute Administrator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AWS profile</w:t>
      </w:r>
      <w:r>
        <w:br/>
      </w:r>
      <w:r>
        <w:rPr>
          <w:rStyle w:val="VerbatimChar"/>
        </w:rPr>
        <w:t xml:space="preserve">       ├── Azure profile</w:t>
      </w:r>
      <w:r>
        <w:br/>
      </w:r>
      <w:r>
        <w:rPr>
          <w:rStyle w:val="VerbatimChar"/>
        </w:rPr>
        <w:t xml:space="preserve">       └── Nutanix profile</w:t>
      </w:r>
    </w:p>
    <w:p>
      <w:r>
        <w:pict>
          <v:rect style="width:0;height:1.5pt" o:hralign="center" o:hrstd="t" o:hr="t"/>
        </w:pict>
      </w:r>
    </w:p>
    <w:bookmarkEnd w:id="76"/>
    <w:bookmarkStart w:id="77" w:name="role-assignment-lifecycle"/>
    <w:p>
      <w:pPr>
        <w:pStyle w:val="Heading1"/>
      </w:pPr>
      <w:r>
        <w:t xml:space="preserve">52. Role Assignment Lifecycle</w:t>
      </w:r>
    </w:p>
    <w:p>
      <w:pPr>
        <w:pStyle w:val="FirstParagraph"/>
      </w:pPr>
      <w:r>
        <w:t xml:space="preserve">For provider-operational access:</w:t>
      </w:r>
    </w:p>
    <w:p>
      <w:pPr>
        <w:pStyle w:val="SourceCode"/>
      </w:pPr>
      <w:r>
        <w:rPr>
          <w:rStyle w:val="VerbatimChar"/>
        </w:rPr>
        <w:t xml:space="preserve">1. Administrator requests Role assignment</w:t>
      </w:r>
      <w:r>
        <w:br/>
      </w:r>
      <w:r>
        <w:br/>
      </w:r>
      <w:r>
        <w:rPr>
          <w:rStyle w:val="VerbatimChar"/>
        </w:rPr>
        <w:t xml:space="preserve">2. IAM validates grantor delegation rights</w:t>
      </w:r>
      <w:r>
        <w:br/>
      </w:r>
      <w:r>
        <w:br/>
      </w:r>
      <w:r>
        <w:rPr>
          <w:rStyle w:val="VerbatimChar"/>
        </w:rPr>
        <w:t xml:space="preserve">3. IAM validates Project and Datacenter</w:t>
      </w:r>
      <w:r>
        <w:br/>
      </w:r>
      <w:r>
        <w:br/>
      </w:r>
      <w:r>
        <w:rPr>
          <w:rStyle w:val="VerbatimChar"/>
        </w:rPr>
        <w:t xml:space="preserve">4. AccuSec records desired assignment</w:t>
      </w:r>
      <w:r>
        <w:br/>
      </w:r>
      <w:r>
        <w:br/>
      </w:r>
      <w:r>
        <w:rPr>
          <w:rStyle w:val="VerbatimChar"/>
        </w:rPr>
        <w:t xml:space="preserve">5. Entitlement Service selects provider profile</w:t>
      </w:r>
      <w:r>
        <w:br/>
      </w:r>
      <w:r>
        <w:br/>
      </w:r>
      <w:r>
        <w:rPr>
          <w:rStyle w:val="VerbatimChar"/>
        </w:rPr>
        <w:t xml:space="preserve">6. Provider identity is resolved or created</w:t>
      </w:r>
      <w:r>
        <w:br/>
      </w:r>
      <w:r>
        <w:br/>
      </w:r>
      <w:r>
        <w:rPr>
          <w:rStyle w:val="VerbatimChar"/>
        </w:rPr>
        <w:t xml:space="preserve">7. Provider entitlement is provisioned</w:t>
      </w:r>
      <w:r>
        <w:br/>
      </w:r>
      <w:r>
        <w:br/>
      </w:r>
      <w:r>
        <w:rPr>
          <w:rStyle w:val="VerbatimChar"/>
        </w:rPr>
        <w:t xml:space="preserve">8. Provider confirms</w:t>
      </w:r>
      <w:r>
        <w:br/>
      </w:r>
      <w:r>
        <w:br/>
      </w:r>
      <w:r>
        <w:rPr>
          <w:rStyle w:val="VerbatimChar"/>
        </w:rPr>
        <w:t xml:space="preserve">9. AccuSec verifies provider state</w:t>
      </w:r>
      <w:r>
        <w:br/>
      </w:r>
      <w:r>
        <w:br/>
      </w:r>
      <w:r>
        <w:rPr>
          <w:rStyle w:val="VerbatimChar"/>
        </w:rPr>
        <w:t xml:space="preserve">10. Assignment becomes ACTIVE</w:t>
      </w:r>
      <w:r>
        <w:br/>
      </w:r>
      <w:r>
        <w:br/>
      </w:r>
      <w:r>
        <w:rPr>
          <w:rStyle w:val="VerbatimChar"/>
        </w:rPr>
        <w:t xml:space="preserve">11. Audit event generated</w:t>
      </w:r>
    </w:p>
    <w:p>
      <w:r>
        <w:pict>
          <v:rect style="width:0;height:1.5pt" o:hralign="center" o:hrstd="t" o:hr="t"/>
        </w:pict>
      </w:r>
    </w:p>
    <w:bookmarkEnd w:id="77"/>
    <w:bookmarkStart w:id="78" w:name="entitlement-states"/>
    <w:p>
      <w:pPr>
        <w:pStyle w:val="Heading1"/>
      </w:pPr>
      <w:r>
        <w:t xml:space="preserve">53. Entitlement States</w:t>
      </w:r>
    </w:p>
    <w:p>
      <w:pPr>
        <w:pStyle w:val="FirstParagraph"/>
      </w:pPr>
      <w:r>
        <w:t xml:space="preserve">Assignments may have: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PROVISIONING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DRIFTED</w:t>
      </w:r>
      <w:r>
        <w:br/>
      </w:r>
      <w:r>
        <w:rPr>
          <w:rStyle w:val="VerbatimChar"/>
        </w:rPr>
        <w:t xml:space="preserve">REVOKING</w:t>
      </w:r>
      <w:r>
        <w:br/>
      </w:r>
      <w:r>
        <w:rPr>
          <w:rStyle w:val="VerbatimChar"/>
        </w:rPr>
        <w:t xml:space="preserve">REVOKED</w:t>
      </w:r>
    </w:p>
    <w:p>
      <w:r>
        <w:pict>
          <v:rect style="width:0;height:1.5pt" o:hralign="center" o:hrstd="t" o:hr="t"/>
        </w:pict>
      </w:r>
    </w:p>
    <w:bookmarkEnd w:id="78"/>
    <w:bookmarkStart w:id="79" w:name="revocation-and-reconciliation"/>
    <w:p>
      <w:pPr>
        <w:pStyle w:val="Heading1"/>
      </w:pPr>
      <w:r>
        <w:t xml:space="preserve">54. Revocation and Reconciliation</w:t>
      </w:r>
    </w:p>
    <w:p>
      <w:pPr>
        <w:pStyle w:val="FirstParagraph"/>
      </w:pPr>
      <w:r>
        <w:t xml:space="preserve">Removing operational permission triggers provider-side revocation where AccuSec manages the entitlement.</w:t>
      </w:r>
    </w:p>
    <w:p>
      <w:pPr>
        <w:pStyle w:val="BodyText"/>
      </w:pPr>
      <w:r>
        <w:t xml:space="preserve">AccuSec periodically compares:</w:t>
      </w:r>
    </w:p>
    <w:p>
      <w:pPr>
        <w:pStyle w:val="SourceCode"/>
      </w:pPr>
      <w:r>
        <w:rPr>
          <w:rStyle w:val="VerbatimChar"/>
        </w:rPr>
        <w:t xml:space="preserve">Desired AccuSec Entitlement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Observed Provider Entitlement</w:t>
      </w:r>
    </w:p>
    <w:p>
      <w:pPr>
        <w:pStyle w:val="FirstParagraph"/>
      </w:pPr>
      <w:r>
        <w:t xml:space="preserve">Possible outcomes:</w:t>
      </w:r>
    </w:p>
    <w:p>
      <w:pPr>
        <w:pStyle w:val="SourceCode"/>
      </w:pPr>
      <w:r>
        <w:rPr>
          <w:rStyle w:val="VerbatimChar"/>
        </w:rPr>
        <w:t xml:space="preserve">IN_SYNC</w:t>
      </w:r>
      <w:r>
        <w:br/>
      </w:r>
      <w:r>
        <w:rPr>
          <w:rStyle w:val="VerbatimChar"/>
        </w:rPr>
        <w:t xml:space="preserve">MISSING</w:t>
      </w:r>
      <w:r>
        <w:br/>
      </w:r>
      <w:r>
        <w:rPr>
          <w:rStyle w:val="VerbatimChar"/>
        </w:rPr>
        <w:t xml:space="preserve">EXTRA_PRIVILEGE</w:t>
      </w:r>
      <w:r>
        <w:br/>
      </w:r>
      <w:r>
        <w:rPr>
          <w:rStyle w:val="VerbatimChar"/>
        </w:rPr>
        <w:t xml:space="preserve">MODIFIED</w:t>
      </w:r>
      <w:r>
        <w:br/>
      </w:r>
      <w:r>
        <w:rPr>
          <w:rStyle w:val="VerbatimChar"/>
        </w:rPr>
        <w:t xml:space="preserve">IDENTITY_MISSING</w:t>
      </w:r>
      <w:r>
        <w:br/>
      </w:r>
      <w:r>
        <w:rPr>
          <w:rStyle w:val="VerbatimChar"/>
        </w:rPr>
        <w:t xml:space="preserve">SCOPE_MISMATCH</w:t>
      </w:r>
      <w:r>
        <w:br/>
      </w:r>
      <w:r>
        <w:rPr>
          <w:rStyle w:val="VerbatimChar"/>
        </w:rPr>
        <w:t xml:space="preserve">UNKNOWN</w:t>
      </w:r>
    </w:p>
    <w:p>
      <w:r>
        <w:pict>
          <v:rect style="width:0;height:1.5pt" o:hralign="center" o:hrstd="t" o:hr="t"/>
        </w:pict>
      </w:r>
    </w:p>
    <w:bookmarkEnd w:id="79"/>
    <w:bookmarkStart w:id="83" w:name="provider-identity-mapping-models"/>
    <w:p>
      <w:pPr>
        <w:pStyle w:val="Heading1"/>
      </w:pPr>
      <w:r>
        <w:t xml:space="preserve">55. Provider Identity Mapping Models</w:t>
      </w:r>
    </w:p>
    <w:p>
      <w:pPr>
        <w:pStyle w:val="FirstParagraph"/>
      </w:pPr>
      <w:r>
        <w:t xml:space="preserve">Supported patterns include:</w:t>
      </w:r>
    </w:p>
    <w:bookmarkStart w:id="80" w:name="user-mapped-identity"/>
    <w:p>
      <w:pPr>
        <w:pStyle w:val="Heading2"/>
      </w:pPr>
      <w:r>
        <w:t xml:space="preserve">User-Mapped Identity</w:t>
      </w:r>
    </w:p>
    <w:p>
      <w:pPr>
        <w:pStyle w:val="SourceCode"/>
      </w:pPr>
      <w:r>
        <w:rPr>
          <w:rStyle w:val="VerbatimChar"/>
        </w:rPr>
        <w:t xml:space="preserve">Alice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Native Provider Principal</w:t>
      </w:r>
    </w:p>
    <w:bookmarkEnd w:id="80"/>
    <w:bookmarkStart w:id="81" w:name="shared-bounded-role"/>
    <w:p>
      <w:pPr>
        <w:pStyle w:val="Heading2"/>
      </w:pPr>
      <w:r>
        <w:t xml:space="preserve">Shared Bounded Role</w:t>
      </w:r>
    </w:p>
    <w:p>
      <w:pPr>
        <w:pStyle w:val="SourceCode"/>
      </w:pPr>
      <w:r>
        <w:rPr>
          <w:rStyle w:val="VerbatimChar"/>
        </w:rPr>
        <w:t xml:space="preserve">Alice / Bob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AccuSec Authorization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Coke-VM-Operator Role</w:t>
      </w:r>
    </w:p>
    <w:bookmarkEnd w:id="81"/>
    <w:bookmarkStart w:id="82" w:name="agent-workload-identity"/>
    <w:p>
      <w:pPr>
        <w:pStyle w:val="Heading2"/>
      </w:pPr>
      <w:r>
        <w:t xml:space="preserve">Agent Workload Identity</w:t>
      </w:r>
    </w:p>
    <w:p>
      <w:pPr>
        <w:pStyle w:val="SourceCode"/>
      </w:pPr>
      <w:r>
        <w:rPr>
          <w:rStyle w:val="VerbatimChar"/>
        </w:rPr>
        <w:t xml:space="preserve">AI Engineer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Dedicated or bounded provider workload identity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preferred-identity-strategy"/>
    <w:p>
      <w:pPr>
        <w:pStyle w:val="Heading1"/>
      </w:pPr>
      <w:r>
        <w:t xml:space="preserve">56. Preferred Identity Strategy</w:t>
      </w:r>
    </w:p>
    <w:p>
      <w:pPr>
        <w:pStyle w:val="FirstParagraph"/>
      </w:pPr>
      <w:r>
        <w:t xml:space="preserve">Prefer:</w:t>
      </w:r>
    </w:p>
    <w:p>
      <w:pPr>
        <w:pStyle w:val="Compact"/>
        <w:numPr>
          <w:ilvl w:val="0"/>
          <w:numId w:val="1030"/>
        </w:numPr>
      </w:pPr>
      <w:r>
        <w:t xml:space="preserve">federation;</w:t>
      </w:r>
    </w:p>
    <w:p>
      <w:pPr>
        <w:pStyle w:val="Compact"/>
        <w:numPr>
          <w:ilvl w:val="0"/>
          <w:numId w:val="1030"/>
        </w:numPr>
      </w:pPr>
      <w:r>
        <w:t xml:space="preserve">short-lived credentials;</w:t>
      </w:r>
    </w:p>
    <w:p>
      <w:pPr>
        <w:pStyle w:val="Compact"/>
        <w:numPr>
          <w:ilvl w:val="0"/>
          <w:numId w:val="1030"/>
        </w:numPr>
      </w:pPr>
      <w:r>
        <w:t xml:space="preserve">workload identities;</w:t>
      </w:r>
    </w:p>
    <w:p>
      <w:pPr>
        <w:pStyle w:val="Compact"/>
        <w:numPr>
          <w:ilvl w:val="0"/>
          <w:numId w:val="1030"/>
        </w:numPr>
      </w:pPr>
      <w:r>
        <w:t xml:space="preserve">AssumeRole-style mechanisms;</w:t>
      </w:r>
    </w:p>
    <w:p>
      <w:pPr>
        <w:pStyle w:val="Compact"/>
        <w:numPr>
          <w:ilvl w:val="0"/>
          <w:numId w:val="1030"/>
        </w:numPr>
      </w:pPr>
      <w:r>
        <w:t xml:space="preserve">managed identities;</w:t>
      </w:r>
    </w:p>
    <w:p>
      <w:pPr>
        <w:pStyle w:val="Compact"/>
        <w:numPr>
          <w:ilvl w:val="0"/>
          <w:numId w:val="1030"/>
        </w:numPr>
      </w:pPr>
      <w:r>
        <w:t xml:space="preserve">service principals.</w:t>
      </w:r>
    </w:p>
    <w:p>
      <w:pPr>
        <w:pStyle w:val="FirstParagraph"/>
      </w:pPr>
      <w:r>
        <w:t xml:space="preserve">Avoid unnecessary permanent credentials.</w:t>
      </w:r>
    </w:p>
    <w:p>
      <w:r>
        <w:pict>
          <v:rect style="width:0;height:1.5pt" o:hralign="center" o:hrstd="t" o:hr="t"/>
        </w:pict>
      </w:r>
    </w:p>
    <w:bookmarkEnd w:id="84"/>
    <w:bookmarkStart w:id="85" w:name="endpoint-identity-selection"/>
    <w:p>
      <w:pPr>
        <w:pStyle w:val="Heading1"/>
      </w:pPr>
      <w:r>
        <w:t xml:space="preserve">57. Endpoint Identity Selection</w:t>
      </w:r>
    </w:p>
    <w:p>
      <w:pPr>
        <w:pStyle w:val="FirstParagraph"/>
      </w:pPr>
      <w:r>
        <w:t xml:space="preserve">Endpoint identity selection must be deterministic.</w:t>
      </w:r>
    </w:p>
    <w:p>
      <w:pPr>
        <w:pStyle w:val="BodyText"/>
      </w:pPr>
      <w:r>
        <w:t xml:space="preserve">Inputs may include: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Datacenter</w:t>
      </w:r>
      <w:r>
        <w:br/>
      </w:r>
      <w:r>
        <w:rPr>
          <w:rStyle w:val="VerbatimChar"/>
        </w:rPr>
        <w:t xml:space="preserve">Principal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Operation</w:t>
      </w:r>
      <w:r>
        <w:br/>
      </w: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Scope</w:t>
      </w:r>
    </w:p>
    <w:p>
      <w:pPr>
        <w:pStyle w:val="FirstParagraph"/>
      </w:pPr>
      <w:r>
        <w:t xml:space="preserve">The LLM must never select or escalate to a more privileged Endpoint Identity.</w:t>
      </w:r>
    </w:p>
    <w:p>
      <w:r>
        <w:pict>
          <v:rect style="width:0;height:1.5pt" o:hralign="center" o:hrstd="t" o:hr="t"/>
        </w:pict>
      </w:r>
    </w:p>
    <w:bookmarkEnd w:id="85"/>
    <w:bookmarkStart w:id="86" w:name="entity-model"/>
    <w:p>
      <w:pPr>
        <w:pStyle w:val="Heading1"/>
      </w:pPr>
      <w:r>
        <w:t xml:space="preserve">58. Entity Model</w:t>
      </w:r>
    </w:p>
    <w:p>
      <w:pPr>
        <w:pStyle w:val="FirstParagraph"/>
      </w:pPr>
      <w:r>
        <w:t xml:space="preserve">Managed Entities include infrastructure and virtual/logical resources such as:</w:t>
      </w:r>
    </w:p>
    <w:p>
      <w:pPr>
        <w:pStyle w:val="Compact"/>
        <w:numPr>
          <w:ilvl w:val="0"/>
          <w:numId w:val="1031"/>
        </w:numPr>
      </w:pPr>
      <w:r>
        <w:t xml:space="preserve">Clusters</w:t>
      </w:r>
    </w:p>
    <w:p>
      <w:pPr>
        <w:pStyle w:val="Compact"/>
        <w:numPr>
          <w:ilvl w:val="0"/>
          <w:numId w:val="1031"/>
        </w:numPr>
      </w:pPr>
      <w:r>
        <w:t xml:space="preserve">Hosts</w:t>
      </w:r>
    </w:p>
    <w:p>
      <w:pPr>
        <w:pStyle w:val="Compact"/>
        <w:numPr>
          <w:ilvl w:val="0"/>
          <w:numId w:val="1031"/>
        </w:numPr>
      </w:pPr>
      <w:r>
        <w:t xml:space="preserve">VMs</w:t>
      </w:r>
    </w:p>
    <w:p>
      <w:pPr>
        <w:pStyle w:val="Compact"/>
        <w:numPr>
          <w:ilvl w:val="0"/>
          <w:numId w:val="1031"/>
        </w:numPr>
      </w:pPr>
      <w:r>
        <w:t xml:space="preserve">VPCs</w:t>
      </w:r>
    </w:p>
    <w:p>
      <w:pPr>
        <w:pStyle w:val="Compact"/>
        <w:numPr>
          <w:ilvl w:val="0"/>
          <w:numId w:val="1031"/>
        </w:numPr>
      </w:pPr>
      <w:r>
        <w:t xml:space="preserve">VNets</w:t>
      </w:r>
    </w:p>
    <w:p>
      <w:pPr>
        <w:pStyle w:val="Compact"/>
        <w:numPr>
          <w:ilvl w:val="0"/>
          <w:numId w:val="1031"/>
        </w:numPr>
      </w:pPr>
      <w:r>
        <w:t xml:space="preserve">Subnets</w:t>
      </w:r>
    </w:p>
    <w:p>
      <w:pPr>
        <w:pStyle w:val="Compact"/>
        <w:numPr>
          <w:ilvl w:val="0"/>
          <w:numId w:val="1031"/>
        </w:numPr>
      </w:pPr>
      <w:r>
        <w:t xml:space="preserve">Storage</w:t>
      </w:r>
    </w:p>
    <w:p>
      <w:pPr>
        <w:pStyle w:val="Compact"/>
        <w:numPr>
          <w:ilvl w:val="0"/>
          <w:numId w:val="1031"/>
        </w:numPr>
      </w:pPr>
      <w:r>
        <w:t xml:space="preserve">Volumes</w:t>
      </w:r>
    </w:p>
    <w:p>
      <w:pPr>
        <w:pStyle w:val="Compact"/>
        <w:numPr>
          <w:ilvl w:val="0"/>
          <w:numId w:val="1031"/>
        </w:numPr>
      </w:pPr>
      <w:r>
        <w:t xml:space="preserve">Security Groups</w:t>
      </w:r>
    </w:p>
    <w:p>
      <w:pPr>
        <w:pStyle w:val="Compact"/>
        <w:numPr>
          <w:ilvl w:val="0"/>
          <w:numId w:val="1031"/>
        </w:numPr>
      </w:pPr>
      <w:r>
        <w:t xml:space="preserve">Categories</w:t>
      </w:r>
    </w:p>
    <w:p>
      <w:pPr>
        <w:pStyle w:val="Compact"/>
        <w:numPr>
          <w:ilvl w:val="0"/>
          <w:numId w:val="1031"/>
        </w:numPr>
      </w:pPr>
      <w:r>
        <w:t xml:space="preserve">Kubernetes objects</w:t>
      </w:r>
    </w:p>
    <w:p>
      <w:pPr>
        <w:pStyle w:val="Compact"/>
        <w:numPr>
          <w:ilvl w:val="0"/>
          <w:numId w:val="1031"/>
        </w:numPr>
      </w:pPr>
      <w:r>
        <w:t xml:space="preserve">Applications</w:t>
      </w:r>
    </w:p>
    <w:p>
      <w:pPr>
        <w:pStyle w:val="FirstParagraph"/>
      </w:pPr>
      <w:r>
        <w:t xml:space="preserve">Each has one canonical:</w:t>
      </w:r>
    </w:p>
    <w:p>
      <w:pPr>
        <w:pStyle w:val="SourceCode"/>
      </w:pPr>
      <w:r>
        <w:rPr>
          <w:rStyle w:val="VerbatimChar"/>
        </w:rPr>
        <w:t xml:space="preserve">entity_id</w:t>
      </w:r>
    </w:p>
    <w:p>
      <w:pPr>
        <w:pStyle w:val="FirstParagraph"/>
      </w:pPr>
      <w:r>
        <w:t xml:space="preserve">Provider-native identity remains separately recorded.</w:t>
      </w:r>
    </w:p>
    <w:p>
      <w:r>
        <w:pict>
          <v:rect style="width:0;height:1.5pt" o:hralign="center" o:hrstd="t" o:hr="t"/>
        </w:pict>
      </w:r>
    </w:p>
    <w:bookmarkEnd w:id="86"/>
    <w:bookmarkStart w:id="87" w:name="entity-ownership"/>
    <w:p>
      <w:pPr>
        <w:pStyle w:val="Heading1"/>
      </w:pPr>
      <w:r>
        <w:t xml:space="preserve">59. Entity Ownership</w:t>
      </w:r>
    </w:p>
    <w:p>
      <w:pPr>
        <w:pStyle w:val="FirstParagraph"/>
      </w:pPr>
      <w:r>
        <w:t xml:space="preserve">Every Entity has one current owner.</w:t>
      </w:r>
    </w:p>
    <w:p>
      <w:pPr>
        <w:pStyle w:val="BodyText"/>
      </w:pPr>
      <w:r>
        <w:t xml:space="preserve">Owner may be:</w:t>
      </w:r>
    </w:p>
    <w:p>
      <w:pPr>
        <w:pStyle w:val="Compact"/>
        <w:numPr>
          <w:ilvl w:val="0"/>
          <w:numId w:val="1032"/>
        </w:numPr>
      </w:pPr>
      <w:r>
        <w:t xml:space="preserve">Human Principal</w:t>
      </w:r>
    </w:p>
    <w:p>
      <w:pPr>
        <w:pStyle w:val="Compact"/>
        <w:numPr>
          <w:ilvl w:val="0"/>
          <w:numId w:val="1032"/>
        </w:numPr>
      </w:pPr>
      <w:r>
        <w:t xml:space="preserve">AI Engineer Principal</w:t>
      </w:r>
    </w:p>
    <w:p>
      <w:pPr>
        <w:pStyle w:val="FirstParagraph"/>
      </w:pPr>
      <w:r>
        <w:t xml:space="preserve">Track separately:</w:t>
      </w:r>
    </w:p>
    <w:p>
      <w:pPr>
        <w:pStyle w:val="SourceCode"/>
      </w:pPr>
      <w:r>
        <w:rPr>
          <w:rStyle w:val="VerbatimChar"/>
        </w:rPr>
        <w:t xml:space="preserve">created_by_principal_id</w:t>
      </w:r>
      <w:r>
        <w:br/>
      </w:r>
      <w:r>
        <w:rPr>
          <w:rStyle w:val="VerbatimChar"/>
        </w:rPr>
        <w:t xml:space="preserve">owner_principal_id</w:t>
      </w:r>
    </w:p>
    <w:p>
      <w:pPr>
        <w:pStyle w:val="FirstParagraph"/>
      </w:pPr>
      <w:r>
        <w:t xml:space="preserve">Ownership transfer is human-authorized.</w:t>
      </w:r>
    </w:p>
    <w:p>
      <w:r>
        <w:pict>
          <v:rect style="width:0;height:1.5pt" o:hralign="center" o:hrstd="t" o:hr="t"/>
        </w:pict>
      </w:r>
    </w:p>
    <w:bookmarkEnd w:id="87"/>
    <w:bookmarkStart w:id="88" w:name="entity-sharing"/>
    <w:p>
      <w:pPr>
        <w:pStyle w:val="Heading1"/>
      </w:pPr>
      <w:r>
        <w:t xml:space="preserve">60. Entity Sharing</w:t>
      </w:r>
    </w:p>
    <w:p>
      <w:pPr>
        <w:pStyle w:val="FirstParagraph"/>
      </w:pPr>
      <w:r>
        <w:t xml:space="preserve">Entities may be shared between permitted Folders, Datacenters or Projects.</w:t>
      </w:r>
    </w:p>
    <w:p>
      <w:pPr>
        <w:pStyle w:val="BodyText"/>
      </w:pPr>
      <w:r>
        <w:t xml:space="preserve">Sharing:</w:t>
      </w:r>
    </w:p>
    <w:p>
      <w:pPr>
        <w:pStyle w:val="Compact"/>
        <w:numPr>
          <w:ilvl w:val="0"/>
          <w:numId w:val="1033"/>
        </w:numPr>
      </w:pPr>
      <w:r>
        <w:t xml:space="preserve">does not clone the provider resource;</w:t>
      </w:r>
    </w:p>
    <w:p>
      <w:pPr>
        <w:pStyle w:val="Compact"/>
        <w:numPr>
          <w:ilvl w:val="0"/>
          <w:numId w:val="1033"/>
        </w:numPr>
      </w:pPr>
      <w:r>
        <w:t xml:space="preserve">does not create a new canonical Entity ID;</w:t>
      </w:r>
    </w:p>
    <w:p>
      <w:pPr>
        <w:pStyle w:val="Compact"/>
        <w:numPr>
          <w:ilvl w:val="0"/>
          <w:numId w:val="1033"/>
        </w:numPr>
      </w:pPr>
      <w:r>
        <w:t xml:space="preserve">does not transfer ownership;</w:t>
      </w:r>
    </w:p>
    <w:p>
      <w:pPr>
        <w:pStyle w:val="Compact"/>
        <w:numPr>
          <w:ilvl w:val="0"/>
          <w:numId w:val="1033"/>
        </w:numPr>
      </w:pPr>
      <w:r>
        <w:t xml:space="preserve">does not automatically transfer source permissions.</w:t>
      </w:r>
    </w:p>
    <w:p>
      <w:pPr>
        <w:pStyle w:val="FirstParagraph"/>
      </w:pPr>
      <w:r>
        <w:t xml:space="preserve">Destination authorization is independently evaluated.</w:t>
      </w:r>
    </w:p>
    <w:p>
      <w:r>
        <w:pict>
          <v:rect style="width:0;height:1.5pt" o:hralign="center" o:hrstd="t" o:hr="t"/>
        </w:pict>
      </w:r>
    </w:p>
    <w:bookmarkEnd w:id="88"/>
    <w:bookmarkStart w:id="89" w:name="organizational-memory"/>
    <w:p>
      <w:pPr>
        <w:pStyle w:val="Heading1"/>
      </w:pPr>
      <w:r>
        <w:t xml:space="preserve">61. Organizational Memory</w:t>
      </w:r>
    </w:p>
    <w:p>
      <w:pPr>
        <w:pStyle w:val="FirstParagraph"/>
      </w:pPr>
      <w:r>
        <w:t xml:space="preserve">Each Tenant has exactly one logical Organizational Memory.</w:t>
      </w:r>
    </w:p>
    <w:p>
      <w:pPr>
        <w:pStyle w:val="BodyText"/>
      </w:pPr>
      <w:r>
        <w:t xml:space="preserve">Organizational Memory represents persistent governed enterprise knowledge.</w:t>
      </w:r>
    </w:p>
    <w:p>
      <w:pPr>
        <w:pStyle w:val="BodyText"/>
      </w:pPr>
      <w:r>
        <w:t xml:space="preserve">Sources may include:</w:t>
      </w:r>
    </w:p>
    <w:p>
      <w:pPr>
        <w:pStyle w:val="Compact"/>
        <w:numPr>
          <w:ilvl w:val="0"/>
          <w:numId w:val="1034"/>
        </w:numPr>
      </w:pPr>
      <w:r>
        <w:t xml:space="preserve">infrastructure APIs;</w:t>
      </w:r>
    </w:p>
    <w:p>
      <w:pPr>
        <w:pStyle w:val="Compact"/>
        <w:numPr>
          <w:ilvl w:val="0"/>
          <w:numId w:val="1034"/>
        </w:numPr>
      </w:pPr>
      <w:r>
        <w:t xml:space="preserve">MCP Servers;</w:t>
      </w:r>
    </w:p>
    <w:p>
      <w:pPr>
        <w:pStyle w:val="Compact"/>
        <w:numPr>
          <w:ilvl w:val="0"/>
          <w:numId w:val="1034"/>
        </w:numPr>
      </w:pPr>
      <w:r>
        <w:t xml:space="preserve">CMDB;</w:t>
      </w:r>
    </w:p>
    <w:p>
      <w:pPr>
        <w:pStyle w:val="Compact"/>
        <w:numPr>
          <w:ilvl w:val="0"/>
          <w:numId w:val="1034"/>
        </w:numPr>
      </w:pPr>
      <w:r>
        <w:t xml:space="preserve">monitoring;</w:t>
      </w:r>
    </w:p>
    <w:p>
      <w:pPr>
        <w:pStyle w:val="Compact"/>
        <w:numPr>
          <w:ilvl w:val="0"/>
          <w:numId w:val="1034"/>
        </w:numPr>
      </w:pPr>
      <w:r>
        <w:t xml:space="preserve">logs;</w:t>
      </w:r>
    </w:p>
    <w:p>
      <w:pPr>
        <w:pStyle w:val="Compact"/>
        <w:numPr>
          <w:ilvl w:val="0"/>
          <w:numId w:val="1034"/>
        </w:numPr>
      </w:pPr>
      <w:r>
        <w:t xml:space="preserve">ITSM;</w:t>
      </w:r>
    </w:p>
    <w:p>
      <w:pPr>
        <w:pStyle w:val="Compact"/>
        <w:numPr>
          <w:ilvl w:val="0"/>
          <w:numId w:val="1034"/>
        </w:numPr>
      </w:pPr>
      <w:r>
        <w:t xml:space="preserve">cloud managers;</w:t>
      </w:r>
    </w:p>
    <w:p>
      <w:pPr>
        <w:pStyle w:val="Compact"/>
        <w:numPr>
          <w:ilvl w:val="0"/>
          <w:numId w:val="1034"/>
        </w:numPr>
      </w:pPr>
      <w:r>
        <w:t xml:space="preserve">documents;</w:t>
      </w:r>
    </w:p>
    <w:p>
      <w:pPr>
        <w:pStyle w:val="Compact"/>
        <w:numPr>
          <w:ilvl w:val="0"/>
          <w:numId w:val="1034"/>
        </w:numPr>
      </w:pPr>
      <w:r>
        <w:t xml:space="preserve">PDFs;</w:t>
      </w:r>
    </w:p>
    <w:p>
      <w:pPr>
        <w:pStyle w:val="Compact"/>
        <w:numPr>
          <w:ilvl w:val="0"/>
          <w:numId w:val="1034"/>
        </w:numPr>
      </w:pPr>
      <w:r>
        <w:t xml:space="preserve">spreadsheets;</w:t>
      </w:r>
    </w:p>
    <w:p>
      <w:pPr>
        <w:pStyle w:val="Compact"/>
        <w:numPr>
          <w:ilvl w:val="0"/>
          <w:numId w:val="1034"/>
        </w:numPr>
      </w:pPr>
      <w:r>
        <w:t xml:space="preserve">runbooks;</w:t>
      </w:r>
    </w:p>
    <w:p>
      <w:pPr>
        <w:pStyle w:val="Compact"/>
        <w:numPr>
          <w:ilvl w:val="0"/>
          <w:numId w:val="1034"/>
        </w:numPr>
      </w:pPr>
      <w:r>
        <w:t xml:space="preserve">wikis;</w:t>
      </w:r>
    </w:p>
    <w:p>
      <w:pPr>
        <w:pStyle w:val="Compact"/>
        <w:numPr>
          <w:ilvl w:val="0"/>
          <w:numId w:val="1034"/>
        </w:numPr>
      </w:pPr>
      <w:r>
        <w:t xml:space="preserve">support articles;</w:t>
      </w:r>
    </w:p>
    <w:p>
      <w:pPr>
        <w:pStyle w:val="Compact"/>
        <w:numPr>
          <w:ilvl w:val="0"/>
          <w:numId w:val="1034"/>
        </w:numPr>
      </w:pPr>
      <w:r>
        <w:t xml:space="preserve">incident reports;</w:t>
      </w:r>
    </w:p>
    <w:p>
      <w:pPr>
        <w:pStyle w:val="Compact"/>
        <w:numPr>
          <w:ilvl w:val="0"/>
          <w:numId w:val="1034"/>
        </w:numPr>
      </w:pPr>
      <w:r>
        <w:t xml:space="preserve">tickets;</w:t>
      </w:r>
    </w:p>
    <w:p>
      <w:pPr>
        <w:pStyle w:val="Compact"/>
        <w:numPr>
          <w:ilvl w:val="0"/>
          <w:numId w:val="1034"/>
        </w:numPr>
      </w:pPr>
      <w:r>
        <w:t xml:space="preserve">policies;</w:t>
      </w:r>
    </w:p>
    <w:p>
      <w:pPr>
        <w:pStyle w:val="Compact"/>
        <w:numPr>
          <w:ilvl w:val="0"/>
          <w:numId w:val="1034"/>
        </w:numPr>
      </w:pPr>
      <w:r>
        <w:t xml:space="preserve">enterprise files.</w:t>
      </w:r>
    </w:p>
    <w:p>
      <w:r>
        <w:pict>
          <v:rect style="width:0;height:1.5pt" o:hralign="center" o:hrstd="t" o:hr="t"/>
        </w:pict>
      </w:r>
    </w:p>
    <w:bookmarkEnd w:id="89"/>
    <w:bookmarkStart w:id="90" w:name="organizational-memory-metadata"/>
    <w:p>
      <w:pPr>
        <w:pStyle w:val="Heading1"/>
      </w:pPr>
      <w:r>
        <w:t xml:space="preserve">62. Organizational Memory Metadata</w:t>
      </w:r>
    </w:p>
    <w:p>
      <w:pPr>
        <w:pStyle w:val="FirstParagraph"/>
      </w:pPr>
      <w:r>
        <w:t xml:space="preserve">Memory objects should preserve:</w:t>
      </w:r>
    </w:p>
    <w:p>
      <w:pPr>
        <w:pStyle w:val="SourceCode"/>
      </w:pPr>
      <w:r>
        <w:rPr>
          <w:rStyle w:val="VerbatimChar"/>
        </w:rPr>
        <w:t xml:space="preserve">memory_object_id</w:t>
      </w:r>
      <w:r>
        <w:br/>
      </w:r>
      <w:r>
        <w:rPr>
          <w:rStyle w:val="VerbatimChar"/>
        </w:rPr>
        <w:t xml:space="preserve">tenant_id</w:t>
      </w:r>
      <w:r>
        <w:br/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source_system</w:t>
      </w:r>
      <w:r>
        <w:br/>
      </w: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source_reference</w:t>
      </w:r>
      <w:r>
        <w:br/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datacenter_id</w:t>
      </w:r>
      <w:r>
        <w:br/>
      </w:r>
      <w:r>
        <w:rPr>
          <w:rStyle w:val="VerbatimChar"/>
        </w:rPr>
        <w:t xml:space="preserve">folder associations</w:t>
      </w:r>
      <w:r>
        <w:br/>
      </w:r>
      <w:r>
        <w:br/>
      </w:r>
      <w:r>
        <w:rPr>
          <w:rStyle w:val="VerbatimChar"/>
        </w:rPr>
        <w:t xml:space="preserve">entity associations</w:t>
      </w:r>
      <w:r>
        <w:br/>
      </w: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provider_type</w:t>
      </w:r>
      <w:r>
        <w:br/>
      </w:r>
      <w:r>
        <w:rPr>
          <w:rStyle w:val="VerbatimChar"/>
        </w:rPr>
        <w:t xml:space="preserve">endpoint_id</w:t>
      </w:r>
      <w:r>
        <w:br/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creator</w:t>
      </w:r>
      <w:r>
        <w:br/>
      </w:r>
      <w:r>
        <w:br/>
      </w:r>
      <w:r>
        <w:rPr>
          <w:rStyle w:val="VerbatimChar"/>
        </w:rPr>
        <w:t xml:space="preserve">categories</w:t>
      </w:r>
      <w:r>
        <w:br/>
      </w:r>
      <w:r>
        <w:rPr>
          <w:rStyle w:val="VerbatimChar"/>
        </w:rPr>
        <w:t xml:space="preserve">labels</w:t>
      </w:r>
      <w:r>
        <w:br/>
      </w:r>
      <w:r>
        <w:rPr>
          <w:rStyle w:val="VerbatimChar"/>
        </w:rPr>
        <w:t xml:space="preserve">tags</w:t>
      </w:r>
      <w:r>
        <w:br/>
      </w:r>
      <w:r>
        <w:br/>
      </w:r>
      <w:r>
        <w:rPr>
          <w:rStyle w:val="VerbatimChar"/>
        </w:rPr>
        <w:t xml:space="preserve">classification</w:t>
      </w:r>
      <w:r>
        <w:br/>
      </w:r>
      <w:r>
        <w:rPr>
          <w:rStyle w:val="VerbatimChar"/>
        </w:rPr>
        <w:t xml:space="preserve">ACL</w:t>
      </w:r>
      <w:r>
        <w:br/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provenance</w:t>
      </w:r>
      <w:r>
        <w:br/>
      </w:r>
      <w:r>
        <w:rPr>
          <w:rStyle w:val="VerbatimChar"/>
        </w:rPr>
        <w:t xml:space="preserve">timestamps</w:t>
      </w:r>
    </w:p>
    <w:p>
      <w:r>
        <w:pict>
          <v:rect style="width:0;height:1.5pt" o:hralign="center" o:hrstd="t" o:hr="t"/>
        </w:pict>
      </w:r>
    </w:p>
    <w:bookmarkEnd w:id="90"/>
    <w:bookmarkStart w:id="91" w:name="organizational-memory-indexing"/>
    <w:p>
      <w:pPr>
        <w:pStyle w:val="Heading1"/>
      </w:pPr>
      <w:r>
        <w:t xml:space="preserve">63. Organizational Memory Indexing</w:t>
      </w:r>
    </w:p>
    <w:p>
      <w:pPr>
        <w:pStyle w:val="FirstParagraph"/>
      </w:pPr>
      <w:r>
        <w:t xml:space="preserve">Memory shall be logically indexable by: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Datacenter</w:t>
      </w:r>
      <w:r>
        <w:br/>
      </w:r>
      <w:r>
        <w:rPr>
          <w:rStyle w:val="VerbatimChar"/>
        </w:rPr>
        <w:t xml:space="preserve">Folder</w:t>
      </w:r>
      <w:r>
        <w:br/>
      </w: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Entity Type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Human</w:t>
      </w:r>
      <w:r>
        <w:br/>
      </w:r>
      <w:r>
        <w:rPr>
          <w:rStyle w:val="VerbatimChar"/>
        </w:rPr>
        <w:t xml:space="preserve">Group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Creator</w:t>
      </w:r>
      <w:r>
        <w:br/>
      </w:r>
      <w:r>
        <w:rPr>
          <w:rStyle w:val="VerbatimChar"/>
        </w:rPr>
        <w:t xml:space="preserve">Operation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Label</w:t>
      </w:r>
      <w:r>
        <w:br/>
      </w:r>
      <w:r>
        <w:rPr>
          <w:rStyle w:val="VerbatimChar"/>
        </w:rPr>
        <w:t xml:space="preserve">Tag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Classification</w:t>
      </w:r>
      <w:r>
        <w:br/>
      </w:r>
      <w:r>
        <w:rPr>
          <w:rStyle w:val="VerbatimChar"/>
        </w:rPr>
        <w:t xml:space="preserve">ACL Subject</w:t>
      </w:r>
    </w:p>
    <w:p>
      <w:r>
        <w:pict>
          <v:rect style="width:0;height:1.5pt" o:hralign="center" o:hrstd="t" o:hr="t"/>
        </w:pict>
      </w:r>
    </w:p>
    <w:bookmarkEnd w:id="91"/>
    <w:bookmarkStart w:id="92" w:name="source-acl-preservation"/>
    <w:p>
      <w:pPr>
        <w:pStyle w:val="Heading1"/>
      </w:pPr>
      <w:r>
        <w:t xml:space="preserve">64. Source ACL Preservation</w:t>
      </w:r>
    </w:p>
    <w:p>
      <w:pPr>
        <w:pStyle w:val="FirstParagraph"/>
      </w:pPr>
      <w:r>
        <w:t xml:space="preserve">Enterprise documents ingested into Organizational Memory preserve applicable source access controls.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5"/>
        </w:numPr>
      </w:pPr>
      <w:r>
        <w:t xml:space="preserve">file ACL;</w:t>
      </w:r>
    </w:p>
    <w:p>
      <w:pPr>
        <w:pStyle w:val="Compact"/>
        <w:numPr>
          <w:ilvl w:val="0"/>
          <w:numId w:val="1035"/>
        </w:numPr>
      </w:pPr>
      <w:r>
        <w:t xml:space="preserve">document ACL;</w:t>
      </w:r>
    </w:p>
    <w:p>
      <w:pPr>
        <w:pStyle w:val="Compact"/>
        <w:numPr>
          <w:ilvl w:val="0"/>
          <w:numId w:val="1035"/>
        </w:numPr>
      </w:pPr>
      <w:r>
        <w:t xml:space="preserve">SharePoint permissions;</w:t>
      </w:r>
    </w:p>
    <w:p>
      <w:pPr>
        <w:pStyle w:val="Compact"/>
        <w:numPr>
          <w:ilvl w:val="0"/>
          <w:numId w:val="1035"/>
        </w:numPr>
      </w:pPr>
      <w:r>
        <w:t xml:space="preserve">Google Drive permissions;</w:t>
      </w:r>
    </w:p>
    <w:p>
      <w:pPr>
        <w:pStyle w:val="Compact"/>
        <w:numPr>
          <w:ilvl w:val="0"/>
          <w:numId w:val="1035"/>
        </w:numPr>
      </w:pPr>
      <w:r>
        <w:t xml:space="preserve">ticket visibility;</w:t>
      </w:r>
    </w:p>
    <w:p>
      <w:pPr>
        <w:pStyle w:val="Compact"/>
        <w:numPr>
          <w:ilvl w:val="0"/>
          <w:numId w:val="1035"/>
        </w:numPr>
      </w:pPr>
      <w:r>
        <w:t xml:space="preserve">wiki permissions;</w:t>
      </w:r>
    </w:p>
    <w:p>
      <w:pPr>
        <w:pStyle w:val="Compact"/>
        <w:numPr>
          <w:ilvl w:val="0"/>
          <w:numId w:val="1035"/>
        </w:numPr>
      </w:pPr>
      <w:r>
        <w:t xml:space="preserve">knowledge-base restrictions.</w:t>
      </w:r>
    </w:p>
    <w:p>
      <w:pPr>
        <w:pStyle w:val="FirstParagraph"/>
      </w:pPr>
      <w:r>
        <w:t xml:space="preserve">Ingestion must not broaden source access.</w:t>
      </w:r>
    </w:p>
    <w:p>
      <w:r>
        <w:pict>
          <v:rect style="width:0;height:1.5pt" o:hralign="center" o:hrstd="t" o:hr="t"/>
        </w:pict>
      </w:r>
    </w:p>
    <w:bookmarkEnd w:id="92"/>
    <w:bookmarkStart w:id="93" w:name="organizational-context-service"/>
    <w:p>
      <w:pPr>
        <w:pStyle w:val="Heading1"/>
      </w:pPr>
      <w:r>
        <w:t xml:space="preserve">65. Organizational Context Service</w:t>
      </w:r>
    </w:p>
    <w:p>
      <w:pPr>
        <w:pStyle w:val="FirstParagraph"/>
      </w:pPr>
      <w:r>
        <w:t xml:space="preserve">Organizational Context is an authorized, task-specific view over Organizational Memory.</w:t>
      </w:r>
    </w:p>
    <w:p>
      <w:pPr>
        <w:pStyle w:val="SourceCode"/>
      </w:pPr>
      <w:r>
        <w:rPr>
          <w:rStyle w:val="VerbatimChar"/>
        </w:rPr>
        <w:t xml:space="preserve">Organizational Memory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Tenant-wide persistent knowledge</w:t>
      </w:r>
      <w:r>
        <w:br/>
      </w:r>
      <w:r>
        <w:br/>
      </w:r>
      <w:r>
        <w:rPr>
          <w:rStyle w:val="VerbatimChar"/>
        </w:rPr>
        <w:t xml:space="preserve">Organizational Context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Authorized task-specific subset</w:t>
      </w:r>
    </w:p>
    <w:p>
      <w:r>
        <w:pict>
          <v:rect style="width:0;height:1.5pt" o:hralign="center" o:hrstd="t" o:hr="t"/>
        </w:pict>
      </w:r>
    </w:p>
    <w:bookmarkEnd w:id="93"/>
    <w:bookmarkStart w:id="94" w:name="context-request"/>
    <w:p>
      <w:pPr>
        <w:pStyle w:val="Heading1"/>
      </w:pPr>
      <w:r>
        <w:t xml:space="preserve">66. Context Request</w:t>
      </w:r>
    </w:p>
    <w:p>
      <w:pPr>
        <w:pStyle w:val="FirstParagraph"/>
      </w:pPr>
      <w:r>
        <w:t xml:space="preserve">A Context request should contain: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datacenter_id</w:t>
      </w:r>
      <w:r>
        <w:br/>
      </w:r>
      <w:r>
        <w:rPr>
          <w:rStyle w:val="VerbatimChar"/>
        </w:rPr>
        <w:t xml:space="preserve">principal_id</w:t>
      </w:r>
      <w:r>
        <w:br/>
      </w:r>
      <w:r>
        <w:rPr>
          <w:rStyle w:val="VerbatimChar"/>
        </w:rPr>
        <w:t xml:space="preserve">principal_type</w:t>
      </w:r>
      <w:r>
        <w:br/>
      </w:r>
      <w:r>
        <w:rPr>
          <w:rStyle w:val="VerbatimChar"/>
        </w:rPr>
        <w:t xml:space="preserve">operation</w:t>
      </w:r>
      <w:r>
        <w:br/>
      </w:r>
      <w:r>
        <w:rPr>
          <w:rStyle w:val="VerbatimChar"/>
        </w:rPr>
        <w:t xml:space="preserve">target_entity</w:t>
      </w:r>
      <w:r>
        <w:br/>
      </w:r>
      <w:r>
        <w:rPr>
          <w:rStyle w:val="VerbatimChar"/>
        </w:rPr>
        <w:t xml:space="preserve">folder/scope</w:t>
      </w:r>
      <w:r>
        <w:br/>
      </w:r>
      <w:r>
        <w:rPr>
          <w:rStyle w:val="VerbatimChar"/>
        </w:rPr>
        <w:t xml:space="preserve">agent_id if applicable</w:t>
      </w:r>
      <w:r>
        <w:br/>
      </w:r>
      <w:r>
        <w:rPr>
          <w:rStyle w:val="VerbatimChar"/>
        </w:rPr>
        <w:t xml:space="preserve">context requirements</w:t>
      </w:r>
      <w:r>
        <w:br/>
      </w:r>
      <w:r>
        <w:rPr>
          <w:rStyle w:val="VerbatimChar"/>
        </w:rPr>
        <w:t xml:space="preserve">correlation_id</w:t>
      </w:r>
    </w:p>
    <w:p>
      <w:r>
        <w:pict>
          <v:rect style="width:0;height:1.5pt" o:hralign="center" o:hrstd="t" o:hr="t"/>
        </w:pict>
      </w:r>
    </w:p>
    <w:bookmarkEnd w:id="94"/>
    <w:bookmarkStart w:id="95" w:name="context-authorization"/>
    <w:p>
      <w:pPr>
        <w:pStyle w:val="Heading1"/>
      </w:pPr>
      <w:r>
        <w:t xml:space="preserve">67. Context Authorization</w:t>
      </w:r>
    </w:p>
    <w:p>
      <w:pPr>
        <w:pStyle w:val="FirstParagraph"/>
      </w:pPr>
      <w:r>
        <w:t xml:space="preserve">Effective Context is:</w:t>
      </w:r>
    </w:p>
    <w:p>
      <w:pPr>
        <w:pStyle w:val="SourceCode"/>
      </w:pPr>
      <w:r>
        <w:rPr>
          <w:rStyle w:val="VerbatimChar"/>
        </w:rPr>
        <w:t xml:space="preserve">Tenant Memory</w:t>
      </w:r>
      <w:r>
        <w:br/>
      </w:r>
      <w:r>
        <w:rPr>
          <w:rStyle w:val="VerbatimChar"/>
        </w:rPr>
        <w:t xml:space="preserve">∩</w:t>
      </w:r>
      <w:r>
        <w:br/>
      </w:r>
      <w:r>
        <w:rPr>
          <w:rStyle w:val="VerbatimChar"/>
        </w:rPr>
        <w:t xml:space="preserve">Project Authorization</w:t>
      </w:r>
      <w:r>
        <w:br/>
      </w:r>
      <w:r>
        <w:rPr>
          <w:rStyle w:val="VerbatimChar"/>
        </w:rPr>
        <w:t xml:space="preserve">∩</w:t>
      </w:r>
      <w:r>
        <w:br/>
      </w:r>
      <w:r>
        <w:rPr>
          <w:rStyle w:val="VerbatimChar"/>
        </w:rPr>
        <w:t xml:space="preserve">Datacenter Authorization</w:t>
      </w:r>
      <w:r>
        <w:br/>
      </w:r>
      <w:r>
        <w:rPr>
          <w:rStyle w:val="VerbatimChar"/>
        </w:rPr>
        <w:t xml:space="preserve">∩</w:t>
      </w:r>
      <w:r>
        <w:br/>
      </w:r>
      <w:r>
        <w:rPr>
          <w:rStyle w:val="VerbatimChar"/>
        </w:rPr>
        <w:t xml:space="preserve">Folder Authorization</w:t>
      </w:r>
      <w:r>
        <w:br/>
      </w:r>
      <w:r>
        <w:rPr>
          <w:rStyle w:val="VerbatimChar"/>
        </w:rPr>
        <w:t xml:space="preserve">∩</w:t>
      </w:r>
      <w:r>
        <w:br/>
      </w:r>
      <w:r>
        <w:rPr>
          <w:rStyle w:val="VerbatimChar"/>
        </w:rPr>
        <w:t xml:space="preserve">Entity Scope</w:t>
      </w:r>
      <w:r>
        <w:br/>
      </w:r>
      <w:r>
        <w:rPr>
          <w:rStyle w:val="VerbatimChar"/>
        </w:rPr>
        <w:t xml:space="preserve">∩</w:t>
      </w:r>
      <w:r>
        <w:br/>
      </w:r>
      <w:r>
        <w:rPr>
          <w:rStyle w:val="VerbatimChar"/>
        </w:rPr>
        <w:t xml:space="preserve">Role Permissions</w:t>
      </w:r>
      <w:r>
        <w:br/>
      </w:r>
      <w:r>
        <w:rPr>
          <w:rStyle w:val="VerbatimChar"/>
        </w:rPr>
        <w:t xml:space="preserve">∩</w:t>
      </w:r>
      <w:r>
        <w:br/>
      </w:r>
      <w:r>
        <w:rPr>
          <w:rStyle w:val="VerbatimChar"/>
        </w:rPr>
        <w:t xml:space="preserve">Source ACL</w:t>
      </w:r>
      <w:r>
        <w:br/>
      </w:r>
      <w:r>
        <w:rPr>
          <w:rStyle w:val="VerbatimChar"/>
        </w:rPr>
        <w:t xml:space="preserve">∩</w:t>
      </w:r>
      <w:r>
        <w:br/>
      </w:r>
      <w:r>
        <w:rPr>
          <w:rStyle w:val="VerbatimChar"/>
        </w:rPr>
        <w:t xml:space="preserve">Classification Policy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Authorized Context</w:t>
      </w:r>
    </w:p>
    <w:p>
      <w:r>
        <w:pict>
          <v:rect style="width:0;height:1.5pt" o:hralign="center" o:hrstd="t" o:hr="t"/>
        </w:pict>
      </w:r>
    </w:p>
    <w:bookmarkEnd w:id="95"/>
    <w:bookmarkStart w:id="96" w:name="authorization-before-the-llm"/>
    <w:p>
      <w:pPr>
        <w:pStyle w:val="Heading1"/>
      </w:pPr>
      <w:r>
        <w:t xml:space="preserve">68. Authorization Before the LLM</w:t>
      </w:r>
    </w:p>
    <w:p>
      <w:pPr>
        <w:pStyle w:val="FirstParagraph"/>
      </w:pPr>
      <w:r>
        <w:t xml:space="preserve">Unauthorized information must be removed before model invocation.</w:t>
      </w:r>
    </w:p>
    <w:p>
      <w:pPr>
        <w:pStyle w:val="BodyText"/>
      </w:pPr>
      <w:r>
        <w:t xml:space="preserve">Required:</w:t>
      </w:r>
    </w:p>
    <w:p>
      <w:pPr>
        <w:pStyle w:val="SourceCode"/>
      </w:pPr>
      <w:r>
        <w:rPr>
          <w:rStyle w:val="VerbatimChar"/>
        </w:rPr>
        <w:t xml:space="preserve">Authorize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Retrieve Permitted Data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Rank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Construct Context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LLM</w:t>
      </w:r>
    </w:p>
    <w:p>
      <w:pPr>
        <w:pStyle w:val="FirstParagraph"/>
      </w:pPr>
      <w:r>
        <w:t xml:space="preserve">RAG or vector similarity cannot bypass IAM or source ACLs.</w:t>
      </w:r>
    </w:p>
    <w:p>
      <w:r>
        <w:pict>
          <v:rect style="width:0;height:1.5pt" o:hralign="center" o:hrstd="t" o:hr="t"/>
        </w:pict>
      </w:r>
    </w:p>
    <w:bookmarkEnd w:id="96"/>
    <w:bookmarkStart w:id="97" w:name="iam-policy-decision-point"/>
    <w:p>
      <w:pPr>
        <w:pStyle w:val="Heading1"/>
      </w:pPr>
      <w:r>
        <w:t xml:space="preserve">69. IAM Policy Decision Point</w:t>
      </w:r>
    </w:p>
    <w:p>
      <w:pPr>
        <w:pStyle w:val="FirstParagraph"/>
      </w:pPr>
      <w:r>
        <w:t xml:space="preserve">Centralized IAM is the primary Policy Decision Point.</w:t>
      </w:r>
    </w:p>
    <w:p>
      <w:pPr>
        <w:pStyle w:val="BodyText"/>
      </w:pPr>
      <w:r>
        <w:t xml:space="preserve">Responsibilities include:</w:t>
      </w:r>
    </w:p>
    <w:p>
      <w:pPr>
        <w:pStyle w:val="Compact"/>
        <w:numPr>
          <w:ilvl w:val="0"/>
          <w:numId w:val="1036"/>
        </w:numPr>
      </w:pPr>
      <w:r>
        <w:t xml:space="preserve">Principal identity</w:t>
      </w:r>
    </w:p>
    <w:p>
      <w:pPr>
        <w:pStyle w:val="Compact"/>
        <w:numPr>
          <w:ilvl w:val="0"/>
          <w:numId w:val="1036"/>
        </w:numPr>
      </w:pPr>
      <w:r>
        <w:t xml:space="preserve">Project membership</w:t>
      </w:r>
    </w:p>
    <w:p>
      <w:pPr>
        <w:pStyle w:val="Compact"/>
        <w:numPr>
          <w:ilvl w:val="0"/>
          <w:numId w:val="1036"/>
        </w:numPr>
      </w:pPr>
      <w:r>
        <w:t xml:space="preserve">Datacenter authorization</w:t>
      </w:r>
    </w:p>
    <w:p>
      <w:pPr>
        <w:pStyle w:val="Compact"/>
        <w:numPr>
          <w:ilvl w:val="0"/>
          <w:numId w:val="1036"/>
        </w:numPr>
      </w:pPr>
      <w:r>
        <w:t xml:space="preserve">Folder authorization</w:t>
      </w:r>
    </w:p>
    <w:p>
      <w:pPr>
        <w:pStyle w:val="Compact"/>
        <w:numPr>
          <w:ilvl w:val="0"/>
          <w:numId w:val="1036"/>
        </w:numPr>
      </w:pPr>
      <w:r>
        <w:t xml:space="preserve">Roles</w:t>
      </w:r>
    </w:p>
    <w:p>
      <w:pPr>
        <w:pStyle w:val="Compact"/>
        <w:numPr>
          <w:ilvl w:val="0"/>
          <w:numId w:val="1036"/>
        </w:numPr>
      </w:pPr>
      <w:r>
        <w:t xml:space="preserve">Permissions</w:t>
      </w:r>
    </w:p>
    <w:p>
      <w:pPr>
        <w:pStyle w:val="Compact"/>
        <w:numPr>
          <w:ilvl w:val="0"/>
          <w:numId w:val="1036"/>
        </w:numPr>
      </w:pPr>
      <w:r>
        <w:t xml:space="preserve">Policies</w:t>
      </w:r>
    </w:p>
    <w:p>
      <w:pPr>
        <w:pStyle w:val="Compact"/>
        <w:numPr>
          <w:ilvl w:val="0"/>
          <w:numId w:val="1036"/>
        </w:numPr>
      </w:pPr>
      <w:r>
        <w:t xml:space="preserve">delegation</w:t>
      </w:r>
    </w:p>
    <w:p>
      <w:pPr>
        <w:pStyle w:val="Compact"/>
        <w:numPr>
          <w:ilvl w:val="0"/>
          <w:numId w:val="1036"/>
        </w:numPr>
      </w:pPr>
      <w:r>
        <w:t xml:space="preserve">entity security</w:t>
      </w:r>
    </w:p>
    <w:p>
      <w:pPr>
        <w:pStyle w:val="Compact"/>
        <w:numPr>
          <w:ilvl w:val="0"/>
          <w:numId w:val="1036"/>
        </w:numPr>
      </w:pPr>
      <w:r>
        <w:t xml:space="preserve">agent security</w:t>
      </w:r>
    </w:p>
    <w:p>
      <w:pPr>
        <w:pStyle w:val="Compact"/>
        <w:numPr>
          <w:ilvl w:val="0"/>
          <w:numId w:val="1036"/>
        </w:numPr>
      </w:pPr>
      <w:r>
        <w:t xml:space="preserve">MCP permissions</w:t>
      </w:r>
    </w:p>
    <w:p>
      <w:pPr>
        <w:pStyle w:val="Compact"/>
        <w:numPr>
          <w:ilvl w:val="0"/>
          <w:numId w:val="1036"/>
        </w:numPr>
      </w:pPr>
      <w:r>
        <w:t xml:space="preserve">authorization decisions</w:t>
      </w:r>
    </w:p>
    <w:p>
      <w:pPr>
        <w:pStyle w:val="Compact"/>
        <w:numPr>
          <w:ilvl w:val="0"/>
          <w:numId w:val="1036"/>
        </w:numPr>
      </w:pPr>
      <w:r>
        <w:t xml:space="preserve">approval obligations</w:t>
      </w:r>
    </w:p>
    <w:p>
      <w:pPr>
        <w:pStyle w:val="FirstParagraph"/>
      </w:pPr>
      <w:r>
        <w:t xml:space="preserve">No LLM participates in these decisions.</w:t>
      </w:r>
    </w:p>
    <w:p>
      <w:r>
        <w:pict>
          <v:rect style="width:0;height:1.5pt" o:hralign="center" o:hrstd="t" o:hr="t"/>
        </w:pict>
      </w:r>
    </w:p>
    <w:bookmarkEnd w:id="97"/>
    <w:bookmarkStart w:id="98" w:name="policy-enforcement-points"/>
    <w:p>
      <w:pPr>
        <w:pStyle w:val="Heading1"/>
      </w:pPr>
      <w:r>
        <w:t xml:space="preserve">70. Policy Enforcement Points</w:t>
      </w:r>
    </w:p>
    <w:p>
      <w:pPr>
        <w:pStyle w:val="FirstParagraph"/>
      </w:pPr>
      <w:r>
        <w:t xml:space="preserve">Primary enforcement points include:</w:t>
      </w:r>
    </w:p>
    <w:p>
      <w:pPr>
        <w:pStyle w:val="SourceCode"/>
      </w:pPr>
      <w:r>
        <w:rPr>
          <w:rStyle w:val="VerbatimChar"/>
        </w:rPr>
        <w:t xml:space="preserve">MCP Proxy</w:t>
      </w:r>
      <w:r>
        <w:br/>
      </w:r>
      <w:r>
        <w:rPr>
          <w:rStyle w:val="VerbatimChar"/>
        </w:rPr>
        <w:t xml:space="preserve">Organizational Context Service</w:t>
      </w:r>
      <w:r>
        <w:br/>
      </w:r>
      <w:r>
        <w:rPr>
          <w:rStyle w:val="VerbatimChar"/>
        </w:rPr>
        <w:t xml:space="preserve">Management APIs</w:t>
      </w:r>
      <w:r>
        <w:br/>
      </w:r>
      <w:r>
        <w:rPr>
          <w:rStyle w:val="VerbatimChar"/>
        </w:rPr>
        <w:t xml:space="preserve">Agent Runtime / Skill Harness</w:t>
      </w:r>
      <w:r>
        <w:br/>
      </w:r>
      <w:r>
        <w:rPr>
          <w:rStyle w:val="VerbatimChar"/>
        </w:rPr>
        <w:t xml:space="preserve">Entity Management</w:t>
      </w:r>
      <w:r>
        <w:br/>
      </w:r>
      <w:r>
        <w:rPr>
          <w:rStyle w:val="VerbatimChar"/>
        </w:rPr>
        <w:t xml:space="preserve">Endpoint Entitlement Provisioning</w:t>
      </w:r>
      <w:r>
        <w:br/>
      </w:r>
      <w:r>
        <w:rPr>
          <w:rStyle w:val="VerbatimChar"/>
        </w:rPr>
        <w:t xml:space="preserve">Administrative UI/API</w:t>
      </w:r>
    </w:p>
    <w:p>
      <w:r>
        <w:pict>
          <v:rect style="width:0;height:1.5pt" o:hralign="center" o:hrstd="t" o:hr="t"/>
        </w:pict>
      </w:r>
    </w:p>
    <w:bookmarkEnd w:id="98"/>
    <w:bookmarkStart w:id="99" w:name="mcp-runtool-authorization"/>
    <w:p>
      <w:pPr>
        <w:pStyle w:val="Heading1"/>
      </w:pPr>
      <w:r>
        <w:t xml:space="preserve">71. MCP RunTool Authorization</w:t>
      </w:r>
    </w:p>
    <w:p>
      <w:pPr>
        <w:pStyle w:val="FirstParagraph"/>
      </w:pPr>
      <w:r>
        <w:t xml:space="preserve">Before execution, MCP Proxy supplies IAM with sufficient context: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datacenter_id</w:t>
      </w:r>
      <w:r>
        <w:br/>
      </w:r>
      <w:r>
        <w:rPr>
          <w:rStyle w:val="VerbatimChar"/>
        </w:rPr>
        <w:t xml:space="preserve">folder_id</w:t>
      </w:r>
      <w:r>
        <w:br/>
      </w:r>
      <w:r>
        <w:br/>
      </w:r>
      <w:r>
        <w:rPr>
          <w:rStyle w:val="VerbatimChar"/>
        </w:rPr>
        <w:t xml:space="preserve">principal_id</w:t>
      </w:r>
      <w:r>
        <w:br/>
      </w:r>
      <w:r>
        <w:rPr>
          <w:rStyle w:val="VerbatimChar"/>
        </w:rPr>
        <w:t xml:space="preserve">principal_type</w:t>
      </w:r>
      <w:r>
        <w:br/>
      </w:r>
      <w:r>
        <w:rPr>
          <w:rStyle w:val="VerbatimChar"/>
        </w:rPr>
        <w:t xml:space="preserve">human_initiator_id</w:t>
      </w:r>
      <w:r>
        <w:br/>
      </w:r>
      <w:r>
        <w:rPr>
          <w:rStyle w:val="VerbatimChar"/>
        </w:rPr>
        <w:t xml:space="preserve">agent_id</w:t>
      </w:r>
      <w:r>
        <w:br/>
      </w:r>
      <w:r>
        <w:br/>
      </w:r>
      <w:r>
        <w:rPr>
          <w:rStyle w:val="VerbatimChar"/>
        </w:rPr>
        <w:t xml:space="preserve">endpoint_id</w:t>
      </w:r>
      <w:r>
        <w:br/>
      </w:r>
      <w:r>
        <w:rPr>
          <w:rStyle w:val="VerbatimChar"/>
        </w:rPr>
        <w:t xml:space="preserve">endpoint_identity_id</w:t>
      </w:r>
      <w:r>
        <w:br/>
      </w:r>
      <w:r>
        <w:br/>
      </w:r>
      <w:r>
        <w:rPr>
          <w:rStyle w:val="VerbatimChar"/>
        </w:rPr>
        <w:t xml:space="preserve">mcp_server_id</w:t>
      </w:r>
      <w:r>
        <w:br/>
      </w:r>
      <w:r>
        <w:rPr>
          <w:rStyle w:val="VerbatimChar"/>
        </w:rPr>
        <w:t xml:space="preserve">tool_id</w:t>
      </w:r>
      <w:r>
        <w:br/>
      </w:r>
      <w:r>
        <w:rPr>
          <w:rStyle w:val="VerbatimChar"/>
        </w:rPr>
        <w:t xml:space="preserve">permission_id</w:t>
      </w:r>
      <w:r>
        <w:br/>
      </w:r>
      <w:r>
        <w:rPr>
          <w:rStyle w:val="VerbatimChar"/>
        </w:rPr>
        <w:t xml:space="preserve">canonical_operation</w:t>
      </w:r>
      <w:r>
        <w:br/>
      </w:r>
      <w:r>
        <w:br/>
      </w:r>
      <w:r>
        <w:rPr>
          <w:rStyle w:val="VerbatimChar"/>
        </w:rPr>
        <w:t xml:space="preserve">entity_ids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parameters</w:t>
      </w:r>
      <w:r>
        <w:br/>
      </w:r>
      <w:r>
        <w:br/>
      </w:r>
      <w:r>
        <w:rPr>
          <w:rStyle w:val="VerbatimChar"/>
        </w:rPr>
        <w:t xml:space="preserve">approval_context</w:t>
      </w:r>
      <w:r>
        <w:br/>
      </w:r>
      <w:r>
        <w:rPr>
          <w:rStyle w:val="VerbatimChar"/>
        </w:rPr>
        <w:t xml:space="preserve">correlation_id</w:t>
      </w:r>
    </w:p>
    <w:p>
      <w:r>
        <w:pict>
          <v:rect style="width:0;height:1.5pt" o:hralign="center" o:hrstd="t" o:hr="t"/>
        </w:pict>
      </w:r>
    </w:p>
    <w:bookmarkEnd w:id="99"/>
    <w:bookmarkStart w:id="100" w:name="authorization-decision"/>
    <w:p>
      <w:pPr>
        <w:pStyle w:val="Heading1"/>
      </w:pPr>
      <w:r>
        <w:t xml:space="preserve">72. Authorization Decision</w:t>
      </w:r>
    </w:p>
    <w:p>
      <w:pPr>
        <w:pStyle w:val="FirstParagraph"/>
      </w:pPr>
      <w:r>
        <w:t xml:space="preserve">IAM provides deterministic decisions:</w:t>
      </w:r>
    </w:p>
    <w:p>
      <w:pPr>
        <w:pStyle w:val="SourceCode"/>
      </w:pPr>
      <w:r>
        <w:rPr>
          <w:rStyle w:val="VerbatimChar"/>
        </w:rPr>
        <w:t xml:space="preserve">PERMIT</w:t>
      </w:r>
      <w:r>
        <w:br/>
      </w:r>
      <w:r>
        <w:rPr>
          <w:rStyle w:val="VerbatimChar"/>
        </w:rPr>
        <w:t xml:space="preserve">DENY</w:t>
      </w:r>
      <w:r>
        <w:br/>
      </w:r>
      <w:r>
        <w:rPr>
          <w:rStyle w:val="VerbatimChar"/>
        </w:rPr>
        <w:t xml:space="preserve">INDETERMINATE</w:t>
      </w:r>
      <w:r>
        <w:br/>
      </w:r>
      <w:r>
        <w:rPr>
          <w:rStyle w:val="VerbatimChar"/>
        </w:rPr>
        <w:t xml:space="preserve">NOT_APPLICABLE</w:t>
      </w:r>
    </w:p>
    <w:p>
      <w:pPr>
        <w:pStyle w:val="FirstParagraph"/>
      </w:pPr>
      <w:r>
        <w:t xml:space="preserve">A permitted decision may carry obligations:</w:t>
      </w:r>
    </w:p>
    <w:p>
      <w:pPr>
        <w:pStyle w:val="SourceCode"/>
      </w:pPr>
      <w:r>
        <w:rPr>
          <w:rStyle w:val="VerbatimChar"/>
        </w:rPr>
        <w:t xml:space="preserve">REQUIRE_APPROVAL</w:t>
      </w:r>
      <w:r>
        <w:br/>
      </w:r>
      <w:r>
        <w:rPr>
          <w:rStyle w:val="VerbatimChar"/>
        </w:rPr>
        <w:t xml:space="preserve">REQUIRE_STEP_UP_AUTH</w:t>
      </w:r>
      <w:r>
        <w:br/>
      </w:r>
      <w:r>
        <w:rPr>
          <w:rStyle w:val="VerbatimChar"/>
        </w:rPr>
        <w:t xml:space="preserve">LIMIT_PARAMETERS</w:t>
      </w:r>
      <w:r>
        <w:br/>
      </w:r>
      <w:r>
        <w:rPr>
          <w:rStyle w:val="VerbatimChar"/>
        </w:rPr>
        <w:t xml:space="preserve">REQUIRE_FRESH_CONTEXT</w:t>
      </w:r>
    </w:p>
    <w:p>
      <w:pPr>
        <w:pStyle w:val="FirstParagraph"/>
      </w:pPr>
      <w:r>
        <w:t xml:space="preserve">Approval remains separate from authorization.</w:t>
      </w:r>
    </w:p>
    <w:p>
      <w:r>
        <w:pict>
          <v:rect style="width:0;height:1.5pt" o:hralign="center" o:hrstd="t" o:hr="t"/>
        </w:pict>
      </w:r>
    </w:p>
    <w:bookmarkEnd w:id="100"/>
    <w:bookmarkStart w:id="101" w:name="execution-authorization-sequence"/>
    <w:p>
      <w:pPr>
        <w:pStyle w:val="Heading1"/>
      </w:pPr>
      <w:r>
        <w:t xml:space="preserve">73. Execution Authorization Sequence</w:t>
      </w:r>
    </w:p>
    <w:p>
      <w:pPr>
        <w:pStyle w:val="SourceCode"/>
      </w:pPr>
      <w:r>
        <w:rPr>
          <w:rStyle w:val="VerbatimChar"/>
        </w:rPr>
        <w:t xml:space="preserve">Human / Agent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AccuSec IAM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AccuSec Operational Permission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Approval Obligations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Datacenter Resolution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Endpoint Resolution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Endpoint Identity Resolver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MCP Proxy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MCP Server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Provider IAM / RBAC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Managed Entity</w:t>
      </w:r>
    </w:p>
    <w:p>
      <w:r>
        <w:pict>
          <v:rect style="width:0;height:1.5pt" o:hralign="center" o:hrstd="t" o:hr="t"/>
        </w:pict>
      </w:r>
    </w:p>
    <w:bookmarkEnd w:id="101"/>
    <w:bookmarkStart w:id="102" w:name="audit-requirements"/>
    <w:p>
      <w:pPr>
        <w:pStyle w:val="Heading1"/>
      </w:pPr>
      <w:r>
        <w:t xml:space="preserve">74. Audit Requirements</w:t>
      </w:r>
    </w:p>
    <w:p>
      <w:pPr>
        <w:pStyle w:val="FirstParagraph"/>
      </w:pPr>
      <w:r>
        <w:t xml:space="preserve">Security-relevant events include:</w:t>
      </w:r>
    </w:p>
    <w:p>
      <w:pPr>
        <w:pStyle w:val="Compact"/>
        <w:numPr>
          <w:ilvl w:val="0"/>
          <w:numId w:val="1037"/>
        </w:numPr>
      </w:pPr>
      <w:r>
        <w:t xml:space="preserve">authentication;</w:t>
      </w:r>
    </w:p>
    <w:p>
      <w:pPr>
        <w:pStyle w:val="Compact"/>
        <w:numPr>
          <w:ilvl w:val="0"/>
          <w:numId w:val="1037"/>
        </w:numPr>
      </w:pPr>
      <w:r>
        <w:t xml:space="preserve">Project membership;</w:t>
      </w:r>
    </w:p>
    <w:p>
      <w:pPr>
        <w:pStyle w:val="Compact"/>
        <w:numPr>
          <w:ilvl w:val="0"/>
          <w:numId w:val="1037"/>
        </w:numPr>
      </w:pPr>
      <w:r>
        <w:t xml:space="preserve">Datacenter assignment;</w:t>
      </w:r>
    </w:p>
    <w:p>
      <w:pPr>
        <w:pStyle w:val="Compact"/>
        <w:numPr>
          <w:ilvl w:val="0"/>
          <w:numId w:val="1037"/>
        </w:numPr>
      </w:pPr>
      <w:r>
        <w:t xml:space="preserve">user admission/removal;</w:t>
      </w:r>
    </w:p>
    <w:p>
      <w:pPr>
        <w:pStyle w:val="Compact"/>
        <w:numPr>
          <w:ilvl w:val="0"/>
          <w:numId w:val="1037"/>
        </w:numPr>
      </w:pPr>
      <w:r>
        <w:t xml:space="preserve">agent creation;</w:t>
      </w:r>
    </w:p>
    <w:p>
      <w:pPr>
        <w:pStyle w:val="Compact"/>
        <w:numPr>
          <w:ilvl w:val="0"/>
          <w:numId w:val="1037"/>
        </w:numPr>
      </w:pPr>
      <w:r>
        <w:t xml:space="preserve">Role assignment;</w:t>
      </w:r>
    </w:p>
    <w:p>
      <w:pPr>
        <w:pStyle w:val="Compact"/>
        <w:numPr>
          <w:ilvl w:val="0"/>
          <w:numId w:val="1037"/>
        </w:numPr>
      </w:pPr>
      <w:r>
        <w:t xml:space="preserve">Policy changes;</w:t>
      </w:r>
    </w:p>
    <w:p>
      <w:pPr>
        <w:pStyle w:val="Compact"/>
        <w:numPr>
          <w:ilvl w:val="0"/>
          <w:numId w:val="1037"/>
        </w:numPr>
      </w:pPr>
      <w:r>
        <w:t xml:space="preserve">Endpoint registration;</w:t>
      </w:r>
    </w:p>
    <w:p>
      <w:pPr>
        <w:pStyle w:val="Compact"/>
        <w:numPr>
          <w:ilvl w:val="0"/>
          <w:numId w:val="1037"/>
        </w:numPr>
      </w:pPr>
      <w:r>
        <w:t xml:space="preserve">Endpoint identity changes;</w:t>
      </w:r>
    </w:p>
    <w:p>
      <w:pPr>
        <w:pStyle w:val="Compact"/>
        <w:numPr>
          <w:ilvl w:val="0"/>
          <w:numId w:val="1037"/>
        </w:numPr>
      </w:pPr>
      <w:r>
        <w:t xml:space="preserve">entitlement provisioning;</w:t>
      </w:r>
    </w:p>
    <w:p>
      <w:pPr>
        <w:pStyle w:val="Compact"/>
        <w:numPr>
          <w:ilvl w:val="0"/>
          <w:numId w:val="1037"/>
        </w:numPr>
      </w:pPr>
      <w:r>
        <w:t xml:space="preserve">entitlement revocation;</w:t>
      </w:r>
    </w:p>
    <w:p>
      <w:pPr>
        <w:pStyle w:val="Compact"/>
        <w:numPr>
          <w:ilvl w:val="0"/>
          <w:numId w:val="1037"/>
        </w:numPr>
      </w:pPr>
      <w:r>
        <w:t xml:space="preserve">entitlement drift;</w:t>
      </w:r>
    </w:p>
    <w:p>
      <w:pPr>
        <w:pStyle w:val="Compact"/>
        <w:numPr>
          <w:ilvl w:val="0"/>
          <w:numId w:val="1037"/>
        </w:numPr>
      </w:pPr>
      <w:r>
        <w:t xml:space="preserve">Folder changes;</w:t>
      </w:r>
    </w:p>
    <w:p>
      <w:pPr>
        <w:pStyle w:val="Compact"/>
        <w:numPr>
          <w:ilvl w:val="0"/>
          <w:numId w:val="1037"/>
        </w:numPr>
      </w:pPr>
      <w:r>
        <w:t xml:space="preserve">entity ownership;</w:t>
      </w:r>
    </w:p>
    <w:p>
      <w:pPr>
        <w:pStyle w:val="Compact"/>
        <w:numPr>
          <w:ilvl w:val="0"/>
          <w:numId w:val="1037"/>
        </w:numPr>
      </w:pPr>
      <w:r>
        <w:t xml:space="preserve">entity sharing;</w:t>
      </w:r>
    </w:p>
    <w:p>
      <w:pPr>
        <w:pStyle w:val="Compact"/>
        <w:numPr>
          <w:ilvl w:val="0"/>
          <w:numId w:val="1037"/>
        </w:numPr>
      </w:pPr>
      <w:r>
        <w:t xml:space="preserve">Organizational Memory access;</w:t>
      </w:r>
    </w:p>
    <w:p>
      <w:pPr>
        <w:pStyle w:val="Compact"/>
        <w:numPr>
          <w:ilvl w:val="0"/>
          <w:numId w:val="1037"/>
        </w:numPr>
      </w:pPr>
      <w:r>
        <w:t xml:space="preserve">Context retrieval;</w:t>
      </w:r>
    </w:p>
    <w:p>
      <w:pPr>
        <w:pStyle w:val="Compact"/>
        <w:numPr>
          <w:ilvl w:val="0"/>
          <w:numId w:val="1037"/>
        </w:numPr>
      </w:pPr>
      <w:r>
        <w:t xml:space="preserve">MCP invocation;</w:t>
      </w:r>
    </w:p>
    <w:p>
      <w:pPr>
        <w:pStyle w:val="Compact"/>
        <w:numPr>
          <w:ilvl w:val="0"/>
          <w:numId w:val="1037"/>
        </w:numPr>
      </w:pPr>
      <w:r>
        <w:t xml:space="preserve">approval;</w:t>
      </w:r>
    </w:p>
    <w:p>
      <w:pPr>
        <w:pStyle w:val="Compact"/>
        <w:numPr>
          <w:ilvl w:val="0"/>
          <w:numId w:val="1037"/>
        </w:numPr>
      </w:pPr>
      <w:r>
        <w:t xml:space="preserve">provider rejection.</w:t>
      </w:r>
    </w:p>
    <w:p>
      <w:pPr>
        <w:pStyle w:val="FirstParagraph"/>
      </w:pPr>
      <w:r>
        <w:t xml:space="preserve">Material events retain correlation and causation chains.</w:t>
      </w:r>
    </w:p>
    <w:p>
      <w:r>
        <w:pict>
          <v:rect style="width:0;height:1.5pt" o:hralign="center" o:hrstd="t" o:hr="t"/>
        </w:pict>
      </w:r>
    </w:p>
    <w:bookmarkEnd w:id="102"/>
    <w:bookmarkStart w:id="106" w:name="day-0-day-1-day-n-model"/>
    <w:p>
      <w:pPr>
        <w:pStyle w:val="Heading1"/>
      </w:pPr>
      <w:r>
        <w:t xml:space="preserve">75. Day-0 / Day-1 / Day-N Model</w:t>
      </w:r>
    </w:p>
    <w:bookmarkStart w:id="103" w:name="day-0"/>
    <w:p>
      <w:pPr>
        <w:pStyle w:val="Heading2"/>
      </w:pPr>
      <w:r>
        <w:t xml:space="preserve">Day 0</w:t>
      </w:r>
    </w:p>
    <w:p>
      <w:pPr>
        <w:pStyle w:val="FirstParagraph"/>
      </w:pPr>
      <w:r>
        <w:t xml:space="preserve">Service Provider / Tenant bootstrap:</w:t>
      </w:r>
    </w:p>
    <w:p>
      <w:pPr>
        <w:pStyle w:val="Compact"/>
        <w:numPr>
          <w:ilvl w:val="0"/>
          <w:numId w:val="1038"/>
        </w:numPr>
      </w:pPr>
      <w:r>
        <w:t xml:space="preserve">create Tenant;</w:t>
      </w:r>
    </w:p>
    <w:p>
      <w:pPr>
        <w:pStyle w:val="Compact"/>
        <w:numPr>
          <w:ilvl w:val="0"/>
          <w:numId w:val="1038"/>
        </w:numPr>
      </w:pPr>
      <w:r>
        <w:t xml:space="preserve">configure SSO;</w:t>
      </w:r>
    </w:p>
    <w:p>
      <w:pPr>
        <w:pStyle w:val="Compact"/>
        <w:numPr>
          <w:ilvl w:val="0"/>
          <w:numId w:val="1038"/>
        </w:numPr>
      </w:pPr>
      <w:r>
        <w:t xml:space="preserve">create/verify Project 0;</w:t>
      </w:r>
    </w:p>
    <w:p>
      <w:pPr>
        <w:pStyle w:val="Compact"/>
        <w:numPr>
          <w:ilvl w:val="0"/>
          <w:numId w:val="1038"/>
        </w:numPr>
      </w:pPr>
      <w:r>
        <w:t xml:space="preserve">register Endpoints;</w:t>
      </w:r>
    </w:p>
    <w:p>
      <w:pPr>
        <w:pStyle w:val="Compact"/>
        <w:numPr>
          <w:ilvl w:val="0"/>
          <w:numId w:val="1038"/>
        </w:numPr>
      </w:pPr>
      <w:r>
        <w:t xml:space="preserve">configure Endpoint provisioning identities.</w:t>
      </w:r>
    </w:p>
    <w:bookmarkEnd w:id="103"/>
    <w:bookmarkStart w:id="104" w:name="day-1"/>
    <w:p>
      <w:pPr>
        <w:pStyle w:val="Heading2"/>
      </w:pPr>
      <w:r>
        <w:t xml:space="preserve">Day 1</w:t>
      </w:r>
    </w:p>
    <w:p>
      <w:pPr>
        <w:pStyle w:val="FirstParagraph"/>
      </w:pPr>
      <w:r>
        <w:t xml:space="preserve">Administrative setup:</w:t>
      </w:r>
    </w:p>
    <w:p>
      <w:pPr>
        <w:pStyle w:val="Compact"/>
        <w:numPr>
          <w:ilvl w:val="0"/>
          <w:numId w:val="1039"/>
        </w:numPr>
      </w:pPr>
      <w:r>
        <w:t xml:space="preserve">create Projects;</w:t>
      </w:r>
    </w:p>
    <w:p>
      <w:pPr>
        <w:pStyle w:val="Compact"/>
        <w:numPr>
          <w:ilvl w:val="0"/>
          <w:numId w:val="1039"/>
        </w:numPr>
      </w:pPr>
      <w:r>
        <w:t xml:space="preserve">create Datacenters;</w:t>
      </w:r>
    </w:p>
    <w:p>
      <w:pPr>
        <w:pStyle w:val="Compact"/>
        <w:numPr>
          <w:ilvl w:val="0"/>
          <w:numId w:val="1039"/>
        </w:numPr>
      </w:pPr>
      <w:r>
        <w:t xml:space="preserve">associate Endpoints;</w:t>
      </w:r>
    </w:p>
    <w:p>
      <w:pPr>
        <w:pStyle w:val="Compact"/>
        <w:numPr>
          <w:ilvl w:val="0"/>
          <w:numId w:val="1039"/>
        </w:numPr>
      </w:pPr>
      <w:r>
        <w:t xml:space="preserve">create Folders;</w:t>
      </w:r>
    </w:p>
    <w:p>
      <w:pPr>
        <w:pStyle w:val="Compact"/>
        <w:numPr>
          <w:ilvl w:val="0"/>
          <w:numId w:val="1039"/>
        </w:numPr>
      </w:pPr>
      <w:r>
        <w:t xml:space="preserve">admit users;</w:t>
      </w:r>
    </w:p>
    <w:p>
      <w:pPr>
        <w:pStyle w:val="Compact"/>
        <w:numPr>
          <w:ilvl w:val="0"/>
          <w:numId w:val="1039"/>
        </w:numPr>
      </w:pPr>
      <w:r>
        <w:t xml:space="preserve">create Roles;</w:t>
      </w:r>
    </w:p>
    <w:p>
      <w:pPr>
        <w:pStyle w:val="Compact"/>
        <w:numPr>
          <w:ilvl w:val="0"/>
          <w:numId w:val="1039"/>
        </w:numPr>
      </w:pPr>
      <w:r>
        <w:t xml:space="preserve">define Policies;</w:t>
      </w:r>
    </w:p>
    <w:p>
      <w:pPr>
        <w:pStyle w:val="Compact"/>
        <w:numPr>
          <w:ilvl w:val="0"/>
          <w:numId w:val="1039"/>
        </w:numPr>
      </w:pPr>
      <w:r>
        <w:t xml:space="preserve">create agents;</w:t>
      </w:r>
    </w:p>
    <w:p>
      <w:pPr>
        <w:pStyle w:val="Compact"/>
        <w:numPr>
          <w:ilvl w:val="0"/>
          <w:numId w:val="1039"/>
        </w:numPr>
      </w:pPr>
      <w:r>
        <w:t xml:space="preserve">provision provider entitlements.</w:t>
      </w:r>
    </w:p>
    <w:bookmarkEnd w:id="104"/>
    <w:bookmarkStart w:id="105" w:name="day-n"/>
    <w:p>
      <w:pPr>
        <w:pStyle w:val="Heading2"/>
      </w:pPr>
      <w:r>
        <w:t xml:space="preserve">Day N</w:t>
      </w:r>
    </w:p>
    <w:p>
      <w:pPr>
        <w:pStyle w:val="FirstParagraph"/>
      </w:pPr>
      <w:r>
        <w:t xml:space="preserve">Operational activity:</w:t>
      </w:r>
    </w:p>
    <w:p>
      <w:pPr>
        <w:pStyle w:val="Compact"/>
        <w:numPr>
          <w:ilvl w:val="0"/>
          <w:numId w:val="1040"/>
        </w:numPr>
      </w:pPr>
      <w:r>
        <w:t xml:space="preserve">users and AI Engineers inspect resources;</w:t>
      </w:r>
    </w:p>
    <w:p>
      <w:pPr>
        <w:pStyle w:val="Compact"/>
        <w:numPr>
          <w:ilvl w:val="0"/>
          <w:numId w:val="1040"/>
        </w:numPr>
      </w:pPr>
      <w:r>
        <w:t xml:space="preserve">Context Service retrieves authorized knowledge;</w:t>
      </w:r>
    </w:p>
    <w:p>
      <w:pPr>
        <w:pStyle w:val="Compact"/>
        <w:numPr>
          <w:ilvl w:val="0"/>
          <w:numId w:val="1040"/>
        </w:numPr>
      </w:pPr>
      <w:r>
        <w:t xml:space="preserve">users/agents invoke MCP operations;</w:t>
      </w:r>
    </w:p>
    <w:p>
      <w:pPr>
        <w:pStyle w:val="Compact"/>
        <w:numPr>
          <w:ilvl w:val="0"/>
          <w:numId w:val="1040"/>
        </w:numPr>
      </w:pPr>
      <w:r>
        <w:t xml:space="preserve">approvals occur;</w:t>
      </w:r>
    </w:p>
    <w:p>
      <w:pPr>
        <w:pStyle w:val="Compact"/>
        <w:numPr>
          <w:ilvl w:val="0"/>
          <w:numId w:val="1040"/>
        </w:numPr>
      </w:pPr>
      <w:r>
        <w:t xml:space="preserve">provider operations execute;</w:t>
      </w:r>
    </w:p>
    <w:p>
      <w:pPr>
        <w:pStyle w:val="Compact"/>
        <w:numPr>
          <w:ilvl w:val="0"/>
          <w:numId w:val="1040"/>
        </w:numPr>
      </w:pPr>
      <w:r>
        <w:t xml:space="preserve">entitlements are reconciled;</w:t>
      </w:r>
    </w:p>
    <w:p>
      <w:pPr>
        <w:pStyle w:val="Compact"/>
        <w:numPr>
          <w:ilvl w:val="0"/>
          <w:numId w:val="1040"/>
        </w:numPr>
      </w:pPr>
      <w:r>
        <w:t xml:space="preserve">drift is reported.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deployment-scale-requirement"/>
    <w:p>
      <w:pPr>
        <w:pStyle w:val="Heading1"/>
      </w:pPr>
      <w:r>
        <w:t xml:space="preserve">76. Deployment Scale Requirement</w:t>
      </w:r>
    </w:p>
    <w:p>
      <w:pPr>
        <w:pStyle w:val="FirstParagraph"/>
      </w:pPr>
      <w:r>
        <w:t xml:space="preserve">AccuSec shall use the same logical management, IAM, Datacenter, Endpoint, Organizational Memory and execution model across all supported deployment forms.</w:t>
      </w:r>
    </w:p>
    <w:p>
      <w:pPr>
        <w:pStyle w:val="BodyText"/>
      </w:pPr>
      <w:r>
        <w:t xml:space="preserve">The architecture must scale from:</w:t>
      </w:r>
    </w:p>
    <w:p>
      <w:pPr>
        <w:pStyle w:val="SourceCode"/>
      </w:pPr>
      <w:r>
        <w:rPr>
          <w:rStyle w:val="VerbatimChar"/>
        </w:rPr>
        <w:t xml:space="preserve">Desktop Application</w:t>
      </w:r>
      <w:r>
        <w:br/>
      </w:r>
      <w:r>
        <w:br/>
      </w:r>
      <w:r>
        <w:rPr>
          <w:rStyle w:val="VerbatimChar"/>
        </w:rPr>
        <w:t xml:space="preserve">1 Tenant</w:t>
      </w:r>
      <w:r>
        <w:br/>
      </w:r>
      <w:r>
        <w:rPr>
          <w:rStyle w:val="VerbatimChar"/>
        </w:rPr>
        <w:t xml:space="preserve">1 Human User</w:t>
      </w:r>
      <w:r>
        <w:br/>
      </w:r>
      <w:r>
        <w:rPr>
          <w:rStyle w:val="VerbatimChar"/>
        </w:rPr>
        <w:t xml:space="preserve">Multiple Projects</w:t>
      </w:r>
      <w:r>
        <w:br/>
      </w:r>
      <w:r>
        <w:rPr>
          <w:rStyle w:val="VerbatimChar"/>
        </w:rPr>
        <w:t xml:space="preserve">Multiple Datacenters</w:t>
      </w:r>
      <w:r>
        <w:br/>
      </w:r>
      <w:r>
        <w:rPr>
          <w:rStyle w:val="VerbatimChar"/>
        </w:rPr>
        <w:t xml:space="preserve">Multiple Endpoints</w:t>
      </w:r>
      <w:r>
        <w:br/>
      </w:r>
      <w:r>
        <w:rPr>
          <w:rStyle w:val="VerbatimChar"/>
        </w:rPr>
        <w:t xml:space="preserve">Multiple MCP Servers</w:t>
      </w:r>
      <w:r>
        <w:br/>
      </w:r>
      <w:r>
        <w:rPr>
          <w:rStyle w:val="VerbatimChar"/>
        </w:rPr>
        <w:t xml:space="preserve">Multiple Folders</w:t>
      </w:r>
      <w:r>
        <w:br/>
      </w:r>
      <w:r>
        <w:rPr>
          <w:rStyle w:val="VerbatimChar"/>
        </w:rPr>
        <w:t xml:space="preserve">Multiple AI Engineers</w:t>
      </w:r>
      <w:r>
        <w:br/>
      </w:r>
      <w:r>
        <w:rPr>
          <w:rStyle w:val="VerbatimChar"/>
        </w:rPr>
        <w:t xml:space="preserve">Multiple Managed Entities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Hosted / Enterprise Application</w:t>
      </w:r>
      <w:r>
        <w:br/>
      </w:r>
      <w:r>
        <w:br/>
      </w:r>
      <w:r>
        <w:rPr>
          <w:rStyle w:val="VerbatimChar"/>
        </w:rPr>
        <w:t xml:space="preserve">Multiple Tenants</w:t>
      </w:r>
      <w:r>
        <w:br/>
      </w:r>
      <w:r>
        <w:rPr>
          <w:rStyle w:val="VerbatimChar"/>
        </w:rPr>
        <w:t xml:space="preserve">Multiple Human Users</w:t>
      </w:r>
      <w:r>
        <w:br/>
      </w:r>
      <w:r>
        <w:rPr>
          <w:rStyle w:val="VerbatimChar"/>
        </w:rPr>
        <w:t xml:space="preserve">Multiple Groups</w:t>
      </w:r>
      <w:r>
        <w:br/>
      </w:r>
      <w:r>
        <w:rPr>
          <w:rStyle w:val="VerbatimChar"/>
        </w:rPr>
        <w:t xml:space="preserve">Multiple Projects per Tenant</w:t>
      </w:r>
      <w:r>
        <w:br/>
      </w:r>
      <w:r>
        <w:rPr>
          <w:rStyle w:val="VerbatimChar"/>
        </w:rPr>
        <w:t xml:space="preserve">Multiple Datacenters per Project</w:t>
      </w:r>
      <w:r>
        <w:br/>
      </w:r>
      <w:r>
        <w:rPr>
          <w:rStyle w:val="VerbatimChar"/>
        </w:rPr>
        <w:t xml:space="preserve">Multiple Endpoints</w:t>
      </w:r>
      <w:r>
        <w:br/>
      </w:r>
      <w:r>
        <w:rPr>
          <w:rStyle w:val="VerbatimChar"/>
        </w:rPr>
        <w:t xml:space="preserve">Multiple Endpoint Access Identities</w:t>
      </w:r>
      <w:r>
        <w:br/>
      </w:r>
      <w:r>
        <w:rPr>
          <w:rStyle w:val="VerbatimChar"/>
        </w:rPr>
        <w:t xml:space="preserve">Multiple MCP Servers</w:t>
      </w:r>
      <w:r>
        <w:br/>
      </w:r>
      <w:r>
        <w:rPr>
          <w:rStyle w:val="VerbatimChar"/>
        </w:rPr>
        <w:t xml:space="preserve">Multiple Folders</w:t>
      </w:r>
      <w:r>
        <w:br/>
      </w:r>
      <w:r>
        <w:rPr>
          <w:rStyle w:val="VerbatimChar"/>
        </w:rPr>
        <w:t xml:space="preserve">Multiple AI Engineers</w:t>
      </w:r>
      <w:r>
        <w:br/>
      </w:r>
      <w:r>
        <w:rPr>
          <w:rStyle w:val="VerbatimChar"/>
        </w:rPr>
        <w:t xml:space="preserve">Multiple Managed Entities</w:t>
      </w:r>
    </w:p>
    <w:p>
      <w:pPr>
        <w:pStyle w:val="FirstParagraph"/>
      </w:pPr>
      <w:r>
        <w:t xml:space="preserve">Desktop is a constrained deployment profile of the same architecture.</w:t>
      </w:r>
    </w:p>
    <w:p>
      <w:r>
        <w:pict>
          <v:rect style="width:0;height:1.5pt" o:hralign="center" o:hrstd="t" o:hr="t"/>
        </w:pict>
      </w:r>
    </w:p>
    <w:bookmarkEnd w:id="107"/>
    <w:bookmarkStart w:id="108" w:name="Xe2a975a044aa3859e177e3afebe5b0a32b8c0f8"/>
    <w:p>
      <w:pPr>
        <w:pStyle w:val="Heading1"/>
      </w:pPr>
      <w:r>
        <w:t xml:space="preserve">77. Canonical Hierarchy Across Deployment Profiles</w:t>
      </w:r>
    </w:p>
    <w:p>
      <w:pPr>
        <w:pStyle w:val="FirstParagraph"/>
      </w:pPr>
      <w:r>
        <w:t xml:space="preserve">All deployment modes use: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Project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└── Datacenter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└── Default Folder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└── Folder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└── Entity</w:t>
      </w:r>
    </w:p>
    <w:p>
      <w:pPr>
        <w:pStyle w:val="FirstParagraph"/>
      </w:pPr>
      <w:r>
        <w:t xml:space="preserve">All profiles also use the same logical objects:</w:t>
      </w:r>
    </w:p>
    <w:p>
      <w:pPr>
        <w:pStyle w:val="SourceCode"/>
      </w:pPr>
      <w:r>
        <w:rPr>
          <w:rStyle w:val="VerbatimChar"/>
        </w:rPr>
        <w:t xml:space="preserve">Endpoint Connections</w:t>
      </w:r>
      <w:r>
        <w:br/>
      </w:r>
      <w:r>
        <w:rPr>
          <w:rStyle w:val="VerbatimChar"/>
        </w:rPr>
        <w:t xml:space="preserve">Endpoint Access Identities</w:t>
      </w:r>
      <w:r>
        <w:br/>
      </w:r>
      <w:r>
        <w:rPr>
          <w:rStyle w:val="VerbatimChar"/>
        </w:rPr>
        <w:t xml:space="preserve">MCP Servers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Policies</w:t>
      </w:r>
      <w:r>
        <w:br/>
      </w:r>
      <w:r>
        <w:rPr>
          <w:rStyle w:val="VerbatimChar"/>
        </w:rPr>
        <w:t xml:space="preserve">AI Engineers</w:t>
      </w:r>
      <w:r>
        <w:br/>
      </w:r>
      <w:r>
        <w:rPr>
          <w:rStyle w:val="VerbatimChar"/>
        </w:rPr>
        <w:t xml:space="preserve">Organizational Memory</w:t>
      </w:r>
      <w:r>
        <w:br/>
      </w:r>
      <w:r>
        <w:rPr>
          <w:rStyle w:val="VerbatimChar"/>
        </w:rPr>
        <w:t xml:space="preserve">Organizational Context</w:t>
      </w:r>
      <w:r>
        <w:br/>
      </w:r>
      <w:r>
        <w:rPr>
          <w:rStyle w:val="VerbatimChar"/>
        </w:rPr>
        <w:t xml:space="preserve">Audit</w:t>
      </w:r>
    </w:p>
    <w:p>
      <w:r>
        <w:pict>
          <v:rect style="width:0;height:1.5pt" o:hralign="center" o:hrstd="t" o:hr="t"/>
        </w:pict>
      </w:r>
    </w:p>
    <w:bookmarkEnd w:id="108"/>
    <w:bookmarkStart w:id="109" w:name="desktop-deployment-profile"/>
    <w:p>
      <w:pPr>
        <w:pStyle w:val="Heading1"/>
      </w:pPr>
      <w:r>
        <w:t xml:space="preserve">78. Desktop Deployment Profile</w:t>
      </w:r>
    </w:p>
    <w:p>
      <w:pPr>
        <w:pStyle w:val="FirstParagraph"/>
      </w:pPr>
      <w:r>
        <w:t xml:space="preserve">Desktop is optimized for one interactive operator.</w:t>
      </w:r>
    </w:p>
    <w:p>
      <w:pPr>
        <w:pStyle w:val="BodyText"/>
      </w:pPr>
      <w:r>
        <w:t xml:space="preserve">Default cardinality:</w:t>
      </w:r>
    </w:p>
    <w:p>
      <w:pPr>
        <w:pStyle w:val="SourceCode"/>
      </w:pPr>
      <w:r>
        <w:rPr>
          <w:rStyle w:val="VerbatimChar"/>
        </w:rPr>
        <w:t xml:space="preserve">Tenant: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 xml:space="preserve">Human Users: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 xml:space="preserve">Projects:</w:t>
      </w:r>
      <w:r>
        <w:br/>
      </w:r>
      <w:r>
        <w:rPr>
          <w:rStyle w:val="VerbatimChar"/>
        </w:rPr>
        <w:t xml:space="preserve">1..N</w:t>
      </w:r>
      <w:r>
        <w:br/>
      </w:r>
      <w:r>
        <w:br/>
      </w:r>
      <w:r>
        <w:rPr>
          <w:rStyle w:val="VerbatimChar"/>
        </w:rPr>
        <w:t xml:space="preserve">Datacenters per Project:</w:t>
      </w:r>
      <w:r>
        <w:br/>
      </w:r>
      <w:r>
        <w:rPr>
          <w:rStyle w:val="VerbatimChar"/>
        </w:rPr>
        <w:t xml:space="preserve">0..N</w:t>
      </w:r>
      <w:r>
        <w:br/>
      </w:r>
      <w:r>
        <w:br/>
      </w:r>
      <w:r>
        <w:rPr>
          <w:rStyle w:val="VerbatimChar"/>
        </w:rPr>
        <w:t xml:space="preserve">Folders per Datacenter:</w:t>
      </w:r>
      <w:r>
        <w:br/>
      </w:r>
      <w:r>
        <w:rPr>
          <w:rStyle w:val="VerbatimChar"/>
        </w:rPr>
        <w:t xml:space="preserve">1..N</w:t>
      </w:r>
      <w:r>
        <w:br/>
      </w:r>
      <w:r>
        <w:br/>
      </w:r>
      <w:r>
        <w:rPr>
          <w:rStyle w:val="VerbatimChar"/>
        </w:rPr>
        <w:t xml:space="preserve">Endpoints:</w:t>
      </w:r>
      <w:r>
        <w:br/>
      </w:r>
      <w:r>
        <w:rPr>
          <w:rStyle w:val="VerbatimChar"/>
        </w:rPr>
        <w:t xml:space="preserve">0..N</w:t>
      </w:r>
      <w:r>
        <w:br/>
      </w:r>
      <w:r>
        <w:br/>
      </w:r>
      <w:r>
        <w:rPr>
          <w:rStyle w:val="VerbatimChar"/>
        </w:rPr>
        <w:t xml:space="preserve">Endpoint Identities:</w:t>
      </w:r>
      <w:r>
        <w:br/>
      </w:r>
      <w:r>
        <w:rPr>
          <w:rStyle w:val="VerbatimChar"/>
        </w:rPr>
        <w:t xml:space="preserve">0..N</w:t>
      </w:r>
      <w:r>
        <w:br/>
      </w:r>
      <w:r>
        <w:br/>
      </w:r>
      <w:r>
        <w:rPr>
          <w:rStyle w:val="VerbatimChar"/>
        </w:rPr>
        <w:t xml:space="preserve">MCP Servers:</w:t>
      </w:r>
      <w:r>
        <w:br/>
      </w:r>
      <w:r>
        <w:rPr>
          <w:rStyle w:val="VerbatimChar"/>
        </w:rPr>
        <w:t xml:space="preserve">0..N</w:t>
      </w:r>
      <w:r>
        <w:br/>
      </w:r>
      <w:r>
        <w:br/>
      </w:r>
      <w:r>
        <w:rPr>
          <w:rStyle w:val="VerbatimChar"/>
        </w:rPr>
        <w:t xml:space="preserve">AI Engineers:</w:t>
      </w:r>
      <w:r>
        <w:br/>
      </w:r>
      <w:r>
        <w:rPr>
          <w:rStyle w:val="VerbatimChar"/>
        </w:rPr>
        <w:t xml:space="preserve">0..N</w:t>
      </w:r>
    </w:p>
    <w:p>
      <w:pPr>
        <w:pStyle w:val="FirstParagraph"/>
      </w:pPr>
      <w:r>
        <w:t xml:space="preserve">The Desktop application automatically creates the local Tenant and initial Human Principal.</w:t>
      </w:r>
    </w:p>
    <w:p>
      <w:r>
        <w:pict>
          <v:rect style="width:0;height:1.5pt" o:hralign="center" o:hrstd="t" o:hr="t"/>
        </w:pict>
      </w:r>
    </w:p>
    <w:bookmarkEnd w:id="109"/>
    <w:bookmarkStart w:id="110" w:name="desktop-tenant-and-principal"/>
    <w:p>
      <w:pPr>
        <w:pStyle w:val="Heading1"/>
      </w:pPr>
      <w:r>
        <w:t xml:space="preserve">79. Desktop Tenant and Principal</w:t>
      </w:r>
    </w:p>
    <w:p>
      <w:pPr>
        <w:pStyle w:val="FirstParagraph"/>
      </w:pPr>
      <w:r>
        <w:t xml:space="preserve">Desktop must retain both: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principal_id</w:t>
      </w:r>
    </w:p>
    <w:p>
      <w:pPr>
        <w:pStyle w:val="FirstParagraph"/>
      </w:pPr>
      <w:r>
        <w:t xml:space="preserve">even though cardinality is one.</w:t>
      </w:r>
    </w:p>
    <w:p>
      <w:pPr>
        <w:pStyle w:val="BodyText"/>
      </w:pPr>
      <w:r>
        <w:t xml:space="preserve">The Desktop edition shall not remove tenancy or identity from the domain model.</w:t>
      </w:r>
    </w:p>
    <w:p>
      <w:pPr>
        <w:pStyle w:val="BodyText"/>
      </w:pPr>
      <w:r>
        <w:t xml:space="preserve">This preserves:</w:t>
      </w:r>
    </w:p>
    <w:p>
      <w:pPr>
        <w:pStyle w:val="Compact"/>
        <w:numPr>
          <w:ilvl w:val="0"/>
          <w:numId w:val="1041"/>
        </w:numPr>
      </w:pPr>
      <w:r>
        <w:t xml:space="preserve">auditability;</w:t>
      </w:r>
    </w:p>
    <w:p>
      <w:pPr>
        <w:pStyle w:val="Compact"/>
        <w:numPr>
          <w:ilvl w:val="0"/>
          <w:numId w:val="1041"/>
        </w:numPr>
      </w:pPr>
      <w:r>
        <w:t xml:space="preserve">ownership;</w:t>
      </w:r>
    </w:p>
    <w:p>
      <w:pPr>
        <w:pStyle w:val="Compact"/>
        <w:numPr>
          <w:ilvl w:val="0"/>
          <w:numId w:val="1041"/>
        </w:numPr>
      </w:pPr>
      <w:r>
        <w:t xml:space="preserve">agent delegation;</w:t>
      </w:r>
    </w:p>
    <w:p>
      <w:pPr>
        <w:pStyle w:val="Compact"/>
        <w:numPr>
          <w:ilvl w:val="0"/>
          <w:numId w:val="1041"/>
        </w:numPr>
      </w:pPr>
      <w:r>
        <w:t xml:space="preserve">authorization semantics;</w:t>
      </w:r>
    </w:p>
    <w:p>
      <w:pPr>
        <w:pStyle w:val="Compact"/>
        <w:numPr>
          <w:ilvl w:val="0"/>
          <w:numId w:val="1041"/>
        </w:numPr>
      </w:pPr>
      <w:r>
        <w:t xml:space="preserve">migration compatibility.</w:t>
      </w:r>
    </w:p>
    <w:p>
      <w:r>
        <w:pict>
          <v:rect style="width:0;height:1.5pt" o:hralign="center" o:hrstd="t" o:hr="t"/>
        </w:pict>
      </w:r>
    </w:p>
    <w:bookmarkEnd w:id="110"/>
    <w:bookmarkStart w:id="111" w:name="desktop-authentication"/>
    <w:p>
      <w:pPr>
        <w:pStyle w:val="Heading1"/>
      </w:pPr>
      <w:r>
        <w:t xml:space="preserve">80. Desktop Authentication</w:t>
      </w:r>
    </w:p>
    <w:p>
      <w:pPr>
        <w:pStyle w:val="FirstParagraph"/>
      </w:pPr>
      <w:r>
        <w:t xml:space="preserve">Desktop authentication may use a simplified mechanism such as:</w:t>
      </w:r>
    </w:p>
    <w:p>
      <w:pPr>
        <w:pStyle w:val="Compact"/>
        <w:numPr>
          <w:ilvl w:val="0"/>
          <w:numId w:val="1042"/>
        </w:numPr>
      </w:pPr>
      <w:r>
        <w:t xml:space="preserve">local operating-system identity;</w:t>
      </w:r>
    </w:p>
    <w:p>
      <w:pPr>
        <w:pStyle w:val="Compact"/>
        <w:numPr>
          <w:ilvl w:val="0"/>
          <w:numId w:val="1042"/>
        </w:numPr>
      </w:pPr>
      <w:r>
        <w:t xml:space="preserve">local application identity;</w:t>
      </w:r>
    </w:p>
    <w:p>
      <w:pPr>
        <w:pStyle w:val="Compact"/>
        <w:numPr>
          <w:ilvl w:val="0"/>
          <w:numId w:val="1042"/>
        </w:numPr>
      </w:pPr>
      <w:r>
        <w:t xml:space="preserve">enterprise OIDC;</w:t>
      </w:r>
    </w:p>
    <w:p>
      <w:pPr>
        <w:pStyle w:val="Compact"/>
        <w:numPr>
          <w:ilvl w:val="0"/>
          <w:numId w:val="1042"/>
        </w:numPr>
      </w:pPr>
      <w:r>
        <w:t xml:space="preserve">enterprise SSO.</w:t>
      </w:r>
    </w:p>
    <w:p>
      <w:pPr>
        <w:pStyle w:val="FirstParagraph"/>
      </w:pPr>
      <w:r>
        <w:t xml:space="preserve">Regardless of mechanism, authentication resolves to the canonical Human Principal.</w:t>
      </w:r>
    </w:p>
    <w:p>
      <w:r>
        <w:pict>
          <v:rect style="width:0;height:1.5pt" o:hralign="center" o:hrstd="t" o:hr="t"/>
        </w:pict>
      </w:r>
    </w:p>
    <w:bookmarkEnd w:id="111"/>
    <w:bookmarkStart w:id="112" w:name="desktop-projects-and-datacenters"/>
    <w:p>
      <w:pPr>
        <w:pStyle w:val="Heading1"/>
      </w:pPr>
      <w:r>
        <w:t xml:space="preserve">81. Desktop Projects and Datacenters</w:t>
      </w:r>
    </w:p>
    <w:p>
      <w:pPr>
        <w:pStyle w:val="FirstParagraph"/>
      </w:pPr>
      <w:r>
        <w:t xml:space="preserve">The Desktop user may create multiple Projects.</w:t>
      </w:r>
    </w:p>
    <w:p>
      <w:pPr>
        <w:pStyle w:val="BodyText"/>
      </w:pPr>
      <w:r>
        <w:t xml:space="preserve">Each Project may contain multiple Datacenters.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Desktop Tenant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Project 0</w:t>
      </w:r>
      <w:r>
        <w:br/>
      </w:r>
      <w:r>
        <w:rPr>
          <w:rStyle w:val="VerbatimChar"/>
        </w:rPr>
        <w:t xml:space="preserve">   │      ├── AWS Production</w:t>
      </w:r>
      <w:r>
        <w:br/>
      </w:r>
      <w:r>
        <w:rPr>
          <w:rStyle w:val="VerbatimChar"/>
        </w:rPr>
        <w:t xml:space="preserve">   │      └── Nutanix Lab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Production</w:t>
      </w:r>
      <w:r>
        <w:br/>
      </w:r>
      <w:r>
        <w:rPr>
          <w:rStyle w:val="VerbatimChar"/>
        </w:rPr>
        <w:t xml:space="preserve">   │      ├── AWS</w:t>
      </w:r>
      <w:r>
        <w:br/>
      </w:r>
      <w:r>
        <w:rPr>
          <w:rStyle w:val="VerbatimChar"/>
        </w:rPr>
        <w:t xml:space="preserve">   │      └── Azure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Development</w:t>
      </w:r>
      <w:r>
        <w:br/>
      </w:r>
      <w:r>
        <w:rPr>
          <w:rStyle w:val="VerbatimChar"/>
        </w:rPr>
        <w:t xml:space="preserve">          └── AWS Dev</w:t>
      </w:r>
    </w:p>
    <w:p>
      <w:pPr>
        <w:pStyle w:val="FirstParagraph"/>
      </w:pPr>
      <w:r>
        <w:t xml:space="preserve">Provider namespaces remain isolated exactly as they are in Hosted deployment.</w:t>
      </w:r>
    </w:p>
    <w:p>
      <w:r>
        <w:pict>
          <v:rect style="width:0;height:1.5pt" o:hralign="center" o:hrstd="t" o:hr="t"/>
        </w:pict>
      </w:r>
    </w:p>
    <w:bookmarkEnd w:id="112"/>
    <w:bookmarkStart w:id="113" w:name="desktop-endpoints-and-identities"/>
    <w:p>
      <w:pPr>
        <w:pStyle w:val="Heading1"/>
      </w:pPr>
      <w:r>
        <w:t xml:space="preserve">82. Desktop Endpoints and Identities</w:t>
      </w:r>
    </w:p>
    <w:p>
      <w:pPr>
        <w:pStyle w:val="FirstParagraph"/>
      </w:pPr>
      <w:r>
        <w:t xml:space="preserve">Desktop supports multiple:</w:t>
      </w:r>
    </w:p>
    <w:p>
      <w:pPr>
        <w:pStyle w:val="Compact"/>
        <w:numPr>
          <w:ilvl w:val="0"/>
          <w:numId w:val="1043"/>
        </w:numPr>
      </w:pPr>
      <w:r>
        <w:t xml:space="preserve">Endpoint Connections;</w:t>
      </w:r>
    </w:p>
    <w:p>
      <w:pPr>
        <w:pStyle w:val="Compact"/>
        <w:numPr>
          <w:ilvl w:val="0"/>
          <w:numId w:val="1043"/>
        </w:numPr>
      </w:pPr>
      <w:r>
        <w:t xml:space="preserve">provider accounts;</w:t>
      </w:r>
    </w:p>
    <w:p>
      <w:pPr>
        <w:pStyle w:val="Compact"/>
        <w:numPr>
          <w:ilvl w:val="0"/>
          <w:numId w:val="1043"/>
        </w:numPr>
      </w:pPr>
      <w:r>
        <w:t xml:space="preserve">subscriptions;</w:t>
      </w:r>
    </w:p>
    <w:p>
      <w:pPr>
        <w:pStyle w:val="Compact"/>
        <w:numPr>
          <w:ilvl w:val="0"/>
          <w:numId w:val="1043"/>
        </w:numPr>
      </w:pPr>
      <w:r>
        <w:t xml:space="preserve">service accounts;</w:t>
      </w:r>
    </w:p>
    <w:p>
      <w:pPr>
        <w:pStyle w:val="Compact"/>
        <w:numPr>
          <w:ilvl w:val="0"/>
          <w:numId w:val="1043"/>
        </w:numPr>
      </w:pPr>
      <w:r>
        <w:t xml:space="preserve">Endpoint Access Identities.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AWS Endpoint</w:t>
      </w:r>
      <w:r>
        <w:br/>
      </w:r>
      <w:r>
        <w:br/>
      </w:r>
      <w:r>
        <w:rPr>
          <w:rStyle w:val="VerbatimChar"/>
        </w:rPr>
        <w:t xml:space="preserve">Identities:</w:t>
      </w:r>
      <w:r>
        <w:br/>
      </w:r>
      <w:r>
        <w:rPr>
          <w:rStyle w:val="VerbatimChar"/>
        </w:rPr>
        <w:t xml:space="preserve">    ReadOnlyRole</w:t>
      </w:r>
      <w:r>
        <w:br/>
      </w:r>
      <w:r>
        <w:rPr>
          <w:rStyle w:val="VerbatimChar"/>
        </w:rPr>
        <w:t xml:space="preserve">    OperatorRole</w:t>
      </w:r>
      <w:r>
        <w:br/>
      </w:r>
      <w:r>
        <w:rPr>
          <w:rStyle w:val="VerbatimChar"/>
        </w:rPr>
        <w:t xml:space="preserve">    AdministratorRole</w:t>
      </w:r>
    </w:p>
    <w:p>
      <w:pPr>
        <w:pStyle w:val="FirstParagraph"/>
      </w:pPr>
      <w:r>
        <w:t xml:space="preserve">The Desktop runtime must not silently choose the most privileged credential.</w:t>
      </w:r>
    </w:p>
    <w:p>
      <w:pPr>
        <w:pStyle w:val="BodyText"/>
      </w:pPr>
      <w:r>
        <w:t xml:space="preserve">All identity selection rules remain deterministic.</w:t>
      </w:r>
    </w:p>
    <w:p>
      <w:r>
        <w:pict>
          <v:rect style="width:0;height:1.5pt" o:hralign="center" o:hrstd="t" o:hr="t"/>
        </w:pict>
      </w:r>
    </w:p>
    <w:bookmarkEnd w:id="113"/>
    <w:bookmarkStart w:id="114" w:name="desktop-iam-simplification"/>
    <w:p>
      <w:pPr>
        <w:pStyle w:val="Heading1"/>
      </w:pPr>
      <w:r>
        <w:t xml:space="preserve">83. Desktop IAM Simplification</w:t>
      </w:r>
    </w:p>
    <w:p>
      <w:pPr>
        <w:pStyle w:val="FirstParagraph"/>
      </w:pPr>
      <w:r>
        <w:t xml:space="preserve">Desktop may automatically grant the single Human Principal broad</w:t>
      </w:r>
      <w:r>
        <w:t xml:space="preserve"> </w:t>
      </w:r>
      <w:r>
        <w:rPr>
          <w:b/>
          <w:bCs/>
        </w:rPr>
        <w:t xml:space="preserve">AccuSec management</w:t>
      </w:r>
      <w:r>
        <w:t xml:space="preserve"> </w:t>
      </w:r>
      <w:r>
        <w:t xml:space="preserve">authority for usability.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Local Human</w:t>
      </w:r>
      <w:r>
        <w:br/>
      </w:r>
      <w:r>
        <w:br/>
      </w:r>
      <w:r>
        <w:rPr>
          <w:rStyle w:val="VerbatimChar"/>
        </w:rPr>
        <w:t xml:space="preserve">AccuSec Role:</w:t>
      </w:r>
      <w:r>
        <w:br/>
      </w:r>
      <w:r>
        <w:rPr>
          <w:rStyle w:val="VerbatimChar"/>
        </w:rPr>
        <w:t xml:space="preserve">Desktop Administrator</w:t>
      </w:r>
    </w:p>
    <w:p>
      <w:pPr>
        <w:pStyle w:val="FirstParagraph"/>
      </w:pPr>
      <w:r>
        <w:t xml:space="preserve">This may grant:</w:t>
      </w:r>
    </w:p>
    <w:p>
      <w:pPr>
        <w:pStyle w:val="Compact"/>
        <w:numPr>
          <w:ilvl w:val="0"/>
          <w:numId w:val="1044"/>
        </w:numPr>
      </w:pPr>
      <w:r>
        <w:t xml:space="preserve">Project creation;</w:t>
      </w:r>
    </w:p>
    <w:p>
      <w:pPr>
        <w:pStyle w:val="Compact"/>
        <w:numPr>
          <w:ilvl w:val="0"/>
          <w:numId w:val="1044"/>
        </w:numPr>
      </w:pPr>
      <w:r>
        <w:t xml:space="preserve">Datacenter creation;</w:t>
      </w:r>
    </w:p>
    <w:p>
      <w:pPr>
        <w:pStyle w:val="Compact"/>
        <w:numPr>
          <w:ilvl w:val="0"/>
          <w:numId w:val="1044"/>
        </w:numPr>
      </w:pPr>
      <w:r>
        <w:t xml:space="preserve">Endpoint configuration;</w:t>
      </w:r>
    </w:p>
    <w:p>
      <w:pPr>
        <w:pStyle w:val="Compact"/>
        <w:numPr>
          <w:ilvl w:val="0"/>
          <w:numId w:val="1044"/>
        </w:numPr>
      </w:pPr>
      <w:r>
        <w:t xml:space="preserve">Folder management;</w:t>
      </w:r>
    </w:p>
    <w:p>
      <w:pPr>
        <w:pStyle w:val="Compact"/>
        <w:numPr>
          <w:ilvl w:val="0"/>
          <w:numId w:val="1044"/>
        </w:numPr>
      </w:pPr>
      <w:r>
        <w:t xml:space="preserve">Role configuration;</w:t>
      </w:r>
    </w:p>
    <w:p>
      <w:pPr>
        <w:pStyle w:val="Compact"/>
        <w:numPr>
          <w:ilvl w:val="0"/>
          <w:numId w:val="1044"/>
        </w:numPr>
      </w:pPr>
      <w:r>
        <w:t xml:space="preserve">agent creation.</w:t>
      </w:r>
    </w:p>
    <w:p>
      <w:pPr>
        <w:pStyle w:val="FirstParagraph"/>
      </w:pPr>
      <w:r>
        <w:t xml:space="preserve">It does not automatically provide Endpoint operational authority.</w:t>
      </w:r>
    </w:p>
    <w:p>
      <w:pPr>
        <w:pStyle w:val="BodyText"/>
      </w:pPr>
      <w:r>
        <w:t xml:space="preserve">A valid state is:</w:t>
      </w:r>
    </w:p>
    <w:p>
      <w:pPr>
        <w:pStyle w:val="SourceCode"/>
      </w:pPr>
      <w:r>
        <w:rPr>
          <w:rStyle w:val="VerbatimChar"/>
        </w:rPr>
        <w:t xml:space="preserve">AccuSec:</w:t>
      </w:r>
      <w:r>
        <w:br/>
      </w:r>
      <w:r>
        <w:rPr>
          <w:rStyle w:val="VerbatimChar"/>
        </w:rPr>
        <w:t xml:space="preserve">Desktop Administrator</w:t>
      </w:r>
      <w:r>
        <w:br/>
      </w:r>
      <w:r>
        <w:br/>
      </w:r>
      <w:r>
        <w:rPr>
          <w:rStyle w:val="VerbatimChar"/>
        </w:rPr>
        <w:t xml:space="preserve">AWS:</w:t>
      </w:r>
      <w:r>
        <w:br/>
      </w:r>
      <w:r>
        <w:rPr>
          <w:rStyle w:val="VerbatimChar"/>
        </w:rPr>
        <w:t xml:space="preserve">Read Only</w:t>
      </w:r>
      <w:r>
        <w:br/>
      </w:r>
      <w:r>
        <w:br/>
      </w:r>
      <w:r>
        <w:rPr>
          <w:rStyle w:val="VerbatimChar"/>
        </w:rPr>
        <w:t xml:space="preserve">Azure:</w:t>
      </w:r>
      <w:r>
        <w:br/>
      </w:r>
      <w:r>
        <w:rPr>
          <w:rStyle w:val="VerbatimChar"/>
        </w:rPr>
        <w:t xml:space="preserve">No Access</w:t>
      </w:r>
      <w:r>
        <w:br/>
      </w:r>
      <w:r>
        <w:br/>
      </w:r>
      <w:r>
        <w:rPr>
          <w:rStyle w:val="VerbatimChar"/>
        </w:rPr>
        <w:t xml:space="preserve">Nutanix:</w:t>
      </w:r>
      <w:r>
        <w:br/>
      </w:r>
      <w:r>
        <w:rPr>
          <w:rStyle w:val="VerbatimChar"/>
        </w:rPr>
        <w:t xml:space="preserve">VM Operator</w:t>
      </w:r>
    </w:p>
    <w:p>
      <w:r>
        <w:pict>
          <v:rect style="width:0;height:1.5pt" o:hralign="center" o:hrstd="t" o:hr="t"/>
        </w:pict>
      </w:r>
    </w:p>
    <w:bookmarkEnd w:id="114"/>
    <w:bookmarkStart w:id="115" w:name="desktop-ai-engineers"/>
    <w:p>
      <w:pPr>
        <w:pStyle w:val="Heading1"/>
      </w:pPr>
      <w:r>
        <w:t xml:space="preserve">84. Desktop AI Engineers</w:t>
      </w:r>
    </w:p>
    <w:p>
      <w:pPr>
        <w:pStyle w:val="FirstParagraph"/>
      </w:pPr>
      <w:r>
        <w:t xml:space="preserve">Desktop supports multiple AI Engineers.</w:t>
      </w:r>
    </w:p>
    <w:p>
      <w:pPr>
        <w:pStyle w:val="BodyText"/>
      </w:pPr>
      <w:r>
        <w:t xml:space="preserve">Each:</w:t>
      </w:r>
    </w:p>
    <w:p>
      <w:pPr>
        <w:pStyle w:val="Compact"/>
        <w:numPr>
          <w:ilvl w:val="0"/>
          <w:numId w:val="1045"/>
        </w:numPr>
      </w:pPr>
      <w:r>
        <w:t xml:space="preserve">belongs to exactly one Project;</w:t>
      </w:r>
    </w:p>
    <w:p>
      <w:pPr>
        <w:pStyle w:val="Compact"/>
        <w:numPr>
          <w:ilvl w:val="0"/>
          <w:numId w:val="1045"/>
        </w:numPr>
      </w:pPr>
      <w:r>
        <w:t xml:space="preserve">has the local Human Principal as owner unless otherwise supported;</w:t>
      </w:r>
    </w:p>
    <w:p>
      <w:pPr>
        <w:pStyle w:val="Compact"/>
        <w:numPr>
          <w:ilvl w:val="0"/>
          <w:numId w:val="1045"/>
        </w:numPr>
      </w:pPr>
      <w:r>
        <w:t xml:space="preserve">receives explicit Role/Policy assignment;</w:t>
      </w:r>
    </w:p>
    <w:p>
      <w:pPr>
        <w:pStyle w:val="Compact"/>
        <w:numPr>
          <w:ilvl w:val="0"/>
          <w:numId w:val="1045"/>
        </w:numPr>
      </w:pPr>
      <w:r>
        <w:t xml:space="preserve">may access one or more Datacenters in that Project;</w:t>
      </w:r>
    </w:p>
    <w:p>
      <w:pPr>
        <w:pStyle w:val="Compact"/>
        <w:numPr>
          <w:ilvl w:val="0"/>
          <w:numId w:val="1045"/>
        </w:numPr>
      </w:pPr>
      <w:r>
        <w:t xml:space="preserve">may have different rights per Datacenter.</w:t>
      </w:r>
    </w:p>
    <w:p>
      <w:r>
        <w:pict>
          <v:rect style="width:0;height:1.5pt" o:hralign="center" o:hrstd="t" o:hr="t"/>
        </w:pict>
      </w:r>
    </w:p>
    <w:bookmarkEnd w:id="115"/>
    <w:bookmarkStart w:id="116" w:name="desktop-organizational-memory"/>
    <w:p>
      <w:pPr>
        <w:pStyle w:val="Heading1"/>
      </w:pPr>
      <w:r>
        <w:t xml:space="preserve">85. Desktop Organizational Memory</w:t>
      </w:r>
    </w:p>
    <w:p>
      <w:pPr>
        <w:pStyle w:val="FirstParagraph"/>
      </w:pPr>
      <w:r>
        <w:t xml:space="preserve">Desktop has one Organizational Memory because it has one Tenant.</w:t>
      </w:r>
    </w:p>
    <w:p>
      <w:pPr>
        <w:pStyle w:val="BodyText"/>
      </w:pPr>
      <w:r>
        <w:t xml:space="preserve">The same logical protections remain:</w:t>
      </w:r>
    </w:p>
    <w:p>
      <w:pPr>
        <w:pStyle w:val="Compact"/>
        <w:numPr>
          <w:ilvl w:val="0"/>
          <w:numId w:val="1046"/>
        </w:numPr>
      </w:pPr>
      <w:r>
        <w:t xml:space="preserve">Project indexing;</w:t>
      </w:r>
    </w:p>
    <w:p>
      <w:pPr>
        <w:pStyle w:val="Compact"/>
        <w:numPr>
          <w:ilvl w:val="0"/>
          <w:numId w:val="1046"/>
        </w:numPr>
      </w:pPr>
      <w:r>
        <w:t xml:space="preserve">Datacenter indexing;</w:t>
      </w:r>
    </w:p>
    <w:p>
      <w:pPr>
        <w:pStyle w:val="Compact"/>
        <w:numPr>
          <w:ilvl w:val="0"/>
          <w:numId w:val="1046"/>
        </w:numPr>
      </w:pPr>
      <w:r>
        <w:t xml:space="preserve">Folder indexing;</w:t>
      </w:r>
    </w:p>
    <w:p>
      <w:pPr>
        <w:pStyle w:val="Compact"/>
        <w:numPr>
          <w:ilvl w:val="0"/>
          <w:numId w:val="1046"/>
        </w:numPr>
      </w:pPr>
      <w:r>
        <w:t xml:space="preserve">Entity indexing;</w:t>
      </w:r>
    </w:p>
    <w:p>
      <w:pPr>
        <w:pStyle w:val="Compact"/>
        <w:numPr>
          <w:ilvl w:val="0"/>
          <w:numId w:val="1046"/>
        </w:numPr>
      </w:pPr>
      <w:r>
        <w:t xml:space="preserve">ACL metadata;</w:t>
      </w:r>
    </w:p>
    <w:p>
      <w:pPr>
        <w:pStyle w:val="Compact"/>
        <w:numPr>
          <w:ilvl w:val="0"/>
          <w:numId w:val="1046"/>
        </w:numPr>
      </w:pPr>
      <w:r>
        <w:t xml:space="preserve">provenance;</w:t>
      </w:r>
    </w:p>
    <w:p>
      <w:pPr>
        <w:pStyle w:val="Compact"/>
        <w:numPr>
          <w:ilvl w:val="0"/>
          <w:numId w:val="1046"/>
        </w:numPr>
      </w:pPr>
      <w:r>
        <w:t xml:space="preserve">Context authorization.</w:t>
      </w:r>
    </w:p>
    <w:p>
      <w:pPr>
        <w:pStyle w:val="FirstParagraph"/>
      </w:pPr>
      <w:r>
        <w:t xml:space="preserve">Some authorization checks may resolve trivially in a single-user configuration, but the security interfaces remain intact.</w:t>
      </w:r>
    </w:p>
    <w:p>
      <w:r>
        <w:pict>
          <v:rect style="width:0;height:1.5pt" o:hralign="center" o:hrstd="t" o:hr="t"/>
        </w:pict>
      </w:r>
    </w:p>
    <w:bookmarkEnd w:id="116"/>
    <w:bookmarkStart w:id="117" w:name="hosted-single-tenant-deployment"/>
    <w:p>
      <w:pPr>
        <w:pStyle w:val="Heading1"/>
      </w:pPr>
      <w:r>
        <w:t xml:space="preserve">86. Hosted Single-Tenant Deployment</w:t>
      </w:r>
    </w:p>
    <w:p>
      <w:pPr>
        <w:pStyle w:val="FirstParagraph"/>
      </w:pPr>
      <w:r>
        <w:t xml:space="preserve">AccuSec shall support an intermediate deployment mode:</w:t>
      </w:r>
    </w:p>
    <w:p>
      <w:pPr>
        <w:pStyle w:val="SourceCode"/>
      </w:pPr>
      <w:r>
        <w:rPr>
          <w:rStyle w:val="VerbatimChar"/>
        </w:rPr>
        <w:t xml:space="preserve">Single Tenant</w:t>
      </w:r>
      <w:r>
        <w:br/>
      </w:r>
      <w:r>
        <w:rPr>
          <w:rStyle w:val="VerbatimChar"/>
        </w:rPr>
        <w:t xml:space="preserve">Multiple Human Users</w:t>
      </w:r>
      <w:r>
        <w:br/>
      </w:r>
      <w:r>
        <w:rPr>
          <w:rStyle w:val="VerbatimChar"/>
        </w:rPr>
        <w:t xml:space="preserve">Multiple Projects</w:t>
      </w:r>
      <w:r>
        <w:br/>
      </w:r>
      <w:r>
        <w:rPr>
          <w:rStyle w:val="VerbatimChar"/>
        </w:rPr>
        <w:t xml:space="preserve">Multiple Datacenters</w:t>
      </w:r>
      <w:r>
        <w:br/>
      </w:r>
      <w:r>
        <w:rPr>
          <w:rStyle w:val="VerbatimChar"/>
        </w:rPr>
        <w:t xml:space="preserve">Multiple Folders</w:t>
      </w:r>
      <w:r>
        <w:br/>
      </w:r>
      <w:r>
        <w:rPr>
          <w:rStyle w:val="VerbatimChar"/>
        </w:rPr>
        <w:t xml:space="preserve">Multiple Agents</w:t>
      </w:r>
    </w:p>
    <w:p>
      <w:pPr>
        <w:pStyle w:val="FirstParagraph"/>
      </w:pPr>
      <w:r>
        <w:t xml:space="preserve">This mode uses the same logical architecture while enabling:</w:t>
      </w:r>
    </w:p>
    <w:p>
      <w:pPr>
        <w:pStyle w:val="Compact"/>
        <w:numPr>
          <w:ilvl w:val="0"/>
          <w:numId w:val="1047"/>
        </w:numPr>
      </w:pPr>
      <w:r>
        <w:t xml:space="preserve">enterprise SSO;</w:t>
      </w:r>
    </w:p>
    <w:p>
      <w:pPr>
        <w:pStyle w:val="Compact"/>
        <w:numPr>
          <w:ilvl w:val="0"/>
          <w:numId w:val="1047"/>
        </w:numPr>
      </w:pPr>
      <w:r>
        <w:t xml:space="preserve">groups;</w:t>
      </w:r>
    </w:p>
    <w:p>
      <w:pPr>
        <w:pStyle w:val="Compact"/>
        <w:numPr>
          <w:ilvl w:val="0"/>
          <w:numId w:val="1047"/>
        </w:numPr>
      </w:pPr>
      <w:r>
        <w:t xml:space="preserve">delegated administration;</w:t>
      </w:r>
    </w:p>
    <w:p>
      <w:pPr>
        <w:pStyle w:val="Compact"/>
        <w:numPr>
          <w:ilvl w:val="0"/>
          <w:numId w:val="1047"/>
        </w:numPr>
      </w:pPr>
      <w:r>
        <w:t xml:space="preserve">collaboration;</w:t>
      </w:r>
    </w:p>
    <w:p>
      <w:pPr>
        <w:pStyle w:val="Compact"/>
        <w:numPr>
          <w:ilvl w:val="0"/>
          <w:numId w:val="1047"/>
        </w:numPr>
      </w:pPr>
      <w:r>
        <w:t xml:space="preserve">centralized audit.</w:t>
      </w:r>
    </w:p>
    <w:p>
      <w:r>
        <w:pict>
          <v:rect style="width:0;height:1.5pt" o:hralign="center" o:hrstd="t" o:hr="t"/>
        </w:pict>
      </w:r>
    </w:p>
    <w:bookmarkEnd w:id="117"/>
    <w:bookmarkStart w:id="118" w:name="hosted-multi-tenant-deployment"/>
    <w:p>
      <w:pPr>
        <w:pStyle w:val="Heading1"/>
      </w:pPr>
      <w:r>
        <w:t xml:space="preserve">87. Hosted Multi-Tenant Deployment</w:t>
      </w:r>
    </w:p>
    <w:p>
      <w:pPr>
        <w:pStyle w:val="FirstParagraph"/>
      </w:pPr>
      <w:r>
        <w:t xml:space="preserve">Hosted multi-tenant deployment supports:</w:t>
      </w:r>
    </w:p>
    <w:p>
      <w:pPr>
        <w:pStyle w:val="SourceCode"/>
      </w:pPr>
      <w:r>
        <w:rPr>
          <w:rStyle w:val="VerbatimChar"/>
        </w:rPr>
        <w:t xml:space="preserve">Tenants:</w:t>
      </w:r>
      <w:r>
        <w:br/>
      </w:r>
      <w:r>
        <w:rPr>
          <w:rStyle w:val="VerbatimChar"/>
        </w:rPr>
        <w:t xml:space="preserve">1..N</w:t>
      </w:r>
      <w:r>
        <w:br/>
      </w:r>
      <w:r>
        <w:br/>
      </w:r>
      <w:r>
        <w:rPr>
          <w:rStyle w:val="VerbatimChar"/>
        </w:rPr>
        <w:t xml:space="preserve">Users per Tenant:</w:t>
      </w:r>
      <w:r>
        <w:br/>
      </w:r>
      <w:r>
        <w:rPr>
          <w:rStyle w:val="VerbatimChar"/>
        </w:rPr>
        <w:t xml:space="preserve">1..N</w:t>
      </w:r>
      <w:r>
        <w:br/>
      </w:r>
      <w:r>
        <w:br/>
      </w:r>
      <w:r>
        <w:rPr>
          <w:rStyle w:val="VerbatimChar"/>
        </w:rPr>
        <w:t xml:space="preserve">Groups:</w:t>
      </w:r>
      <w:r>
        <w:br/>
      </w:r>
      <w:r>
        <w:rPr>
          <w:rStyle w:val="VerbatimChar"/>
        </w:rPr>
        <w:t xml:space="preserve">0..N</w:t>
      </w:r>
      <w:r>
        <w:br/>
      </w:r>
      <w:r>
        <w:br/>
      </w:r>
      <w:r>
        <w:rPr>
          <w:rStyle w:val="VerbatimChar"/>
        </w:rPr>
        <w:t xml:space="preserve">Projects per Tenant:</w:t>
      </w:r>
      <w:r>
        <w:br/>
      </w:r>
      <w:r>
        <w:rPr>
          <w:rStyle w:val="VerbatimChar"/>
        </w:rPr>
        <w:t xml:space="preserve">1..N</w:t>
      </w:r>
      <w:r>
        <w:br/>
      </w:r>
      <w:r>
        <w:br/>
      </w:r>
      <w:r>
        <w:rPr>
          <w:rStyle w:val="VerbatimChar"/>
        </w:rPr>
        <w:t xml:space="preserve">Datacenters per Project:</w:t>
      </w:r>
      <w:r>
        <w:br/>
      </w:r>
      <w:r>
        <w:rPr>
          <w:rStyle w:val="VerbatimChar"/>
        </w:rPr>
        <w:t xml:space="preserve">0..N</w:t>
      </w:r>
      <w:r>
        <w:br/>
      </w:r>
      <w:r>
        <w:br/>
      </w:r>
      <w:r>
        <w:rPr>
          <w:rStyle w:val="VerbatimChar"/>
        </w:rPr>
        <w:t xml:space="preserve">Folders per Datacenter:</w:t>
      </w:r>
      <w:r>
        <w:br/>
      </w:r>
      <w:r>
        <w:rPr>
          <w:rStyle w:val="VerbatimChar"/>
        </w:rPr>
        <w:t xml:space="preserve">1..N</w:t>
      </w:r>
      <w:r>
        <w:br/>
      </w:r>
      <w:r>
        <w:br/>
      </w:r>
      <w:r>
        <w:rPr>
          <w:rStyle w:val="VerbatimChar"/>
        </w:rPr>
        <w:t xml:space="preserve">Endpoints per Tenant:</w:t>
      </w:r>
      <w:r>
        <w:br/>
      </w:r>
      <w:r>
        <w:rPr>
          <w:rStyle w:val="VerbatimChar"/>
        </w:rPr>
        <w:t xml:space="preserve">0..N</w:t>
      </w:r>
      <w:r>
        <w:br/>
      </w:r>
      <w:r>
        <w:br/>
      </w:r>
      <w:r>
        <w:rPr>
          <w:rStyle w:val="VerbatimChar"/>
        </w:rPr>
        <w:t xml:space="preserve">Endpoint Access Identities:</w:t>
      </w:r>
      <w:r>
        <w:br/>
      </w:r>
      <w:r>
        <w:rPr>
          <w:rStyle w:val="VerbatimChar"/>
        </w:rPr>
        <w:t xml:space="preserve">0..N</w:t>
      </w:r>
      <w:r>
        <w:br/>
      </w:r>
      <w:r>
        <w:br/>
      </w:r>
      <w:r>
        <w:rPr>
          <w:rStyle w:val="VerbatimChar"/>
        </w:rPr>
        <w:t xml:space="preserve">Agents:</w:t>
      </w:r>
      <w:r>
        <w:br/>
      </w:r>
      <w:r>
        <w:rPr>
          <w:rStyle w:val="VerbatimChar"/>
        </w:rPr>
        <w:t xml:space="preserve">0..N</w:t>
      </w:r>
      <w:r>
        <w:br/>
      </w:r>
      <w:r>
        <w:br/>
      </w:r>
      <w:r>
        <w:rPr>
          <w:rStyle w:val="VerbatimChar"/>
        </w:rPr>
        <w:t xml:space="preserve">MCP Servers:</w:t>
      </w:r>
      <w:r>
        <w:br/>
      </w:r>
      <w:r>
        <w:rPr>
          <w:rStyle w:val="VerbatimChar"/>
        </w:rPr>
        <w:t xml:space="preserve">0..N</w:t>
      </w:r>
    </w:p>
    <w:p>
      <w:pPr>
        <w:pStyle w:val="FirstParagraph"/>
      </w:pPr>
      <w:r>
        <w:t xml:space="preserve">Every Hosted Tenant has independent:</w:t>
      </w:r>
    </w:p>
    <w:p>
      <w:pPr>
        <w:pStyle w:val="Compact"/>
        <w:numPr>
          <w:ilvl w:val="0"/>
          <w:numId w:val="1048"/>
        </w:numPr>
      </w:pPr>
      <w:r>
        <w:t xml:space="preserve">IAM namespace;</w:t>
      </w:r>
    </w:p>
    <w:p>
      <w:pPr>
        <w:pStyle w:val="Compact"/>
        <w:numPr>
          <w:ilvl w:val="0"/>
          <w:numId w:val="1048"/>
        </w:numPr>
      </w:pPr>
      <w:r>
        <w:t xml:space="preserve">Projects;</w:t>
      </w:r>
    </w:p>
    <w:p>
      <w:pPr>
        <w:pStyle w:val="Compact"/>
        <w:numPr>
          <w:ilvl w:val="0"/>
          <w:numId w:val="1048"/>
        </w:numPr>
      </w:pPr>
      <w:r>
        <w:t xml:space="preserve">Datacenters;</w:t>
      </w:r>
    </w:p>
    <w:p>
      <w:pPr>
        <w:pStyle w:val="Compact"/>
        <w:numPr>
          <w:ilvl w:val="0"/>
          <w:numId w:val="1048"/>
        </w:numPr>
      </w:pPr>
      <w:r>
        <w:t xml:space="preserve">Principals;</w:t>
      </w:r>
    </w:p>
    <w:p>
      <w:pPr>
        <w:pStyle w:val="Compact"/>
        <w:numPr>
          <w:ilvl w:val="0"/>
          <w:numId w:val="1048"/>
        </w:numPr>
      </w:pPr>
      <w:r>
        <w:t xml:space="preserve">Policies;</w:t>
      </w:r>
    </w:p>
    <w:p>
      <w:pPr>
        <w:pStyle w:val="Compact"/>
        <w:numPr>
          <w:ilvl w:val="0"/>
          <w:numId w:val="1048"/>
        </w:numPr>
      </w:pPr>
      <w:r>
        <w:t xml:space="preserve">Organizational Memory;</w:t>
      </w:r>
    </w:p>
    <w:p>
      <w:pPr>
        <w:pStyle w:val="Compact"/>
        <w:numPr>
          <w:ilvl w:val="0"/>
          <w:numId w:val="1048"/>
        </w:numPr>
      </w:pPr>
      <w:r>
        <w:t xml:space="preserve">Endpoint associations;</w:t>
      </w:r>
    </w:p>
    <w:p>
      <w:pPr>
        <w:pStyle w:val="Compact"/>
        <w:numPr>
          <w:ilvl w:val="0"/>
          <w:numId w:val="1048"/>
        </w:numPr>
      </w:pPr>
      <w:r>
        <w:t xml:space="preserve">audit scope.</w:t>
      </w:r>
    </w:p>
    <w:p>
      <w:r>
        <w:pict>
          <v:rect style="width:0;height:1.5pt" o:hralign="center" o:hrstd="t" o:hr="t"/>
        </w:pict>
      </w:r>
    </w:p>
    <w:bookmarkEnd w:id="118"/>
    <w:bookmarkStart w:id="119" w:name="same-iam-engine-across-deployment-modes"/>
    <w:p>
      <w:pPr>
        <w:pStyle w:val="Heading1"/>
      </w:pPr>
      <w:r>
        <w:t xml:space="preserve">88. Same IAM Engine Across Deployment Modes</w:t>
      </w:r>
    </w:p>
    <w:p>
      <w:pPr>
        <w:pStyle w:val="FirstParagraph"/>
      </w:pPr>
      <w:r>
        <w:t xml:space="preserve">Desktop and Hosted deployments use the same logical IAM request.</w:t>
      </w:r>
    </w:p>
    <w:p>
      <w:pPr>
        <w:pStyle w:val="SourceCode"/>
      </w:pPr>
      <w:r>
        <w:rPr>
          <w:rStyle w:val="VerbatimChar"/>
        </w:rPr>
        <w:t xml:space="preserve">AuthorizationRequest {</w:t>
      </w:r>
      <w:r>
        <w:br/>
      </w:r>
      <w:r>
        <w:br/>
      </w:r>
      <w:r>
        <w:rPr>
          <w:rStyle w:val="VerbatimChar"/>
        </w:rPr>
        <w:t xml:space="preserve">    tenant</w:t>
      </w:r>
      <w:r>
        <w:br/>
      </w:r>
      <w:r>
        <w:br/>
      </w:r>
      <w:r>
        <w:rPr>
          <w:rStyle w:val="VerbatimChar"/>
        </w:rPr>
        <w:t xml:space="preserve">    project</w:t>
      </w:r>
      <w:r>
        <w:br/>
      </w:r>
      <w:r>
        <w:br/>
      </w:r>
      <w:r>
        <w:rPr>
          <w:rStyle w:val="VerbatimChar"/>
        </w:rPr>
        <w:t xml:space="preserve">    datacenter</w:t>
      </w:r>
      <w:r>
        <w:br/>
      </w:r>
      <w:r>
        <w:br/>
      </w:r>
      <w:r>
        <w:rPr>
          <w:rStyle w:val="VerbatimChar"/>
        </w:rPr>
        <w:t xml:space="preserve">    principal</w:t>
      </w:r>
      <w:r>
        <w:br/>
      </w:r>
      <w:r>
        <w:br/>
      </w:r>
      <w:r>
        <w:rPr>
          <w:rStyle w:val="VerbatimChar"/>
        </w:rPr>
        <w:t xml:space="preserve">    operation</w:t>
      </w:r>
      <w:r>
        <w:br/>
      </w:r>
      <w:r>
        <w:br/>
      </w:r>
      <w:r>
        <w:rPr>
          <w:rStyle w:val="VerbatimChar"/>
        </w:rPr>
        <w:t xml:space="preserve">    permission</w:t>
      </w:r>
      <w:r>
        <w:br/>
      </w:r>
      <w:r>
        <w:br/>
      </w:r>
      <w:r>
        <w:rPr>
          <w:rStyle w:val="VerbatimChar"/>
        </w:rPr>
        <w:t xml:space="preserve">    entity_type</w:t>
      </w:r>
      <w:r>
        <w:br/>
      </w:r>
      <w:r>
        <w:br/>
      </w:r>
      <w:r>
        <w:rPr>
          <w:rStyle w:val="VerbatimChar"/>
        </w:rPr>
        <w:t xml:space="preserve">    target_entities</w:t>
      </w:r>
      <w:r>
        <w:br/>
      </w:r>
      <w:r>
        <w:br/>
      </w:r>
      <w:r>
        <w:rPr>
          <w:rStyle w:val="VerbatimChar"/>
        </w:rPr>
        <w:t xml:space="preserve">    folder_context</w:t>
      </w:r>
      <w:r>
        <w:br/>
      </w:r>
      <w:r>
        <w:br/>
      </w:r>
      <w:r>
        <w:rPr>
          <w:rStyle w:val="VerbatimChar"/>
        </w:rPr>
        <w:t xml:space="preserve">    policy_context</w:t>
      </w:r>
      <w:r>
        <w:br/>
      </w:r>
      <w:r>
        <w:br/>
      </w:r>
      <w:r>
        <w:rPr>
          <w:rStyle w:val="VerbatimChar"/>
        </w:rPr>
        <w:t xml:space="preserve">    endpoint_context</w:t>
      </w:r>
      <w:r>
        <w:br/>
      </w:r>
      <w:r>
        <w:br/>
      </w:r>
      <w:r>
        <w:rPr>
          <w:rStyle w:val="VerbatimChar"/>
        </w:rPr>
        <w:t xml:space="preserve">    agent_context</w:t>
      </w:r>
      <w:r>
        <w:br/>
      </w:r>
      <w:r>
        <w:br/>
      </w:r>
      <w:r>
        <w:rPr>
          <w:rStyle w:val="VerbatimChar"/>
        </w:rPr>
        <w:t xml:space="preserve">    correlation_id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Desktop simply has lower cardinality for Tenant and Human Principal.</w:t>
      </w:r>
    </w:p>
    <w:p>
      <w:r>
        <w:pict>
          <v:rect style="width:0;height:1.5pt" o:hralign="center" o:hrstd="t" o:hr="t"/>
        </w:pict>
      </w:r>
    </w:p>
    <w:bookmarkEnd w:id="119"/>
    <w:bookmarkStart w:id="120" w:name="no-hard-coded-single-user-assumptions"/>
    <w:p>
      <w:pPr>
        <w:pStyle w:val="Heading1"/>
      </w:pPr>
      <w:r>
        <w:t xml:space="preserve">89. No Hard-Coded Single-User Assumptions</w:t>
      </w:r>
    </w:p>
    <w:p>
      <w:pPr>
        <w:pStyle w:val="FirstParagraph"/>
      </w:pPr>
      <w:r>
        <w:t xml:space="preserve">Desktop implementations shall not assume:</w:t>
      </w:r>
    </w:p>
    <w:p>
      <w:pPr>
        <w:pStyle w:val="SourceCode"/>
      </w:pPr>
      <w:r>
        <w:rPr>
          <w:rStyle w:val="VerbatimChar"/>
        </w:rPr>
        <w:t xml:space="preserve">tenant_id is unnecessary</w:t>
      </w:r>
      <w:r>
        <w:br/>
      </w:r>
      <w:r>
        <w:br/>
      </w:r>
      <w:r>
        <w:rPr>
          <w:rStyle w:val="VerbatimChar"/>
        </w:rPr>
        <w:t xml:space="preserve">principal_id is unnecessary</w:t>
      </w:r>
      <w:r>
        <w:br/>
      </w:r>
      <w:r>
        <w:br/>
      </w:r>
      <w:r>
        <w:rPr>
          <w:rStyle w:val="VerbatimChar"/>
        </w:rPr>
        <w:t xml:space="preserve">authorization may be bypassed</w:t>
      </w:r>
      <w:r>
        <w:br/>
      </w:r>
      <w:r>
        <w:br/>
      </w:r>
      <w:r>
        <w:rPr>
          <w:rStyle w:val="VerbatimChar"/>
        </w:rPr>
        <w:t xml:space="preserve">agent owner is implicit and unrecorded</w:t>
      </w:r>
      <w:r>
        <w:br/>
      </w:r>
      <w:r>
        <w:br/>
      </w:r>
      <w:r>
        <w:rPr>
          <w:rStyle w:val="VerbatimChar"/>
        </w:rPr>
        <w:t xml:space="preserve">all Projects see all Entities</w:t>
      </w:r>
      <w:r>
        <w:br/>
      </w:r>
      <w:r>
        <w:br/>
      </w:r>
      <w:r>
        <w:rPr>
          <w:rStyle w:val="VerbatimChar"/>
        </w:rPr>
        <w:t xml:space="preserve">all Datacenters share one credential</w:t>
      </w:r>
      <w:r>
        <w:br/>
      </w:r>
      <w:r>
        <w:br/>
      </w:r>
      <w:r>
        <w:rPr>
          <w:rStyle w:val="VerbatimChar"/>
        </w:rPr>
        <w:t xml:space="preserve">all Endpoint identities are equivalent</w:t>
      </w:r>
    </w:p>
    <w:p>
      <w:pPr>
        <w:pStyle w:val="FirstParagraph"/>
      </w:pPr>
      <w:r>
        <w:t xml:space="preserve">Such shortcuts are prohibited.</w:t>
      </w:r>
    </w:p>
    <w:p>
      <w:r>
        <w:pict>
          <v:rect style="width:0;height:1.5pt" o:hralign="center" o:hrstd="t" o:hr="t"/>
        </w:pict>
      </w:r>
    </w:p>
    <w:bookmarkEnd w:id="120"/>
    <w:bookmarkStart w:id="121" w:name="desktop-ux-may-hide-singleton-complexity"/>
    <w:p>
      <w:pPr>
        <w:pStyle w:val="Heading1"/>
      </w:pPr>
      <w:r>
        <w:t xml:space="preserve">90. Desktop UX May Hide Singleton Complexity</w:t>
      </w:r>
    </w:p>
    <w:p>
      <w:pPr>
        <w:pStyle w:val="FirstParagraph"/>
      </w:pPr>
      <w:r>
        <w:t xml:space="preserve">The logical model must remain enterprise-grade even when the UI is simplified.</w:t>
      </w:r>
    </w:p>
    <w:p>
      <w:pPr>
        <w:pStyle w:val="BodyText"/>
      </w:pPr>
      <w:r>
        <w:t xml:space="preserve">For example, Desktop may display:</w:t>
      </w:r>
    </w:p>
    <w:p>
      <w:pPr>
        <w:pStyle w:val="SourceCode"/>
      </w:pPr>
      <w:r>
        <w:rPr>
          <w:rStyle w:val="VerbatimChar"/>
        </w:rPr>
        <w:t xml:space="preserve">My AccuSec</w:t>
      </w:r>
    </w:p>
    <w:p>
      <w:pPr>
        <w:pStyle w:val="FirstParagraph"/>
      </w:pPr>
      <w:r>
        <w:t xml:space="preserve">rather than exposing an internal Tenant identifier.</w:t>
      </w:r>
    </w:p>
    <w:p>
      <w:pPr>
        <w:pStyle w:val="BodyText"/>
      </w:pPr>
      <w:r>
        <w:t xml:space="preserve">The product principle is:</w:t>
      </w:r>
    </w:p>
    <w:p>
      <w:pPr>
        <w:pStyle w:val="BlockText"/>
      </w:pPr>
      <w:r>
        <w:t xml:space="preserve">Preserve the enterprise model internally; simplify it in the product experience.</w:t>
      </w:r>
    </w:p>
    <w:p>
      <w:r>
        <w:pict>
          <v:rect style="width:0;height:1.5pt" o:hralign="center" o:hrstd="t" o:hr="t"/>
        </w:pict>
      </w:r>
    </w:p>
    <w:bookmarkEnd w:id="121"/>
    <w:bookmarkStart w:id="122" w:name="X6c082ef2b714ff5042ea57560a9d378e95d5269"/>
    <w:p>
      <w:pPr>
        <w:pStyle w:val="Heading1"/>
      </w:pPr>
      <w:r>
        <w:t xml:space="preserve">91. Logical Architecture Versus Physical Deployment</w:t>
      </w:r>
    </w:p>
    <w:p>
      <w:pPr>
        <w:pStyle w:val="FirstParagraph"/>
      </w:pPr>
      <w:r>
        <w:t xml:space="preserve">Logical components do not necessarily imply separate microservices.</w:t>
      </w:r>
    </w:p>
    <w:p>
      <w:pPr>
        <w:pStyle w:val="BodyText"/>
      </w:pPr>
      <w:r>
        <w:t xml:space="preserve">Desktop may physically package:</w:t>
      </w:r>
    </w:p>
    <w:p>
      <w:pPr>
        <w:pStyle w:val="SourceCode"/>
      </w:pPr>
      <w:r>
        <w:rPr>
          <w:rStyle w:val="VerbatimChar"/>
        </w:rPr>
        <w:t xml:space="preserve">Desktop Application</w:t>
      </w:r>
      <w:r>
        <w:br/>
      </w:r>
      <w:r>
        <w:br/>
      </w:r>
      <w:r>
        <w:rPr>
          <w:rStyle w:val="VerbatimChar"/>
        </w:rPr>
        <w:t xml:space="preserve"> ├── IAM Module</w:t>
      </w:r>
      <w:r>
        <w:br/>
      </w:r>
      <w:r>
        <w:rPr>
          <w:rStyle w:val="VerbatimChar"/>
        </w:rPr>
        <w:t xml:space="preserve"> ├── Context Module</w:t>
      </w:r>
      <w:r>
        <w:br/>
      </w:r>
      <w:r>
        <w:rPr>
          <w:rStyle w:val="VerbatimChar"/>
        </w:rPr>
        <w:t xml:space="preserve"> ├── Agent Runtime</w:t>
      </w:r>
      <w:r>
        <w:br/>
      </w:r>
      <w:r>
        <w:rPr>
          <w:rStyle w:val="VerbatimChar"/>
        </w:rPr>
        <w:t xml:space="preserve"> ├── MCP Proxy</w:t>
      </w:r>
      <w:r>
        <w:br/>
      </w:r>
      <w:r>
        <w:rPr>
          <w:rStyle w:val="VerbatimChar"/>
        </w:rPr>
        <w:t xml:space="preserve"> ├── Endpoint Manager</w:t>
      </w:r>
      <w:r>
        <w:br/>
      </w:r>
      <w:r>
        <w:rPr>
          <w:rStyle w:val="VerbatimChar"/>
        </w:rPr>
        <w:t xml:space="preserve"> ├── Entitlement Module</w:t>
      </w:r>
      <w:r>
        <w:br/>
      </w:r>
      <w:r>
        <w:rPr>
          <w:rStyle w:val="VerbatimChar"/>
        </w:rPr>
        <w:t xml:space="preserve"> ├── Organizational Memory</w:t>
      </w:r>
      <w:r>
        <w:br/>
      </w:r>
      <w:r>
        <w:rPr>
          <w:rStyle w:val="VerbatimChar"/>
        </w:rPr>
        <w:t xml:space="preserve"> └── Local Persistence</w:t>
      </w:r>
    </w:p>
    <w:p>
      <w:pPr>
        <w:pStyle w:val="FirstParagraph"/>
      </w:pPr>
      <w:r>
        <w:t xml:space="preserve">within one process or a small number of processes.</w:t>
      </w:r>
    </w:p>
    <w:p>
      <w:pPr>
        <w:pStyle w:val="BodyText"/>
      </w:pPr>
      <w:r>
        <w:t xml:space="preserve">Hosted deployment may physically separate them into:</w:t>
      </w:r>
    </w:p>
    <w:p>
      <w:pPr>
        <w:pStyle w:val="SourceCode"/>
      </w:pPr>
      <w:r>
        <w:rPr>
          <w:rStyle w:val="VerbatimChar"/>
        </w:rPr>
        <w:t xml:space="preserve">IAM Service</w:t>
      </w:r>
      <w:r>
        <w:br/>
      </w:r>
      <w:r>
        <w:rPr>
          <w:rStyle w:val="VerbatimChar"/>
        </w:rPr>
        <w:t xml:space="preserve">Context Service</w:t>
      </w:r>
      <w:r>
        <w:br/>
      </w:r>
      <w:r>
        <w:rPr>
          <w:rStyle w:val="VerbatimChar"/>
        </w:rPr>
        <w:t xml:space="preserve">Agent Runtime Service</w:t>
      </w:r>
      <w:r>
        <w:br/>
      </w:r>
      <w:r>
        <w:rPr>
          <w:rStyle w:val="VerbatimChar"/>
        </w:rPr>
        <w:t xml:space="preserve">MCP Gateway</w:t>
      </w:r>
      <w:r>
        <w:br/>
      </w:r>
      <w:r>
        <w:rPr>
          <w:rStyle w:val="VerbatimChar"/>
        </w:rPr>
        <w:t xml:space="preserve">Endpoint Service</w:t>
      </w:r>
      <w:r>
        <w:br/>
      </w:r>
      <w:r>
        <w:rPr>
          <w:rStyle w:val="VerbatimChar"/>
        </w:rPr>
        <w:t xml:space="preserve">Entitlement Service</w:t>
      </w:r>
      <w:r>
        <w:br/>
      </w:r>
      <w:r>
        <w:rPr>
          <w:rStyle w:val="VerbatimChar"/>
        </w:rPr>
        <w:t xml:space="preserve">Memory Service</w:t>
      </w:r>
      <w:r>
        <w:br/>
      </w:r>
      <w:r>
        <w:rPr>
          <w:rStyle w:val="VerbatimChar"/>
        </w:rPr>
        <w:t xml:space="preserve">Audit Service</w:t>
      </w:r>
    </w:p>
    <w:p>
      <w:pPr>
        <w:pStyle w:val="FirstParagraph"/>
      </w:pPr>
      <w:r>
        <w:t xml:space="preserve">according to scale and reliability requirements.</w:t>
      </w:r>
    </w:p>
    <w:p>
      <w:pPr>
        <w:pStyle w:val="BodyText"/>
      </w:pPr>
      <w:r>
        <w:t xml:space="preserve">Logical contracts remain the same.</w:t>
      </w:r>
    </w:p>
    <w:p>
      <w:r>
        <w:pict>
          <v:rect style="width:0;height:1.5pt" o:hralign="center" o:hrstd="t" o:hr="t"/>
        </w:pict>
      </w:r>
    </w:p>
    <w:bookmarkEnd w:id="122"/>
    <w:bookmarkStart w:id="123" w:name="persistence-scaling"/>
    <w:p>
      <w:pPr>
        <w:pStyle w:val="Heading1"/>
      </w:pPr>
      <w:r>
        <w:t xml:space="preserve">92. Persistence Scaling</w:t>
      </w:r>
    </w:p>
    <w:p>
      <w:pPr>
        <w:pStyle w:val="FirstParagraph"/>
      </w:pPr>
      <w:r>
        <w:t xml:space="preserve">Desktop may use simplified local persistence.</w:t>
      </w:r>
    </w:p>
    <w:p>
      <w:pPr>
        <w:pStyle w:val="BodyText"/>
      </w:pPr>
      <w:r>
        <w:t xml:space="preserve">Hosted deployment may use highly available distributed services.</w:t>
      </w:r>
    </w:p>
    <w:p>
      <w:pPr>
        <w:pStyle w:val="BodyText"/>
      </w:pPr>
      <w:r>
        <w:t xml:space="preserve">The domain model must remain independent of physical persistence technology.</w:t>
      </w:r>
    </w:p>
    <w:p>
      <w:pPr>
        <w:pStyle w:val="BodyText"/>
      </w:pPr>
      <w:r>
        <w:t xml:space="preserve">Tenant, Project, Datacenter, Principal and Entity identity must therefore remain explicit at every layer.</w:t>
      </w:r>
    </w:p>
    <w:p>
      <w:r>
        <w:pict>
          <v:rect style="width:0;height:1.5pt" o:hralign="center" o:hrstd="t" o:hr="t"/>
        </w:pict>
      </w:r>
    </w:p>
    <w:bookmarkEnd w:id="123"/>
    <w:bookmarkStart w:id="124" w:name="deployment-capability-profile"/>
    <w:p>
      <w:pPr>
        <w:pStyle w:val="Heading1"/>
      </w:pPr>
      <w:r>
        <w:t xml:space="preserve">93. Deployment Capability Profile</w:t>
      </w:r>
    </w:p>
    <w:p>
      <w:pPr>
        <w:pStyle w:val="FirstParagraph"/>
      </w:pPr>
      <w:r>
        <w:t xml:space="preserve">AccuSec may define:</w:t>
      </w:r>
    </w:p>
    <w:p>
      <w:pPr>
        <w:pStyle w:val="SourceCode"/>
      </w:pPr>
      <w:r>
        <w:rPr>
          <w:rStyle w:val="VerbatimChar"/>
        </w:rPr>
        <w:t xml:space="preserve">deployment_mode =</w:t>
      </w:r>
      <w:r>
        <w:br/>
      </w:r>
      <w:r>
        <w:rPr>
          <w:rStyle w:val="VerbatimChar"/>
        </w:rPr>
        <w:t xml:space="preserve">    DESKTOP</w:t>
      </w:r>
      <w:r>
        <w:br/>
      </w:r>
      <w:r>
        <w:rPr>
          <w:rStyle w:val="VerbatimChar"/>
        </w:rPr>
        <w:t xml:space="preserve">    HOSTED_SINGLE_TENANT</w:t>
      </w:r>
      <w:r>
        <w:br/>
      </w:r>
      <w:r>
        <w:rPr>
          <w:rStyle w:val="VerbatimChar"/>
        </w:rPr>
        <w:t xml:space="preserve">    HOSTED_MULTI_TENANT</w:t>
      </w:r>
    </w:p>
    <w:p>
      <w:pPr>
        <w:pStyle w:val="FirstParagraph"/>
      </w:pPr>
      <w:r>
        <w:t xml:space="preserve">The profile controls:</w:t>
      </w:r>
    </w:p>
    <w:p>
      <w:pPr>
        <w:pStyle w:val="Compact"/>
        <w:numPr>
          <w:ilvl w:val="0"/>
          <w:numId w:val="1049"/>
        </w:numPr>
      </w:pPr>
      <w:r>
        <w:t xml:space="preserve">feature availability;</w:t>
      </w:r>
    </w:p>
    <w:p>
      <w:pPr>
        <w:pStyle w:val="Compact"/>
        <w:numPr>
          <w:ilvl w:val="0"/>
          <w:numId w:val="1049"/>
        </w:numPr>
      </w:pPr>
      <w:r>
        <w:t xml:space="preserve">UI complexity;</w:t>
      </w:r>
    </w:p>
    <w:p>
      <w:pPr>
        <w:pStyle w:val="Compact"/>
        <w:numPr>
          <w:ilvl w:val="0"/>
          <w:numId w:val="1049"/>
        </w:numPr>
      </w:pPr>
      <w:r>
        <w:t xml:space="preserve">physical service layout;</w:t>
      </w:r>
    </w:p>
    <w:p>
      <w:pPr>
        <w:pStyle w:val="Compact"/>
        <w:numPr>
          <w:ilvl w:val="0"/>
          <w:numId w:val="1049"/>
        </w:numPr>
      </w:pPr>
      <w:r>
        <w:t xml:space="preserve">scalability characteristics.</w:t>
      </w:r>
    </w:p>
    <w:p>
      <w:pPr>
        <w:pStyle w:val="FirstParagraph"/>
      </w:pPr>
      <w:r>
        <w:t xml:space="preserve">It does not change fundamental authorization semantics.</w:t>
      </w:r>
    </w:p>
    <w:p>
      <w:r>
        <w:pict>
          <v:rect style="width:0;height:1.5pt" o:hralign="center" o:hrstd="t" o:hr="t"/>
        </w:pict>
      </w:r>
    </w:p>
    <w:bookmarkEnd w:id="124"/>
    <w:bookmarkStart w:id="125" w:name="capability-matrix"/>
    <w:p>
      <w:pPr>
        <w:pStyle w:val="Heading1"/>
      </w:pPr>
      <w:r>
        <w:t xml:space="preserve">94. Capability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Hosted Single Tenant</w:t>
            </w:r>
          </w:p>
        </w:tc>
        <w:tc>
          <w:tcPr/>
          <w:p>
            <w:pPr>
              <w:pStyle w:val="Compact"/>
            </w:pPr>
            <w:r>
              <w:t xml:space="preserve">Hosted Multi-Tenant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Users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Datacenters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Folders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Identities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Engineers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Organizational Memory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per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IdP Federation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Groups</w:t>
            </w:r>
          </w:p>
        </w:tc>
        <w:tc>
          <w:tcPr/>
          <w:p>
            <w:pPr>
              <w:pStyle w:val="Compact"/>
            </w:pPr>
            <w:r>
              <w:t xml:space="preserve">Optional/Limited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Delegated Administration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Entitlement Reconciliation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 HA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Optional/Yes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Multi-user Collaboration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t xml:space="preserve">Logical singleton</w:t>
            </w:r>
          </w:p>
        </w:tc>
        <w:tc>
          <w:tcPr/>
          <w:p>
            <w:pPr>
              <w:pStyle w:val="Compact"/>
            </w:pPr>
            <w:r>
              <w:t xml:space="preserve">Logical singleton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desktop-to-hosted-migration"/>
    <w:p>
      <w:pPr>
        <w:pStyle w:val="Heading1"/>
      </w:pPr>
      <w:r>
        <w:t xml:space="preserve">95. Desktop-to-Hosted Migration</w:t>
      </w:r>
    </w:p>
    <w:p>
      <w:pPr>
        <w:pStyle w:val="FirstParagraph"/>
      </w:pPr>
      <w:r>
        <w:t xml:space="preserve">Desktop objects must be structurally compatible with Hosted deployment.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Desktop</w:t>
      </w:r>
      <w:r>
        <w:br/>
      </w:r>
      <w:r>
        <w:br/>
      </w:r>
      <w:r>
        <w:rPr>
          <w:rStyle w:val="VerbatimChar"/>
        </w:rPr>
        <w:t xml:space="preserve">Tenant Local</w:t>
      </w:r>
      <w:r>
        <w:br/>
      </w:r>
      <w:r>
        <w:rPr>
          <w:rStyle w:val="VerbatimChar"/>
        </w:rPr>
        <w:t xml:space="preserve">  ├── Projects</w:t>
      </w:r>
      <w:r>
        <w:br/>
      </w:r>
      <w:r>
        <w:rPr>
          <w:rStyle w:val="VerbatimChar"/>
        </w:rPr>
        <w:t xml:space="preserve">  ├── Datacenters</w:t>
      </w:r>
      <w:r>
        <w:br/>
      </w:r>
      <w:r>
        <w:rPr>
          <w:rStyle w:val="VerbatimChar"/>
        </w:rPr>
        <w:t xml:space="preserve">  ├── Folders</w:t>
      </w:r>
      <w:r>
        <w:br/>
      </w:r>
      <w:r>
        <w:rPr>
          <w:rStyle w:val="VerbatimChar"/>
        </w:rPr>
        <w:t xml:space="preserve">  ├── Entities</w:t>
      </w:r>
      <w:r>
        <w:br/>
      </w:r>
      <w:r>
        <w:rPr>
          <w:rStyle w:val="VerbatimChar"/>
        </w:rPr>
        <w:t xml:space="preserve">  ├── Endpoints</w:t>
      </w:r>
      <w:r>
        <w:br/>
      </w:r>
      <w:r>
        <w:rPr>
          <w:rStyle w:val="VerbatimChar"/>
        </w:rPr>
        <w:t xml:space="preserve">  ├── Endpoint Identities</w:t>
      </w:r>
      <w:r>
        <w:br/>
      </w:r>
      <w:r>
        <w:rPr>
          <w:rStyle w:val="VerbatimChar"/>
        </w:rPr>
        <w:t xml:space="preserve">  ├── Agents</w:t>
      </w:r>
      <w:r>
        <w:br/>
      </w:r>
      <w:r>
        <w:rPr>
          <w:rStyle w:val="VerbatimChar"/>
        </w:rPr>
        <w:t xml:space="preserve">  ├── Roles</w:t>
      </w:r>
      <w:r>
        <w:br/>
      </w:r>
      <w:r>
        <w:rPr>
          <w:rStyle w:val="VerbatimChar"/>
        </w:rPr>
        <w:t xml:space="preserve">  ├── Policies</w:t>
      </w:r>
      <w:r>
        <w:br/>
      </w:r>
      <w:r>
        <w:rPr>
          <w:rStyle w:val="VerbatimChar"/>
        </w:rPr>
        <w:t xml:space="preserve">  └── Organizational Memory</w:t>
      </w:r>
    </w:p>
    <w:p>
      <w:pPr>
        <w:pStyle w:val="FirstParagraph"/>
      </w:pPr>
      <w:r>
        <w:t xml:space="preserve">may migrate to:</w:t>
      </w:r>
    </w:p>
    <w:p>
      <w:pPr>
        <w:pStyle w:val="SourceCode"/>
      </w:pPr>
      <w:r>
        <w:rPr>
          <w:rStyle w:val="VerbatimChar"/>
        </w:rPr>
        <w:t xml:space="preserve">Hosted Tenant</w:t>
      </w:r>
      <w:r>
        <w:br/>
      </w:r>
      <w:r>
        <w:rPr>
          <w:rStyle w:val="VerbatimChar"/>
        </w:rPr>
        <w:t xml:space="preserve">  ├── same Projects</w:t>
      </w:r>
      <w:r>
        <w:br/>
      </w:r>
      <w:r>
        <w:rPr>
          <w:rStyle w:val="VerbatimChar"/>
        </w:rPr>
        <w:t xml:space="preserve">  ├── same Datacenters</w:t>
      </w:r>
      <w:r>
        <w:br/>
      </w:r>
      <w:r>
        <w:rPr>
          <w:rStyle w:val="VerbatimChar"/>
        </w:rPr>
        <w:t xml:space="preserve">  ├── same Folders</w:t>
      </w:r>
      <w:r>
        <w:br/>
      </w:r>
      <w:r>
        <w:rPr>
          <w:rStyle w:val="VerbatimChar"/>
        </w:rPr>
        <w:t xml:space="preserve">  ├── same Entities</w:t>
      </w:r>
      <w:r>
        <w:br/>
      </w:r>
      <w:r>
        <w:rPr>
          <w:rStyle w:val="VerbatimChar"/>
        </w:rPr>
        <w:t xml:space="preserve">  ├── same Endpoint relationships</w:t>
      </w:r>
      <w:r>
        <w:br/>
      </w:r>
      <w:r>
        <w:rPr>
          <w:rStyle w:val="VerbatimChar"/>
        </w:rPr>
        <w:t xml:space="preserve">  ├── same Agents</w:t>
      </w:r>
      <w:r>
        <w:br/>
      </w:r>
      <w:r>
        <w:rPr>
          <w:rStyle w:val="VerbatimChar"/>
        </w:rPr>
        <w:t xml:space="preserve">  ├── same Policies</w:t>
      </w:r>
      <w:r>
        <w:br/>
      </w:r>
      <w:r>
        <w:rPr>
          <w:rStyle w:val="VerbatimChar"/>
        </w:rPr>
        <w:t xml:space="preserve">  └── migrated Organizational Memory</w:t>
      </w:r>
    </w:p>
    <w:p>
      <w:pPr>
        <w:pStyle w:val="FirstParagraph"/>
      </w:pPr>
      <w:r>
        <w:t xml:space="preserve">Additional Human Principals, Groups and enterprise IdPs may then be introduced.</w:t>
      </w:r>
    </w:p>
    <w:p>
      <w:pPr>
        <w:pStyle w:val="BodyText"/>
      </w:pPr>
      <w:r>
        <w:t xml:space="preserve">Migration must not require conversion to a different security model.</w:t>
      </w:r>
    </w:p>
    <w:p>
      <w:r>
        <w:pict>
          <v:rect style="width:0;height:1.5pt" o:hralign="center" o:hrstd="t" o:hr="t"/>
        </w:pict>
      </w:r>
    </w:p>
    <w:bookmarkEnd w:id="126"/>
    <w:bookmarkStart w:id="127" w:name="canonical-scale-principle"/>
    <w:p>
      <w:pPr>
        <w:pStyle w:val="Heading1"/>
      </w:pPr>
      <w:r>
        <w:t xml:space="preserve">96. Canonical Scale Principle</w:t>
      </w:r>
    </w:p>
    <w:p>
      <w:pPr>
        <w:pStyle w:val="FirstParagraph"/>
      </w:pPr>
      <w:r>
        <w:t xml:space="preserve">The architecture follows three foundational rules:</w:t>
      </w:r>
    </w:p>
    <w:p>
      <w:pPr>
        <w:pStyle w:val="BlockText"/>
      </w:pPr>
      <w:r>
        <w:rPr>
          <w:b/>
          <w:bCs/>
        </w:rPr>
        <w:t xml:space="preserve">Single-user is cardinality 1, not a different identity model.</w:t>
      </w:r>
    </w:p>
    <w:p>
      <w:pPr>
        <w:pStyle w:val="BlockText"/>
      </w:pPr>
      <w:r>
        <w:rPr>
          <w:b/>
          <w:bCs/>
        </w:rPr>
        <w:t xml:space="preserve">Single-Tenant is cardinality 1, not absence of tenancy.</w:t>
      </w:r>
    </w:p>
    <w:p>
      <w:pPr>
        <w:pStyle w:val="BlockText"/>
      </w:pPr>
      <w:r>
        <w:rPr>
          <w:b/>
          <w:bCs/>
        </w:rPr>
        <w:t xml:space="preserve">Desktop is a deployment profile of the Enterprise AI Operating System, not a separate product architecture.</w:t>
      </w:r>
    </w:p>
    <w:p>
      <w:r>
        <w:pict>
          <v:rect style="width:0;height:1.5pt" o:hralign="center" o:hrstd="t" o:hr="t"/>
        </w:pict>
      </w:r>
    </w:p>
    <w:bookmarkEnd w:id="127"/>
    <w:bookmarkStart w:id="128" w:name="product-scaling-continuum"/>
    <w:p>
      <w:pPr>
        <w:pStyle w:val="Heading1"/>
      </w:pPr>
      <w:r>
        <w:t xml:space="preserve">97. Product Scaling Continuum</w:t>
      </w:r>
    </w:p>
    <w:p>
      <w:pPr>
        <w:pStyle w:val="SourceCode"/>
      </w:pPr>
      <w:r>
        <w:rPr>
          <w:rStyle w:val="VerbatimChar"/>
        </w:rPr>
        <w:t xml:space="preserve">Desktop</w:t>
      </w:r>
      <w:r>
        <w:br/>
      </w:r>
      <w:r>
        <w:rPr>
          <w:rStyle w:val="VerbatimChar"/>
        </w:rPr>
        <w:t xml:space="preserve">    Single Tenant</w:t>
      </w:r>
      <w:r>
        <w:br/>
      </w:r>
      <w:r>
        <w:rPr>
          <w:rStyle w:val="VerbatimChar"/>
        </w:rPr>
        <w:t xml:space="preserve">    Single User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Hosted Single-Tenant</w:t>
      </w:r>
      <w:r>
        <w:br/>
      </w:r>
      <w:r>
        <w:rPr>
          <w:rStyle w:val="VerbatimChar"/>
        </w:rPr>
        <w:t xml:space="preserve">    Single Tenant</w:t>
      </w:r>
      <w:r>
        <w:br/>
      </w:r>
      <w:r>
        <w:rPr>
          <w:rStyle w:val="VerbatimChar"/>
        </w:rPr>
        <w:t xml:space="preserve">    Multiple Users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Hosted Multi-Tenant</w:t>
      </w:r>
      <w:r>
        <w:br/>
      </w:r>
      <w:r>
        <w:rPr>
          <w:rStyle w:val="VerbatimChar"/>
        </w:rPr>
        <w:t xml:space="preserve">    Multiple Tenants</w:t>
      </w:r>
      <w:r>
        <w:br/>
      </w:r>
      <w:r>
        <w:rPr>
          <w:rStyle w:val="VerbatimChar"/>
        </w:rPr>
        <w:t xml:space="preserve">    Multiple Users</w:t>
      </w:r>
    </w:p>
    <w:p>
      <w:pPr>
        <w:pStyle w:val="FirstParagraph"/>
      </w:pPr>
      <w:r>
        <w:t xml:space="preserve">At every stage: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Datacenter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Default Folder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Folder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Entity</w:t>
      </w:r>
    </w:p>
    <w:p>
      <w:pPr>
        <w:pStyle w:val="FirstParagraph"/>
      </w:pPr>
      <w:r>
        <w:t xml:space="preserve">remains unchanged.</w:t>
      </w:r>
    </w:p>
    <w:p>
      <w:r>
        <w:pict>
          <v:rect style="width:0;height:1.5pt" o:hralign="center" o:hrstd="t" o:hr="t"/>
        </w:pict>
      </w:r>
    </w:p>
    <w:bookmarkEnd w:id="128"/>
    <w:bookmarkStart w:id="129" w:name="canonical-architecture"/>
    <w:p>
      <w:pPr>
        <w:pStyle w:val="Heading1"/>
      </w:pPr>
      <w:r>
        <w:t xml:space="preserve">98. Canonical Architecture</w:t>
      </w:r>
    </w:p>
    <w:p>
      <w:pPr>
        <w:pStyle w:val="SourceCode"/>
      </w:pPr>
      <w:r>
        <w:rPr>
          <w:rStyle w:val="VerbatimChar"/>
        </w:rPr>
        <w:t xml:space="preserve">                         TENANT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┌─────────────┼───────────────┐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│             │               │</w:t>
      </w:r>
      <w:r>
        <w:br/>
      </w:r>
      <w:r>
        <w:rPr>
          <w:rStyle w:val="VerbatimChar"/>
        </w:rPr>
        <w:t xml:space="preserve">             ▼             ▼               ▼</w:t>
      </w:r>
      <w:r>
        <w:br/>
      </w:r>
      <w:r>
        <w:rPr>
          <w:rStyle w:val="VerbatimChar"/>
        </w:rPr>
        <w:t xml:space="preserve">           IAM       Endpoint Registry   Organizational</w:t>
      </w:r>
      <w:r>
        <w:br/>
      </w:r>
      <w:r>
        <w:rPr>
          <w:rStyle w:val="VerbatimChar"/>
        </w:rPr>
        <w:t xml:space="preserve">             │             │              Memory</w:t>
      </w:r>
      <w:r>
        <w:br/>
      </w:r>
      <w:r>
        <w:rPr>
          <w:rStyle w:val="VerbatimChar"/>
        </w:rPr>
        <w:t xml:space="preserve">             │             │               │</w:t>
      </w:r>
      <w:r>
        <w:br/>
      </w:r>
      <w:r>
        <w:rPr>
          <w:rStyle w:val="VerbatimChar"/>
        </w:rPr>
        <w:t xml:space="preserve">             │        Endpoint Access      │</w:t>
      </w:r>
      <w:r>
        <w:br/>
      </w:r>
      <w:r>
        <w:rPr>
          <w:rStyle w:val="VerbatimChar"/>
        </w:rPr>
        <w:t xml:space="preserve">             │          Identities         │</w:t>
      </w:r>
      <w:r>
        <w:br/>
      </w:r>
      <w:r>
        <w:rPr>
          <w:rStyle w:val="VerbatimChar"/>
        </w:rPr>
        <w:t xml:space="preserve">             │             │               │</w:t>
      </w:r>
      <w:r>
        <w:br/>
      </w:r>
      <w:r>
        <w:rPr>
          <w:rStyle w:val="VerbatimChar"/>
        </w:rPr>
        <w:t xml:space="preserve">             ▼             ▼               │</w:t>
      </w:r>
      <w:r>
        <w:br/>
      </w:r>
      <w:r>
        <w:rPr>
          <w:rStyle w:val="VerbatimChar"/>
        </w:rPr>
        <w:t xml:space="preserve">          PROJECT ───── DATACENTER          │</w:t>
      </w:r>
      <w:r>
        <w:br/>
      </w:r>
      <w:r>
        <w:rPr>
          <w:rStyle w:val="VerbatimChar"/>
        </w:rPr>
        <w:t xml:space="preserve">             │             │               │</w:t>
      </w:r>
      <w:r>
        <w:br/>
      </w:r>
      <w:r>
        <w:rPr>
          <w:rStyle w:val="VerbatimChar"/>
        </w:rPr>
        <w:t xml:space="preserve">             │        Default Folder        │</w:t>
      </w:r>
      <w:r>
        <w:br/>
      </w:r>
      <w:r>
        <w:rPr>
          <w:rStyle w:val="VerbatimChar"/>
        </w:rPr>
        <w:t xml:space="preserve">             │             │               │</w:t>
      </w:r>
      <w:r>
        <w:br/>
      </w:r>
      <w:r>
        <w:rPr>
          <w:rStyle w:val="VerbatimChar"/>
        </w:rPr>
        <w:t xml:space="preserve">             │          Folders             │</w:t>
      </w:r>
      <w:r>
        <w:br/>
      </w:r>
      <w:r>
        <w:rPr>
          <w:rStyle w:val="VerbatimChar"/>
        </w:rPr>
        <w:t xml:space="preserve">             │             │               │</w:t>
      </w:r>
      <w:r>
        <w:br/>
      </w:r>
      <w:r>
        <w:rPr>
          <w:rStyle w:val="VerbatimChar"/>
        </w:rPr>
        <w:t xml:space="preserve">             │          Entities ◄──────────┘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├── Users</w:t>
      </w:r>
      <w:r>
        <w:br/>
      </w:r>
      <w:r>
        <w:rPr>
          <w:rStyle w:val="VerbatimChar"/>
        </w:rPr>
        <w:t xml:space="preserve">             ├── Groups</w:t>
      </w:r>
      <w:r>
        <w:br/>
      </w:r>
      <w:r>
        <w:rPr>
          <w:rStyle w:val="VerbatimChar"/>
        </w:rPr>
        <w:t xml:space="preserve">             ├── Agents</w:t>
      </w:r>
      <w:r>
        <w:br/>
      </w:r>
      <w:r>
        <w:rPr>
          <w:rStyle w:val="VerbatimChar"/>
        </w:rPr>
        <w:t xml:space="preserve">             └── Policies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┌─────────┼───────────┐</w:t>
      </w:r>
      <w:r>
        <w:br/>
      </w:r>
      <w:r>
        <w:rPr>
          <w:rStyle w:val="VerbatimChar"/>
        </w:rPr>
        <w:t xml:space="preserve">          ▼         ▼           ▼</w:t>
      </w:r>
      <w:r>
        <w:br/>
      </w:r>
      <w:r>
        <w:rPr>
          <w:rStyle w:val="VerbatimChar"/>
        </w:rPr>
        <w:t xml:space="preserve">        Roles    Subjects      Scope</w:t>
      </w:r>
      <w:r>
        <w:br/>
      </w:r>
      <w:r>
        <w:rPr>
          <w:rStyle w:val="VerbatimChar"/>
        </w:rPr>
        <w:t xml:space="preserve">          │                     │</w:t>
      </w:r>
      <w:r>
        <w:br/>
      </w:r>
      <w:r>
        <w:rPr>
          <w:rStyle w:val="VerbatimChar"/>
        </w:rPr>
        <w:t xml:space="preserve">      Permissions        Project/Datacenter/</w:t>
      </w:r>
      <w:r>
        <w:br/>
      </w:r>
      <w:r>
        <w:rPr>
          <w:rStyle w:val="VerbatimChar"/>
        </w:rPr>
        <w:t xml:space="preserve">          │              Folder/Entity Filter</w:t>
      </w:r>
      <w:r>
        <w:br/>
      </w:r>
      <w:r>
        <w:rPr>
          <w:rStyle w:val="VerbatimChar"/>
        </w:rPr>
        <w:t xml:space="preserve">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 IAM PDP</w:t>
      </w:r>
      <w:r>
        <w:br/>
      </w:r>
      <w:r>
        <w:rPr>
          <w:rStyle w:val="VerbatimChar"/>
        </w:rPr>
        <w:t xml:space="preserve">             ┌───────┼────────────┐</w:t>
      </w:r>
      <w:r>
        <w:br/>
      </w:r>
      <w:r>
        <w:rPr>
          <w:rStyle w:val="VerbatimChar"/>
        </w:rPr>
        <w:t xml:space="preserve">             ▼       ▼            ▼</w:t>
      </w:r>
      <w:r>
        <w:br/>
      </w:r>
      <w:r>
        <w:rPr>
          <w:rStyle w:val="VerbatimChar"/>
        </w:rPr>
        <w:t xml:space="preserve">         Context   MCP Proxy   Entitlement</w:t>
      </w:r>
      <w:r>
        <w:br/>
      </w:r>
      <w:r>
        <w:rPr>
          <w:rStyle w:val="VerbatimChar"/>
        </w:rPr>
        <w:t xml:space="preserve">         Service                 Service</w:t>
      </w:r>
      <w:r>
        <w:br/>
      </w:r>
      <w:r>
        <w:rPr>
          <w:rStyle w:val="VerbatimChar"/>
        </w:rPr>
        <w:t xml:space="preserve">             │       │             │</w:t>
      </w:r>
      <w:r>
        <w:br/>
      </w:r>
      <w:r>
        <w:rPr>
          <w:rStyle w:val="VerbatimChar"/>
        </w:rPr>
        <w:t xml:space="preserve">             ▼       ▼             ▼</w:t>
      </w:r>
      <w:r>
        <w:br/>
      </w:r>
      <w:r>
        <w:rPr>
          <w:rStyle w:val="VerbatimChar"/>
        </w:rPr>
        <w:t xml:space="preserve">           Agent   MCP Server   Provider IAM</w:t>
      </w:r>
      <w:r>
        <w:br/>
      </w:r>
      <w:r>
        <w:rPr>
          <w:rStyle w:val="VerbatimChar"/>
        </w:rPr>
        <w:t xml:space="preserve">                       │            ▲</w:t>
      </w:r>
      <w:r>
        <w:br/>
      </w:r>
      <w:r>
        <w:rPr>
          <w:rStyle w:val="VerbatimChar"/>
        </w:rPr>
        <w:t xml:space="preserve">                       ▼            │</w:t>
      </w:r>
      <w:r>
        <w:br/>
      </w:r>
      <w:r>
        <w:rPr>
          <w:rStyle w:val="VerbatimChar"/>
        </w:rPr>
        <w:t xml:space="preserve">                   Provider API ────┘</w:t>
      </w:r>
    </w:p>
    <w:p>
      <w:pPr>
        <w:pStyle w:val="FirstParagraph"/>
      </w:pPr>
      <w:r>
        <w:t xml:space="preserve">The physical implementation of these boxes may be consolidated for Desktop and decomposed for Hosted deployment.</w:t>
      </w:r>
    </w:p>
    <w:p>
      <w:r>
        <w:pict>
          <v:rect style="width:0;height:1.5pt" o:hralign="center" o:hrstd="t" o:hr="t"/>
        </w:pict>
      </w:r>
    </w:p>
    <w:bookmarkEnd w:id="129"/>
    <w:bookmarkStart w:id="130" w:name="canonical-architectural-decisions"/>
    <w:p>
      <w:pPr>
        <w:pStyle w:val="Heading1"/>
      </w:pPr>
      <w:r>
        <w:t xml:space="preserve">99. Canonical Architectural Decisions</w:t>
      </w:r>
    </w:p>
    <w:p>
      <w:pPr>
        <w:pStyle w:val="FirstParagraph"/>
      </w:pPr>
      <w:r>
        <w:rPr>
          <w:b/>
          <w:bCs/>
        </w:rPr>
        <w:t xml:space="preserve">AD-1:</w:t>
      </w:r>
      <w:r>
        <w:t xml:space="preserve"> </w:t>
      </w:r>
      <w:r>
        <w:t xml:space="preserve">Every Tenant has Project 0.</w:t>
      </w:r>
    </w:p>
    <w:p>
      <w:pPr>
        <w:pStyle w:val="BodyText"/>
      </w:pPr>
      <w:r>
        <w:rPr>
          <w:b/>
          <w:bCs/>
        </w:rPr>
        <w:t xml:space="preserve">AD-2:</w:t>
      </w:r>
      <w:r>
        <w:t xml:space="preserve"> </w:t>
      </w:r>
      <w:r>
        <w:t xml:space="preserve">A Project may contain multiple Datacenters.</w:t>
      </w:r>
    </w:p>
    <w:p>
      <w:pPr>
        <w:pStyle w:val="BodyText"/>
      </w:pPr>
      <w:r>
        <w:rPr>
          <w:b/>
          <w:bCs/>
        </w:rPr>
        <w:t xml:space="preserve">AD-3:</w:t>
      </w:r>
      <w:r>
        <w:t xml:space="preserve"> </w:t>
      </w:r>
      <w:r>
        <w:t xml:space="preserve">Every Datacenter has one mandatory Default Folder.</w:t>
      </w:r>
    </w:p>
    <w:p>
      <w:pPr>
        <w:pStyle w:val="BodyText"/>
      </w:pPr>
      <w:r>
        <w:rPr>
          <w:b/>
          <w:bCs/>
        </w:rPr>
        <w:t xml:space="preserve">AD-4:</w:t>
      </w:r>
      <w:r>
        <w:t xml:space="preserve"> </w:t>
      </w:r>
      <w:r>
        <w:t xml:space="preserve">Folders may branch at arbitrary depth.</w:t>
      </w:r>
    </w:p>
    <w:p>
      <w:pPr>
        <w:pStyle w:val="BodyText"/>
      </w:pPr>
      <w:r>
        <w:rPr>
          <w:b/>
          <w:bCs/>
        </w:rPr>
        <w:t xml:space="preserve">AD-5:</w:t>
      </w:r>
      <w:r>
        <w:t xml:space="preserve"> </w:t>
      </w:r>
      <w:r>
        <w:t xml:space="preserve">Datacenter is a first-class authorization and navigation boundary.</w:t>
      </w:r>
    </w:p>
    <w:p>
      <w:pPr>
        <w:pStyle w:val="BodyText"/>
      </w:pPr>
      <w:r>
        <w:rPr>
          <w:b/>
          <w:bCs/>
        </w:rPr>
        <w:t xml:space="preserve">AD-6:</w:t>
      </w:r>
      <w:r>
        <w:t xml:space="preserve"> </w:t>
      </w:r>
      <w:r>
        <w:t xml:space="preserve">Provider-native topology and AccuSec Folder hierarchy remain separate.</w:t>
      </w:r>
    </w:p>
    <w:p>
      <w:pPr>
        <w:pStyle w:val="BodyText"/>
      </w:pPr>
      <w:r>
        <w:rPr>
          <w:b/>
          <w:bCs/>
        </w:rPr>
        <w:t xml:space="preserve">AD-7:</w:t>
      </w:r>
      <w:r>
        <w:t xml:space="preserve"> </w:t>
      </w:r>
      <w:r>
        <w:t xml:space="preserve">Provider namespaces must not be ambiguously mixed.</w:t>
      </w:r>
    </w:p>
    <w:p>
      <w:pPr>
        <w:pStyle w:val="BodyText"/>
      </w:pPr>
      <w:r>
        <w:rPr>
          <w:b/>
          <w:bCs/>
        </w:rPr>
        <w:t xml:space="preserve">AD-8:</w:t>
      </w:r>
      <w:r>
        <w:t xml:space="preserve"> </w:t>
      </w:r>
      <w:r>
        <w:t xml:space="preserve">Endpoint and Datacenter are distinct objects.</w:t>
      </w:r>
    </w:p>
    <w:p>
      <w:pPr>
        <w:pStyle w:val="BodyText"/>
      </w:pPr>
      <w:r>
        <w:rPr>
          <w:b/>
          <w:bCs/>
        </w:rPr>
        <w:t xml:space="preserve">AD-9:</w:t>
      </w:r>
      <w:r>
        <w:t xml:space="preserve"> </w:t>
      </w:r>
      <w:r>
        <w:t xml:space="preserve">Endpoint Connections may be reused across Projects through Project-local Datacenters.</w:t>
      </w:r>
    </w:p>
    <w:p>
      <w:pPr>
        <w:pStyle w:val="BodyText"/>
      </w:pPr>
      <w:r>
        <w:rPr>
          <w:b/>
          <w:bCs/>
        </w:rPr>
        <w:t xml:space="preserve">AD-10:</w:t>
      </w:r>
      <w:r>
        <w:t xml:space="preserve"> </w:t>
      </w:r>
      <w:r>
        <w:t xml:space="preserve">One Endpoint may have multiple Endpoint Access Identities.</w:t>
      </w:r>
    </w:p>
    <w:p>
      <w:pPr>
        <w:pStyle w:val="BodyText"/>
      </w:pPr>
      <w:r>
        <w:rPr>
          <w:b/>
          <w:bCs/>
        </w:rPr>
        <w:t xml:space="preserve">AD-11:</w:t>
      </w:r>
      <w:r>
        <w:t xml:space="preserve"> </w:t>
      </w:r>
      <w:r>
        <w:t xml:space="preserve">Endpoint identities may have different provider privilege envelopes.</w:t>
      </w:r>
    </w:p>
    <w:p>
      <w:pPr>
        <w:pStyle w:val="BodyText"/>
      </w:pPr>
      <w:r>
        <w:rPr>
          <w:b/>
          <w:bCs/>
        </w:rPr>
        <w:t xml:space="preserve">AD-12:</w:t>
      </w:r>
      <w:r>
        <w:t xml:space="preserve"> </w:t>
      </w:r>
      <w:r>
        <w:t xml:space="preserve">Endpoint identity selection is deterministic and never controlled by an LLM.</w:t>
      </w:r>
    </w:p>
    <w:p>
      <w:pPr>
        <w:pStyle w:val="BodyText"/>
      </w:pPr>
      <w:r>
        <w:rPr>
          <w:b/>
          <w:bCs/>
        </w:rPr>
        <w:t xml:space="preserve">AD-13:</w:t>
      </w:r>
      <w:r>
        <w:t xml:space="preserve"> </w:t>
      </w:r>
      <w:r>
        <w:t xml:space="preserve">AccuSec administration does not imply provider administration.</w:t>
      </w:r>
    </w:p>
    <w:p>
      <w:pPr>
        <w:pStyle w:val="BodyText"/>
      </w:pPr>
      <w:r>
        <w:rPr>
          <w:b/>
          <w:bCs/>
        </w:rPr>
        <w:t xml:space="preserve">AD-14:</w:t>
      </w:r>
      <w:r>
        <w:t xml:space="preserve"> </w:t>
      </w:r>
      <w:r>
        <w:t xml:space="preserve">Provider administration does not imply AccuSec administration.</w:t>
      </w:r>
    </w:p>
    <w:p>
      <w:pPr>
        <w:pStyle w:val="BodyText"/>
      </w:pPr>
      <w:r>
        <w:rPr>
          <w:b/>
          <w:bCs/>
        </w:rPr>
        <w:t xml:space="preserve">AD-15:</w:t>
      </w:r>
      <w:r>
        <w:t xml:space="preserve"> </w:t>
      </w:r>
      <w:r>
        <w:t xml:space="preserve">Infrastructure Administrator and Virtual Project Administrator are separate roles.</w:t>
      </w:r>
    </w:p>
    <w:p>
      <w:pPr>
        <w:pStyle w:val="BodyText"/>
      </w:pPr>
      <w:r>
        <w:rPr>
          <w:b/>
          <w:bCs/>
        </w:rPr>
        <w:t xml:space="preserve">AD-16:</w:t>
      </w:r>
      <w:r>
        <w:t xml:space="preserve"> </w:t>
      </w:r>
      <w:r>
        <w:t xml:space="preserve">Users, groups and agents may receive access at Project, Datacenter and Folder level.</w:t>
      </w:r>
    </w:p>
    <w:p>
      <w:pPr>
        <w:pStyle w:val="BodyText"/>
      </w:pPr>
      <w:r>
        <w:rPr>
          <w:b/>
          <w:bCs/>
        </w:rPr>
        <w:t xml:space="preserve">AD-17:</w:t>
      </w:r>
      <w:r>
        <w:t xml:space="preserve"> </w:t>
      </w:r>
      <w:r>
        <w:t xml:space="preserve">Every AI Engineer belongs to exactly one Project.</w:t>
      </w:r>
    </w:p>
    <w:p>
      <w:pPr>
        <w:pStyle w:val="BodyText"/>
      </w:pPr>
      <w:r>
        <w:rPr>
          <w:b/>
          <w:bCs/>
        </w:rPr>
        <w:t xml:space="preserve">AD-18:</w:t>
      </w:r>
      <w:r>
        <w:t xml:space="preserve"> </w:t>
      </w:r>
      <w:r>
        <w:t xml:space="preserve">An AI Engineer may have different permissions across Datacenters within its Project.</w:t>
      </w:r>
    </w:p>
    <w:p>
      <w:pPr>
        <w:pStyle w:val="BodyText"/>
      </w:pPr>
      <w:r>
        <w:rPr>
          <w:b/>
          <w:bCs/>
        </w:rPr>
        <w:t xml:space="preserve">AD-19:</w:t>
      </w:r>
      <w:r>
        <w:t xml:space="preserve"> </w:t>
      </w:r>
      <w:r>
        <w:t xml:space="preserve">Agents require explicit human authorization.</w:t>
      </w:r>
    </w:p>
    <w:p>
      <w:pPr>
        <w:pStyle w:val="BodyText"/>
      </w:pPr>
      <w:r>
        <w:rPr>
          <w:b/>
          <w:bCs/>
        </w:rPr>
        <w:t xml:space="preserve">AD-20:</w:t>
      </w:r>
      <w:r>
        <w:t xml:space="preserve"> </w:t>
      </w:r>
      <w:r>
        <w:t xml:space="preserve">Agents cannot administer IAM/security.</w:t>
      </w:r>
    </w:p>
    <w:p>
      <w:pPr>
        <w:pStyle w:val="BodyText"/>
      </w:pPr>
      <w:r>
        <w:rPr>
          <w:b/>
          <w:bCs/>
        </w:rPr>
        <w:t xml:space="preserve">AD-21:</w:t>
      </w:r>
      <w:r>
        <w:t xml:space="preserve"> </w:t>
      </w:r>
      <w:r>
        <w:t xml:space="preserve">Roles contain permissions but Access Control Policies grant scoped authority.</w:t>
      </w:r>
    </w:p>
    <w:p>
      <w:pPr>
        <w:pStyle w:val="BodyText"/>
      </w:pPr>
      <w:r>
        <w:rPr>
          <w:b/>
          <w:bCs/>
        </w:rPr>
        <w:t xml:space="preserve">AD-22:</w:t>
      </w:r>
      <w:r>
        <w:t xml:space="preserve"> </w:t>
      </w:r>
      <w:r>
        <w:t xml:space="preserve">Access Control Policy consists of Role + Subjects + Scope.</w:t>
      </w:r>
    </w:p>
    <w:p>
      <w:pPr>
        <w:pStyle w:val="BodyText"/>
      </w:pPr>
      <w:r>
        <w:rPr>
          <w:b/>
          <w:bCs/>
        </w:rPr>
        <w:t xml:space="preserve">AD-23:</w:t>
      </w:r>
      <w:r>
        <w:t xml:space="preserve"> </w:t>
      </w:r>
      <w:r>
        <w:t xml:space="preserve">Scope Filters support structured logical AND.</w:t>
      </w:r>
    </w:p>
    <w:p>
      <w:pPr>
        <w:pStyle w:val="BodyText"/>
      </w:pPr>
      <w:r>
        <w:rPr>
          <w:b/>
          <w:bCs/>
        </w:rPr>
        <w:t xml:space="preserve">AD-24:</w:t>
      </w:r>
      <w:r>
        <w:t xml:space="preserve"> </w:t>
      </w:r>
      <w:r>
        <w:t xml:space="preserve">Policies support multiple line items and Boolean/set expressions.</w:t>
      </w:r>
    </w:p>
    <w:p>
      <w:pPr>
        <w:pStyle w:val="BodyText"/>
      </w:pPr>
      <w:r>
        <w:rPr>
          <w:b/>
          <w:bCs/>
        </w:rPr>
        <w:t xml:space="preserve">AD-25:</w:t>
      </w:r>
      <w:r>
        <w:t xml:space="preserve"> </w:t>
      </w:r>
      <w:r>
        <w:t xml:space="preserve">Complex Policy logic uses deterministic expression trees.</w:t>
      </w:r>
    </w:p>
    <w:p>
      <w:pPr>
        <w:pStyle w:val="BodyText"/>
      </w:pPr>
      <w:r>
        <w:rPr>
          <w:b/>
          <w:bCs/>
        </w:rPr>
        <w:t xml:space="preserve">AD-26:</w:t>
      </w:r>
      <w:r>
        <w:t xml:space="preserve"> </w:t>
      </w:r>
      <w:r>
        <w:t xml:space="preserve">NOT is bounded inside an authorized universe.</w:t>
      </w:r>
    </w:p>
    <w:p>
      <w:pPr>
        <w:pStyle w:val="BodyText"/>
      </w:pPr>
      <w:r>
        <w:rPr>
          <w:b/>
          <w:bCs/>
        </w:rPr>
        <w:t xml:space="preserve">AD-27:</w:t>
      </w:r>
      <w:r>
        <w:t xml:space="preserve"> </w:t>
      </w:r>
      <w:r>
        <w:t xml:space="preserve">MCP tools generate fine-grained executable permissions.</w:t>
      </w:r>
    </w:p>
    <w:p>
      <w:pPr>
        <w:pStyle w:val="BodyText"/>
      </w:pPr>
      <w:r>
        <w:rPr>
          <w:b/>
          <w:bCs/>
        </w:rPr>
        <w:t xml:space="preserve">AD-28:</w:t>
      </w:r>
      <w:r>
        <w:t xml:space="preserve"> </w:t>
      </w:r>
      <w:r>
        <w:t xml:space="preserve">MCP discovery never grants entitlement.</w:t>
      </w:r>
    </w:p>
    <w:p>
      <w:pPr>
        <w:pStyle w:val="BodyText"/>
      </w:pPr>
      <w:r>
        <w:rPr>
          <w:b/>
          <w:bCs/>
        </w:rPr>
        <w:t xml:space="preserve">AD-29:</w:t>
      </w:r>
      <w:r>
        <w:t xml:space="preserve"> </w:t>
      </w:r>
      <w:r>
        <w:t xml:space="preserve">Canonical operations remain distinct from MCP permissions.</w:t>
      </w:r>
    </w:p>
    <w:p>
      <w:pPr>
        <w:pStyle w:val="BodyText"/>
      </w:pPr>
      <w:r>
        <w:rPr>
          <w:b/>
          <w:bCs/>
        </w:rPr>
        <w:t xml:space="preserve">AD-30:</w:t>
      </w:r>
      <w:r>
        <w:t xml:space="preserve"> </w:t>
      </w:r>
      <w:r>
        <w:t xml:space="preserve">Multiple MCP Servers may exist per Project and Datacenter.</w:t>
      </w:r>
    </w:p>
    <w:p>
      <w:pPr>
        <w:pStyle w:val="BodyText"/>
      </w:pPr>
      <w:r>
        <w:rPr>
          <w:b/>
          <w:bCs/>
        </w:rPr>
        <w:t xml:space="preserve">AD-31:</w:t>
      </w:r>
      <w:r>
        <w:t xml:space="preserve"> </w:t>
      </w:r>
      <w:r>
        <w:t xml:space="preserve">MCP execution binds to a specific Datacenter, Endpoint and target Entity.</w:t>
      </w:r>
    </w:p>
    <w:p>
      <w:pPr>
        <w:pStyle w:val="BodyText"/>
      </w:pPr>
      <w:r>
        <w:rPr>
          <w:b/>
          <w:bCs/>
        </w:rPr>
        <w:t xml:space="preserve">AD-32:</w:t>
      </w:r>
      <w:r>
        <w:t xml:space="preserve"> </w:t>
      </w:r>
      <w:r>
        <w:t xml:space="preserve">Provider-operational Roles may require native entitlement provisioning.</w:t>
      </w:r>
    </w:p>
    <w:p>
      <w:pPr>
        <w:pStyle w:val="BodyText"/>
      </w:pPr>
      <w:r>
        <w:rPr>
          <w:b/>
          <w:bCs/>
        </w:rPr>
        <w:t xml:space="preserve">AD-33:</w:t>
      </w:r>
      <w:r>
        <w:t xml:space="preserve"> </w:t>
      </w:r>
      <w:r>
        <w:t xml:space="preserve">AccuSec Role and Provider Entitlement Profile are distinct.</w:t>
      </w:r>
    </w:p>
    <w:p>
      <w:pPr>
        <w:pStyle w:val="BodyText"/>
      </w:pPr>
      <w:r>
        <w:rPr>
          <w:b/>
          <w:bCs/>
        </w:rPr>
        <w:t xml:space="preserve">AD-34:</w:t>
      </w:r>
      <w:r>
        <w:t xml:space="preserve"> </w:t>
      </w:r>
      <w:r>
        <w:t xml:space="preserve">AccuSec stores desired entitlement state; the provider exposes actual enforcement state.</w:t>
      </w:r>
    </w:p>
    <w:p>
      <w:pPr>
        <w:pStyle w:val="BodyText"/>
      </w:pPr>
      <w:r>
        <w:rPr>
          <w:b/>
          <w:bCs/>
        </w:rPr>
        <w:t xml:space="preserve">AD-35:</w:t>
      </w:r>
      <w:r>
        <w:t xml:space="preserve"> </w:t>
      </w:r>
      <w:r>
        <w:t xml:space="preserve">Provider entitlements are reconciled for drift.</w:t>
      </w:r>
    </w:p>
    <w:p>
      <w:pPr>
        <w:pStyle w:val="BodyText"/>
      </w:pPr>
      <w:r>
        <w:rPr>
          <w:b/>
          <w:bCs/>
        </w:rPr>
        <w:t xml:space="preserve">AD-36:</w:t>
      </w:r>
      <w:r>
        <w:t xml:space="preserve"> </w:t>
      </w:r>
      <w:r>
        <w:t xml:space="preserve">Entitlement provisioning identities should be separated from execution identities.</w:t>
      </w:r>
    </w:p>
    <w:p>
      <w:pPr>
        <w:pStyle w:val="BodyText"/>
      </w:pPr>
      <w:r>
        <w:rPr>
          <w:b/>
          <w:bCs/>
        </w:rPr>
        <w:t xml:space="preserve">AD-37:</w:t>
      </w:r>
      <w:r>
        <w:t xml:space="preserve"> </w:t>
      </w:r>
      <w:r>
        <w:t xml:space="preserve">Entity sharing does not transfer ownership or source permissions.</w:t>
      </w:r>
    </w:p>
    <w:p>
      <w:pPr>
        <w:pStyle w:val="BodyText"/>
      </w:pPr>
      <w:r>
        <w:rPr>
          <w:b/>
          <w:bCs/>
        </w:rPr>
        <w:t xml:space="preserve">AD-38:</w:t>
      </w:r>
      <w:r>
        <w:t xml:space="preserve"> </w:t>
      </w:r>
      <w:r>
        <w:t xml:space="preserve">Every Entity retains one canonical identity.</w:t>
      </w:r>
    </w:p>
    <w:p>
      <w:pPr>
        <w:pStyle w:val="BodyText"/>
      </w:pPr>
      <w:r>
        <w:rPr>
          <w:b/>
          <w:bCs/>
        </w:rPr>
        <w:t xml:space="preserve">AD-39:</w:t>
      </w:r>
      <w:r>
        <w:t xml:space="preserve"> </w:t>
      </w:r>
      <w:r>
        <w:t xml:space="preserve">Every Tenant has one logical Organizational Memory.</w:t>
      </w:r>
    </w:p>
    <w:p>
      <w:pPr>
        <w:pStyle w:val="BodyText"/>
      </w:pPr>
      <w:r>
        <w:rPr>
          <w:b/>
          <w:bCs/>
        </w:rPr>
        <w:t xml:space="preserve">AD-40:</w:t>
      </w:r>
      <w:r>
        <w:t xml:space="preserve"> </w:t>
      </w:r>
      <w:r>
        <w:t xml:space="preserve">Organizational Memory never spans Tenants.</w:t>
      </w:r>
    </w:p>
    <w:p>
      <w:pPr>
        <w:pStyle w:val="BodyText"/>
      </w:pPr>
      <w:r>
        <w:rPr>
          <w:b/>
          <w:bCs/>
        </w:rPr>
        <w:t xml:space="preserve">AD-41:</w:t>
      </w:r>
      <w:r>
        <w:t xml:space="preserve"> </w:t>
      </w:r>
      <w:r>
        <w:t xml:space="preserve">Organizational Memory may include enterprise documents and files.</w:t>
      </w:r>
    </w:p>
    <w:p>
      <w:pPr>
        <w:pStyle w:val="BodyText"/>
      </w:pPr>
      <w:r>
        <w:rPr>
          <w:b/>
          <w:bCs/>
        </w:rPr>
        <w:t xml:space="preserve">AD-42:</w:t>
      </w:r>
      <w:r>
        <w:t xml:space="preserve"> </w:t>
      </w:r>
      <w:r>
        <w:t xml:space="preserve">Source ACLs are preserved.</w:t>
      </w:r>
    </w:p>
    <w:p>
      <w:pPr>
        <w:pStyle w:val="BodyText"/>
      </w:pPr>
      <w:r>
        <w:rPr>
          <w:b/>
          <w:bCs/>
        </w:rPr>
        <w:t xml:space="preserve">AD-43:</w:t>
      </w:r>
      <w:r>
        <w:t xml:space="preserve"> </w:t>
      </w:r>
      <w:r>
        <w:t xml:space="preserve">Context Service enforces IAM and ACL before content reaches an LLM.</w:t>
      </w:r>
    </w:p>
    <w:p>
      <w:pPr>
        <w:pStyle w:val="BodyText"/>
      </w:pPr>
      <w:r>
        <w:rPr>
          <w:b/>
          <w:bCs/>
        </w:rPr>
        <w:t xml:space="preserve">AD-44:</w:t>
      </w:r>
      <w:r>
        <w:t xml:space="preserve"> </w:t>
      </w:r>
      <w:r>
        <w:t xml:space="preserve">RAG/vector retrieval cannot bypass authorization.</w:t>
      </w:r>
    </w:p>
    <w:p>
      <w:pPr>
        <w:pStyle w:val="BodyText"/>
      </w:pPr>
      <w:r>
        <w:rPr>
          <w:b/>
          <w:bCs/>
        </w:rPr>
        <w:t xml:space="preserve">AD-45:</w:t>
      </w:r>
      <w:r>
        <w:t xml:space="preserve"> </w:t>
      </w:r>
      <w:r>
        <w:t xml:space="preserve">Security-relevant Memory labels and classifications are controlled and audited.</w:t>
      </w:r>
    </w:p>
    <w:p>
      <w:pPr>
        <w:pStyle w:val="BodyText"/>
      </w:pPr>
      <w:r>
        <w:rPr>
          <w:b/>
          <w:bCs/>
        </w:rPr>
        <w:t xml:space="preserve">AD-46:</w:t>
      </w:r>
      <w:r>
        <w:t xml:space="preserve"> </w:t>
      </w:r>
      <w:r>
        <w:t xml:space="preserve">Approval is separate from authorization.</w:t>
      </w:r>
    </w:p>
    <w:p>
      <w:pPr>
        <w:pStyle w:val="BodyText"/>
      </w:pPr>
      <w:r>
        <w:rPr>
          <w:b/>
          <w:bCs/>
        </w:rPr>
        <w:t xml:space="preserve">AD-47:</w:t>
      </w:r>
      <w:r>
        <w:t xml:space="preserve"> </w:t>
      </w:r>
      <w:r>
        <w:t xml:space="preserve">Provider IAM remains an independent native enforcement boundary.</w:t>
      </w:r>
    </w:p>
    <w:p>
      <w:pPr>
        <w:pStyle w:val="BodyText"/>
      </w:pPr>
      <w:r>
        <w:rPr>
          <w:b/>
          <w:bCs/>
        </w:rPr>
        <w:t xml:space="preserve">AD-48:</w:t>
      </w:r>
      <w:r>
        <w:t xml:space="preserve"> </w:t>
      </w:r>
      <w:r>
        <w:t xml:space="preserve">Desktop and Hosted editions use the same logical management and security architecture.</w:t>
      </w:r>
    </w:p>
    <w:p>
      <w:pPr>
        <w:pStyle w:val="BodyText"/>
      </w:pPr>
      <w:r>
        <w:rPr>
          <w:b/>
          <w:bCs/>
        </w:rPr>
        <w:t xml:space="preserve">AD-49:</w:t>
      </w:r>
      <w:r>
        <w:t xml:space="preserve"> </w:t>
      </w:r>
      <w:r>
        <w:t xml:space="preserve">Single-Tenant is cardinality one, not absence of the Tenant object.</w:t>
      </w:r>
    </w:p>
    <w:p>
      <w:pPr>
        <w:pStyle w:val="BodyText"/>
      </w:pPr>
      <w:r>
        <w:rPr>
          <w:b/>
          <w:bCs/>
        </w:rPr>
        <w:t xml:space="preserve">AD-50:</w:t>
      </w:r>
      <w:r>
        <w:t xml:space="preserve"> </w:t>
      </w:r>
      <w:r>
        <w:t xml:space="preserve">Single-user is cardinality one, not absence of Principal identity.</w:t>
      </w:r>
    </w:p>
    <w:p>
      <w:pPr>
        <w:pStyle w:val="BodyText"/>
      </w:pPr>
      <w:r>
        <w:rPr>
          <w:b/>
          <w:bCs/>
        </w:rPr>
        <w:t xml:space="preserve">AD-51:</w:t>
      </w:r>
      <w:r>
        <w:t xml:space="preserve"> </w:t>
      </w:r>
      <w:r>
        <w:t xml:space="preserve">Desktop supports multiple Projects, Datacenters, Folders, Endpoints, Endpoint identities and AI Engineers.</w:t>
      </w:r>
    </w:p>
    <w:p>
      <w:pPr>
        <w:pStyle w:val="BodyText"/>
      </w:pPr>
      <w:r>
        <w:rPr>
          <w:b/>
          <w:bCs/>
        </w:rPr>
        <w:t xml:space="preserve">AD-52:</w:t>
      </w:r>
      <w:r>
        <w:t xml:space="preserve"> </w:t>
      </w:r>
      <w:r>
        <w:t xml:space="preserve">Desktop may physically consolidate logical services but must preserve logical contracts.</w:t>
      </w:r>
    </w:p>
    <w:p>
      <w:pPr>
        <w:pStyle w:val="BodyText"/>
      </w:pPr>
      <w:r>
        <w:rPr>
          <w:b/>
          <w:bCs/>
        </w:rPr>
        <w:t xml:space="preserve">AD-53:</w:t>
      </w:r>
      <w:r>
        <w:t xml:space="preserve"> </w:t>
      </w:r>
      <w:r>
        <w:t xml:space="preserve">Hosted deployment may physically decompose logical services without changing domain semantics.</w:t>
      </w:r>
    </w:p>
    <w:p>
      <w:pPr>
        <w:pStyle w:val="BodyText"/>
      </w:pPr>
      <w:r>
        <w:rPr>
          <w:b/>
          <w:bCs/>
        </w:rPr>
        <w:t xml:space="preserve">AD-54:</w:t>
      </w:r>
      <w:r>
        <w:t xml:space="preserve"> </w:t>
      </w:r>
      <w:r>
        <w:t xml:space="preserve">Desktop-to-Hosted migration must not require redesigning IAM, tenancy, Endpoint, Entity or Organizational Memory models.</w:t>
      </w:r>
    </w:p>
    <w:p>
      <w:r>
        <w:pict>
          <v:rect style="width:0;height:1.5pt" o:hralign="center" o:hrstd="t" o:hr="t"/>
        </w:pict>
      </w:r>
    </w:p>
    <w:bookmarkEnd w:id="130"/>
    <w:bookmarkStart w:id="131" w:name="core-security-and-scale-invariants"/>
    <w:p>
      <w:pPr>
        <w:pStyle w:val="Heading1"/>
      </w:pPr>
      <w:r>
        <w:t xml:space="preserve">100. Core Security and Scale Invariants</w:t>
      </w:r>
    </w:p>
    <w:p>
      <w:pPr>
        <w:numPr>
          <w:ilvl w:val="0"/>
          <w:numId w:val="1050"/>
        </w:numPr>
      </w:pPr>
      <w:r>
        <w:t xml:space="preserve">Every deployment operates within at least one Tenant.</w:t>
      </w:r>
    </w:p>
    <w:p>
      <w:pPr>
        <w:numPr>
          <w:ilvl w:val="0"/>
          <w:numId w:val="1050"/>
        </w:numPr>
      </w:pPr>
      <w:r>
        <w:t xml:space="preserve">Desktop contains exactly one active Tenant.</w:t>
      </w:r>
    </w:p>
    <w:p>
      <w:pPr>
        <w:numPr>
          <w:ilvl w:val="0"/>
          <w:numId w:val="1050"/>
        </w:numPr>
      </w:pPr>
      <w:r>
        <w:t xml:space="preserve">Hosted multi-tenant may contain multiple Tenants.</w:t>
      </w:r>
    </w:p>
    <w:p>
      <w:pPr>
        <w:numPr>
          <w:ilvl w:val="0"/>
          <w:numId w:val="1050"/>
        </w:numPr>
      </w:pPr>
      <w:r>
        <w:t xml:space="preserve">Every Tenant has exactly one logical Organizational Memory.</w:t>
      </w:r>
    </w:p>
    <w:p>
      <w:pPr>
        <w:numPr>
          <w:ilvl w:val="0"/>
          <w:numId w:val="1050"/>
        </w:numPr>
      </w:pPr>
      <w:r>
        <w:t xml:space="preserve">Every Tenant has Project 0.</w:t>
      </w:r>
    </w:p>
    <w:p>
      <w:pPr>
        <w:numPr>
          <w:ilvl w:val="0"/>
          <w:numId w:val="1050"/>
        </w:numPr>
      </w:pPr>
      <w:r>
        <w:t xml:space="preserve">Every Project may contain multiple Datacenters.</w:t>
      </w:r>
    </w:p>
    <w:p>
      <w:pPr>
        <w:numPr>
          <w:ilvl w:val="0"/>
          <w:numId w:val="1050"/>
        </w:numPr>
      </w:pPr>
      <w:r>
        <w:t xml:space="preserve">Every Datacenter belongs to exactly one Project.</w:t>
      </w:r>
    </w:p>
    <w:p>
      <w:pPr>
        <w:numPr>
          <w:ilvl w:val="0"/>
          <w:numId w:val="1050"/>
        </w:numPr>
      </w:pPr>
      <w:r>
        <w:t xml:space="preserve">Every Datacenter has exactly one Default Folder.</w:t>
      </w:r>
    </w:p>
    <w:p>
      <w:pPr>
        <w:numPr>
          <w:ilvl w:val="0"/>
          <w:numId w:val="1050"/>
        </w:numPr>
      </w:pPr>
      <w:r>
        <w:t xml:space="preserve">Folders cannot cross Datacenter boundaries.</w:t>
      </w:r>
    </w:p>
    <w:p>
      <w:pPr>
        <w:numPr>
          <w:ilvl w:val="0"/>
          <w:numId w:val="1050"/>
        </w:numPr>
      </w:pPr>
      <w:r>
        <w:t xml:space="preserve">Provider identity must be retained during navigation and execution.</w:t>
      </w:r>
    </w:p>
    <w:p>
      <w:pPr>
        <w:numPr>
          <w:ilvl w:val="0"/>
          <w:numId w:val="1050"/>
        </w:numPr>
      </w:pPr>
      <w:r>
        <w:t xml:space="preserve">Authentication does not imply Project membership.</w:t>
      </w:r>
    </w:p>
    <w:p>
      <w:pPr>
        <w:numPr>
          <w:ilvl w:val="0"/>
          <w:numId w:val="1050"/>
        </w:numPr>
      </w:pPr>
      <w:r>
        <w:t xml:space="preserve">Project membership does not imply Datacenter permission.</w:t>
      </w:r>
    </w:p>
    <w:p>
      <w:pPr>
        <w:numPr>
          <w:ilvl w:val="0"/>
          <w:numId w:val="1050"/>
        </w:numPr>
      </w:pPr>
      <w:r>
        <w:t xml:space="preserve">Datacenter permission does not imply another Datacenter’s permission.</w:t>
      </w:r>
    </w:p>
    <w:p>
      <w:pPr>
        <w:numPr>
          <w:ilvl w:val="0"/>
          <w:numId w:val="1050"/>
        </w:numPr>
      </w:pPr>
      <w:r>
        <w:t xml:space="preserve">AccuSec administration does not imply provider operational permission.</w:t>
      </w:r>
    </w:p>
    <w:p>
      <w:pPr>
        <w:numPr>
          <w:ilvl w:val="0"/>
          <w:numId w:val="1050"/>
        </w:numPr>
      </w:pPr>
      <w:r>
        <w:t xml:space="preserve">Provider operational permission does not imply AccuSec administration.</w:t>
      </w:r>
    </w:p>
    <w:p>
      <w:pPr>
        <w:numPr>
          <w:ilvl w:val="0"/>
          <w:numId w:val="1050"/>
        </w:numPr>
      </w:pPr>
      <w:r>
        <w:t xml:space="preserve">AI Engineers are independent Principals.</w:t>
      </w:r>
    </w:p>
    <w:p>
      <w:pPr>
        <w:numPr>
          <w:ilvl w:val="0"/>
          <w:numId w:val="1050"/>
        </w:numPr>
      </w:pPr>
      <w:r>
        <w:t xml:space="preserve">AI Engineers belong to exactly one Project.</w:t>
      </w:r>
    </w:p>
    <w:p>
      <w:pPr>
        <w:numPr>
          <w:ilvl w:val="0"/>
          <w:numId w:val="1050"/>
        </w:numPr>
      </w:pPr>
      <w:r>
        <w:t xml:space="preserve">AI Engineers cannot administer security.</w:t>
      </w:r>
    </w:p>
    <w:p>
      <w:pPr>
        <w:numPr>
          <w:ilvl w:val="0"/>
          <w:numId w:val="1050"/>
        </w:numPr>
      </w:pPr>
      <w:r>
        <w:t xml:space="preserve">Agents cannot switch to a more privileged Endpoint identity.</w:t>
      </w:r>
    </w:p>
    <w:p>
      <w:pPr>
        <w:numPr>
          <w:ilvl w:val="0"/>
          <w:numId w:val="1050"/>
        </w:numPr>
      </w:pPr>
      <w:r>
        <w:t xml:space="preserve">Delegated permissions cannot exceed grantor delegable permissions.</w:t>
      </w:r>
    </w:p>
    <w:p>
      <w:pPr>
        <w:numPr>
          <w:ilvl w:val="0"/>
          <w:numId w:val="1050"/>
        </w:numPr>
      </w:pPr>
      <w:r>
        <w:t xml:space="preserve">Roles alone do not grant access.</w:t>
      </w:r>
    </w:p>
    <w:p>
      <w:pPr>
        <w:numPr>
          <w:ilvl w:val="0"/>
          <w:numId w:val="1050"/>
        </w:numPr>
      </w:pPr>
      <w:r>
        <w:t xml:space="preserve">Policies bind Roles, Subjects and Scope.</w:t>
      </w:r>
    </w:p>
    <w:p>
      <w:pPr>
        <w:numPr>
          <w:ilvl w:val="0"/>
          <w:numId w:val="1050"/>
        </w:numPr>
      </w:pPr>
      <w:r>
        <w:t xml:space="preserve">Scope may exist at Project, Datacenter, Folder, Entity or Dynamic Entity Set level.</w:t>
      </w:r>
    </w:p>
    <w:p>
      <w:pPr>
        <w:numPr>
          <w:ilvl w:val="0"/>
          <w:numId w:val="1050"/>
        </w:numPr>
      </w:pPr>
      <w:r>
        <w:t xml:space="preserve">Scope Filters may resolve zero, one or many Entities.</w:t>
      </w:r>
    </w:p>
    <w:p>
      <w:pPr>
        <w:numPr>
          <w:ilvl w:val="0"/>
          <w:numId w:val="1050"/>
        </w:numPr>
      </w:pPr>
      <w:r>
        <w:t xml:space="preserve">Policy expressions are deterministic.</w:t>
      </w:r>
    </w:p>
    <w:p>
      <w:pPr>
        <w:numPr>
          <w:ilvl w:val="0"/>
          <w:numId w:val="1050"/>
        </w:numPr>
      </w:pPr>
      <w:r>
        <w:t xml:space="preserve">MCP tool discovery never grants entitlement.</w:t>
      </w:r>
    </w:p>
    <w:p>
      <w:pPr>
        <w:numPr>
          <w:ilvl w:val="0"/>
          <w:numId w:val="1050"/>
        </w:numPr>
      </w:pPr>
      <w:r>
        <w:t xml:space="preserve">Protected MCP execution requires explicit permission.</w:t>
      </w:r>
    </w:p>
    <w:p>
      <w:pPr>
        <w:numPr>
          <w:ilvl w:val="0"/>
          <w:numId w:val="1050"/>
        </w:numPr>
      </w:pPr>
      <w:r>
        <w:t xml:space="preserve">MCP execution resolves Datacenter and Endpoint.</w:t>
      </w:r>
    </w:p>
    <w:p>
      <w:pPr>
        <w:numPr>
          <w:ilvl w:val="0"/>
          <w:numId w:val="1050"/>
        </w:numPr>
      </w:pPr>
      <w:r>
        <w:t xml:space="preserve">Endpoint Connections may be reused across Projects where allowed.</w:t>
      </w:r>
    </w:p>
    <w:p>
      <w:pPr>
        <w:numPr>
          <w:ilvl w:val="0"/>
          <w:numId w:val="1050"/>
        </w:numPr>
      </w:pPr>
      <w:r>
        <w:t xml:space="preserve">Endpoint credentials are not exposed simply because a Principal can use the Endpoint.</w:t>
      </w:r>
    </w:p>
    <w:p>
      <w:pPr>
        <w:numPr>
          <w:ilvl w:val="0"/>
          <w:numId w:val="1050"/>
        </w:numPr>
      </w:pPr>
      <w:r>
        <w:t xml:space="preserve">One Endpoint may expose multiple access identities.</w:t>
      </w:r>
    </w:p>
    <w:p>
      <w:pPr>
        <w:numPr>
          <w:ilvl w:val="0"/>
          <w:numId w:val="1050"/>
        </w:numPr>
      </w:pPr>
      <w:r>
        <w:t xml:space="preserve">Endpoint identity selection is deterministic.</w:t>
      </w:r>
    </w:p>
    <w:p>
      <w:pPr>
        <w:numPr>
          <w:ilvl w:val="0"/>
          <w:numId w:val="1050"/>
        </w:numPr>
      </w:pPr>
      <w:r>
        <w:t xml:space="preserve">Provider entitlement provisioning cannot grant beyond authorized AccuSec intent.</w:t>
      </w:r>
    </w:p>
    <w:p>
      <w:pPr>
        <w:numPr>
          <w:ilvl w:val="0"/>
          <w:numId w:val="1050"/>
        </w:numPr>
      </w:pPr>
      <w:r>
        <w:t xml:space="preserve">Provider entitlement drift must be observable.</w:t>
      </w:r>
    </w:p>
    <w:p>
      <w:pPr>
        <w:numPr>
          <w:ilvl w:val="0"/>
          <w:numId w:val="1050"/>
        </w:numPr>
      </w:pPr>
      <w:r>
        <w:t xml:space="preserve">Provider authorization remains mandatory.</w:t>
      </w:r>
    </w:p>
    <w:p>
      <w:pPr>
        <w:numPr>
          <w:ilvl w:val="0"/>
          <w:numId w:val="1050"/>
        </w:numPr>
      </w:pPr>
      <w:r>
        <w:t xml:space="preserve">Entity sharing does not transfer ownership.</w:t>
      </w:r>
    </w:p>
    <w:p>
      <w:pPr>
        <w:numPr>
          <w:ilvl w:val="0"/>
          <w:numId w:val="1050"/>
        </w:numPr>
      </w:pPr>
      <w:r>
        <w:t xml:space="preserve">Shared Entities retain a single canonical Entity ID.</w:t>
      </w:r>
    </w:p>
    <w:p>
      <w:pPr>
        <w:numPr>
          <w:ilvl w:val="0"/>
          <w:numId w:val="1050"/>
        </w:numPr>
      </w:pPr>
      <w:r>
        <w:t xml:space="preserve">Destination authorization is independently evaluated.</w:t>
      </w:r>
    </w:p>
    <w:p>
      <w:pPr>
        <w:numPr>
          <w:ilvl w:val="0"/>
          <w:numId w:val="1050"/>
        </w:numPr>
      </w:pPr>
      <w:r>
        <w:t xml:space="preserve">Organizational Memory cannot be accessed outside its Tenant.</w:t>
      </w:r>
    </w:p>
    <w:p>
      <w:pPr>
        <w:numPr>
          <w:ilvl w:val="0"/>
          <w:numId w:val="1050"/>
        </w:numPr>
      </w:pPr>
      <w:r>
        <w:t xml:space="preserve">Source ACLs survive document ingestion.</w:t>
      </w:r>
    </w:p>
    <w:p>
      <w:pPr>
        <w:numPr>
          <w:ilvl w:val="0"/>
          <w:numId w:val="1050"/>
        </w:numPr>
      </w:pPr>
      <w:r>
        <w:t xml:space="preserve">Unauthorized Memory must not reach the model.</w:t>
      </w:r>
    </w:p>
    <w:p>
      <w:pPr>
        <w:numPr>
          <w:ilvl w:val="0"/>
          <w:numId w:val="1050"/>
        </w:numPr>
      </w:pPr>
      <w:r>
        <w:t xml:space="preserve">Agent ownership does not imply agent access to the owner’s data.</w:t>
      </w:r>
    </w:p>
    <w:p>
      <w:pPr>
        <w:numPr>
          <w:ilvl w:val="0"/>
          <w:numId w:val="1050"/>
        </w:numPr>
      </w:pPr>
      <w:r>
        <w:t xml:space="preserve">Context retrieval preserves Project, Datacenter, Provider and Entity boundaries.</w:t>
      </w:r>
    </w:p>
    <w:p>
      <w:pPr>
        <w:numPr>
          <w:ilvl w:val="0"/>
          <w:numId w:val="1050"/>
        </w:numPr>
      </w:pPr>
      <w:r>
        <w:t xml:space="preserve">Material authorization and entitlement decisions are auditable.</w:t>
      </w:r>
    </w:p>
    <w:p>
      <w:pPr>
        <w:numPr>
          <w:ilvl w:val="0"/>
          <w:numId w:val="1050"/>
        </w:numPr>
      </w:pPr>
      <w:r>
        <w:t xml:space="preserve">Security failures fail closed.</w:t>
      </w:r>
    </w:p>
    <w:p>
      <w:pPr>
        <w:numPr>
          <w:ilvl w:val="0"/>
          <w:numId w:val="1050"/>
        </w:numPr>
      </w:pPr>
      <w:r>
        <w:t xml:space="preserve">LLM output never constitutes authorization.</w:t>
      </w:r>
    </w:p>
    <w:p>
      <w:pPr>
        <w:numPr>
          <w:ilvl w:val="0"/>
          <w:numId w:val="1050"/>
        </w:numPr>
      </w:pPr>
      <w:r>
        <w:t xml:space="preserve">Desktop retains explicit Tenant IDs.</w:t>
      </w:r>
    </w:p>
    <w:p>
      <w:pPr>
        <w:numPr>
          <w:ilvl w:val="0"/>
          <w:numId w:val="1050"/>
        </w:numPr>
      </w:pPr>
      <w:r>
        <w:t xml:space="preserve">Desktop retains explicit Principal IDs.</w:t>
      </w:r>
    </w:p>
    <w:p>
      <w:pPr>
        <w:numPr>
          <w:ilvl w:val="0"/>
          <w:numId w:val="1050"/>
        </w:numPr>
      </w:pPr>
      <w:r>
        <w:t xml:space="preserve">Desktop does not bypass IAM merely because there is one user.</w:t>
      </w:r>
    </w:p>
    <w:p>
      <w:pPr>
        <w:numPr>
          <w:ilvl w:val="0"/>
          <w:numId w:val="1050"/>
        </w:numPr>
      </w:pPr>
      <w:r>
        <w:t xml:space="preserve">Desktop supports multiple Projects.</w:t>
      </w:r>
    </w:p>
    <w:p>
      <w:pPr>
        <w:numPr>
          <w:ilvl w:val="0"/>
          <w:numId w:val="1050"/>
        </w:numPr>
      </w:pPr>
      <w:r>
        <w:t xml:space="preserve">Desktop supports multiple Datacenters per Project.</w:t>
      </w:r>
    </w:p>
    <w:p>
      <w:pPr>
        <w:numPr>
          <w:ilvl w:val="0"/>
          <w:numId w:val="1050"/>
        </w:numPr>
      </w:pPr>
      <w:r>
        <w:t xml:space="preserve">Desktop supports multiple Folders per Datacenter.</w:t>
      </w:r>
    </w:p>
    <w:p>
      <w:pPr>
        <w:numPr>
          <w:ilvl w:val="0"/>
          <w:numId w:val="1050"/>
        </w:numPr>
      </w:pPr>
      <w:r>
        <w:t xml:space="preserve">Desktop supports multiple Endpoint Connections.</w:t>
      </w:r>
    </w:p>
    <w:p>
      <w:pPr>
        <w:numPr>
          <w:ilvl w:val="0"/>
          <w:numId w:val="1050"/>
        </w:numPr>
      </w:pPr>
      <w:r>
        <w:t xml:space="preserve">Desktop supports multiple Endpoint Access Identities.</w:t>
      </w:r>
    </w:p>
    <w:p>
      <w:pPr>
        <w:numPr>
          <w:ilvl w:val="0"/>
          <w:numId w:val="1050"/>
        </w:numPr>
      </w:pPr>
      <w:r>
        <w:t xml:space="preserve">Desktop supports multiple MCP Servers.</w:t>
      </w:r>
    </w:p>
    <w:p>
      <w:pPr>
        <w:numPr>
          <w:ilvl w:val="0"/>
          <w:numId w:val="1050"/>
        </w:numPr>
      </w:pPr>
      <w:r>
        <w:t xml:space="preserve">Desktop supports multiple AI Engineers.</w:t>
      </w:r>
    </w:p>
    <w:p>
      <w:pPr>
        <w:numPr>
          <w:ilvl w:val="0"/>
          <w:numId w:val="1050"/>
        </w:numPr>
      </w:pPr>
      <w:r>
        <w:t xml:space="preserve">Hosted supports the same logical hierarchy with increased cardinality.</w:t>
      </w:r>
    </w:p>
    <w:p>
      <w:pPr>
        <w:numPr>
          <w:ilvl w:val="0"/>
          <w:numId w:val="1050"/>
        </w:numPr>
      </w:pPr>
      <w:r>
        <w:t xml:space="preserve">Physical service consolidation does not eliminate logical component boundaries.</w:t>
      </w:r>
    </w:p>
    <w:p>
      <w:pPr>
        <w:numPr>
          <w:ilvl w:val="0"/>
          <w:numId w:val="1050"/>
        </w:numPr>
      </w:pPr>
      <w:r>
        <w:t xml:space="preserve">Deployment mode does not alter fundamental authorization semantics.</w:t>
      </w:r>
    </w:p>
    <w:p>
      <w:pPr>
        <w:numPr>
          <w:ilvl w:val="0"/>
          <w:numId w:val="1050"/>
        </w:numPr>
      </w:pPr>
      <w:r>
        <w:t xml:space="preserve">Desktop-to-Hosted migration preserves the core domain and security model.</w:t>
      </w:r>
    </w:p>
    <w:p>
      <w:r>
        <w:pict>
          <v:rect style="width:0;height:1.5pt" o:hralign="center" o:hrstd="t" o:hr="t"/>
        </w:pict>
      </w:r>
    </w:p>
    <w:bookmarkEnd w:id="131"/>
    <w:bookmarkStart w:id="146" w:name="initial-functional-acceptance-criteria"/>
    <w:p>
      <w:pPr>
        <w:pStyle w:val="Heading1"/>
      </w:pPr>
      <w:r>
        <w:t xml:space="preserve">101. Initial Functional Acceptance Criteria</w:t>
      </w:r>
    </w:p>
    <w:bookmarkStart w:id="132" w:name="desktop-profile"/>
    <w:p>
      <w:pPr>
        <w:pStyle w:val="Heading2"/>
      </w:pPr>
      <w:r>
        <w:t xml:space="preserve">Desktop Profile</w:t>
      </w:r>
    </w:p>
    <w:p>
      <w:pPr>
        <w:pStyle w:val="FirstParagraph"/>
      </w:pPr>
      <w:r>
        <w:t xml:space="preserve">The product can demonstrate:</w:t>
      </w:r>
    </w:p>
    <w:p>
      <w:pPr>
        <w:pStyle w:val="Compact"/>
        <w:numPr>
          <w:ilvl w:val="0"/>
          <w:numId w:val="1051"/>
        </w:numPr>
      </w:pPr>
      <w:r>
        <w:t xml:space="preserve">one local Tenant;</w:t>
      </w:r>
    </w:p>
    <w:p>
      <w:pPr>
        <w:pStyle w:val="Compact"/>
        <w:numPr>
          <w:ilvl w:val="0"/>
          <w:numId w:val="1051"/>
        </w:numPr>
      </w:pPr>
      <w:r>
        <w:t xml:space="preserve">one Human Principal;</w:t>
      </w:r>
    </w:p>
    <w:p>
      <w:pPr>
        <w:pStyle w:val="Compact"/>
        <w:numPr>
          <w:ilvl w:val="0"/>
          <w:numId w:val="1051"/>
        </w:numPr>
      </w:pPr>
      <w:r>
        <w:t xml:space="preserve">multiple Projects;</w:t>
      </w:r>
    </w:p>
    <w:p>
      <w:pPr>
        <w:pStyle w:val="Compact"/>
        <w:numPr>
          <w:ilvl w:val="0"/>
          <w:numId w:val="1051"/>
        </w:numPr>
      </w:pPr>
      <w:r>
        <w:t xml:space="preserve">multiple Datacenters;</w:t>
      </w:r>
    </w:p>
    <w:p>
      <w:pPr>
        <w:pStyle w:val="Compact"/>
        <w:numPr>
          <w:ilvl w:val="0"/>
          <w:numId w:val="1051"/>
        </w:numPr>
      </w:pPr>
      <w:r>
        <w:t xml:space="preserve">multiple provider-native hierarchy views;</w:t>
      </w:r>
    </w:p>
    <w:p>
      <w:pPr>
        <w:pStyle w:val="Compact"/>
        <w:numPr>
          <w:ilvl w:val="0"/>
          <w:numId w:val="1051"/>
        </w:numPr>
      </w:pPr>
      <w:r>
        <w:t xml:space="preserve">multiple Folder structures;</w:t>
      </w:r>
    </w:p>
    <w:p>
      <w:pPr>
        <w:pStyle w:val="Compact"/>
        <w:numPr>
          <w:ilvl w:val="0"/>
          <w:numId w:val="1051"/>
        </w:numPr>
      </w:pPr>
      <w:r>
        <w:t xml:space="preserve">multiple Endpoints;</w:t>
      </w:r>
    </w:p>
    <w:p>
      <w:pPr>
        <w:pStyle w:val="Compact"/>
        <w:numPr>
          <w:ilvl w:val="0"/>
          <w:numId w:val="1051"/>
        </w:numPr>
      </w:pPr>
      <w:r>
        <w:t xml:space="preserve">multiple Endpoint identities;</w:t>
      </w:r>
    </w:p>
    <w:p>
      <w:pPr>
        <w:pStyle w:val="Compact"/>
        <w:numPr>
          <w:ilvl w:val="0"/>
          <w:numId w:val="1051"/>
        </w:numPr>
      </w:pPr>
      <w:r>
        <w:t xml:space="preserve">multiple MCP Servers;</w:t>
      </w:r>
    </w:p>
    <w:p>
      <w:pPr>
        <w:pStyle w:val="Compact"/>
        <w:numPr>
          <w:ilvl w:val="0"/>
          <w:numId w:val="1051"/>
        </w:numPr>
      </w:pPr>
      <w:r>
        <w:t xml:space="preserve">multiple AI Engineers;</w:t>
      </w:r>
    </w:p>
    <w:p>
      <w:pPr>
        <w:pStyle w:val="Compact"/>
        <w:numPr>
          <w:ilvl w:val="0"/>
          <w:numId w:val="1051"/>
        </w:numPr>
      </w:pPr>
      <w:r>
        <w:t xml:space="preserve">one Tenant-local Organizational Memory;</w:t>
      </w:r>
    </w:p>
    <w:p>
      <w:pPr>
        <w:pStyle w:val="Compact"/>
        <w:numPr>
          <w:ilvl w:val="0"/>
          <w:numId w:val="1051"/>
        </w:numPr>
      </w:pPr>
      <w:r>
        <w:t xml:space="preserve">deterministic IAM enforcement.</w:t>
      </w:r>
    </w:p>
    <w:bookmarkEnd w:id="132"/>
    <w:bookmarkStart w:id="133" w:name="hosted-single-tenant-profile"/>
    <w:p>
      <w:pPr>
        <w:pStyle w:val="Heading2"/>
      </w:pPr>
      <w:r>
        <w:t xml:space="preserve">Hosted Single-Tenant Profile</w:t>
      </w:r>
    </w:p>
    <w:p>
      <w:pPr>
        <w:pStyle w:val="FirstParagraph"/>
      </w:pPr>
      <w:r>
        <w:t xml:space="preserve">The product can additionally demonstrate:</w:t>
      </w:r>
    </w:p>
    <w:p>
      <w:pPr>
        <w:pStyle w:val="Compact"/>
        <w:numPr>
          <w:ilvl w:val="0"/>
          <w:numId w:val="1052"/>
        </w:numPr>
      </w:pPr>
      <w:r>
        <w:t xml:space="preserve">multiple Human Principals;</w:t>
      </w:r>
    </w:p>
    <w:p>
      <w:pPr>
        <w:pStyle w:val="Compact"/>
        <w:numPr>
          <w:ilvl w:val="0"/>
          <w:numId w:val="1052"/>
        </w:numPr>
      </w:pPr>
      <w:r>
        <w:t xml:space="preserve">Groups;</w:t>
      </w:r>
    </w:p>
    <w:p>
      <w:pPr>
        <w:pStyle w:val="Compact"/>
        <w:numPr>
          <w:ilvl w:val="0"/>
          <w:numId w:val="1052"/>
        </w:numPr>
      </w:pPr>
      <w:r>
        <w:t xml:space="preserve">SSO;</w:t>
      </w:r>
    </w:p>
    <w:p>
      <w:pPr>
        <w:pStyle w:val="Compact"/>
        <w:numPr>
          <w:ilvl w:val="0"/>
          <w:numId w:val="1052"/>
        </w:numPr>
      </w:pPr>
      <w:r>
        <w:t xml:space="preserve">delegated administration;</w:t>
      </w:r>
    </w:p>
    <w:p>
      <w:pPr>
        <w:pStyle w:val="Compact"/>
        <w:numPr>
          <w:ilvl w:val="0"/>
          <w:numId w:val="1052"/>
        </w:numPr>
      </w:pPr>
      <w:r>
        <w:t xml:space="preserve">multi-user audit;</w:t>
      </w:r>
    </w:p>
    <w:p>
      <w:pPr>
        <w:pStyle w:val="Compact"/>
        <w:numPr>
          <w:ilvl w:val="0"/>
          <w:numId w:val="1052"/>
        </w:numPr>
      </w:pPr>
      <w:r>
        <w:t xml:space="preserve">provider entitlement provisioning.</w:t>
      </w:r>
    </w:p>
    <w:bookmarkEnd w:id="133"/>
    <w:bookmarkStart w:id="134" w:name="hosted-multi-tenant-profile"/>
    <w:p>
      <w:pPr>
        <w:pStyle w:val="Heading2"/>
      </w:pPr>
      <w:r>
        <w:t xml:space="preserve">Hosted Multi-Tenant Profile</w:t>
      </w:r>
    </w:p>
    <w:p>
      <w:pPr>
        <w:pStyle w:val="FirstParagraph"/>
      </w:pPr>
      <w:r>
        <w:t xml:space="preserve">The product can additionally demonstrate:</w:t>
      </w:r>
    </w:p>
    <w:p>
      <w:pPr>
        <w:pStyle w:val="Compact"/>
        <w:numPr>
          <w:ilvl w:val="0"/>
          <w:numId w:val="1053"/>
        </w:numPr>
      </w:pPr>
      <w:r>
        <w:t xml:space="preserve">multiple isolated Tenants;</w:t>
      </w:r>
    </w:p>
    <w:p>
      <w:pPr>
        <w:pStyle w:val="Compact"/>
        <w:numPr>
          <w:ilvl w:val="0"/>
          <w:numId w:val="1053"/>
        </w:numPr>
      </w:pPr>
      <w:r>
        <w:t xml:space="preserve">one Organizational Memory per Tenant;</w:t>
      </w:r>
    </w:p>
    <w:p>
      <w:pPr>
        <w:pStyle w:val="Compact"/>
        <w:numPr>
          <w:ilvl w:val="0"/>
          <w:numId w:val="1053"/>
        </w:numPr>
      </w:pPr>
      <w:r>
        <w:t xml:space="preserve">separate Tenant IAM namespaces;</w:t>
      </w:r>
    </w:p>
    <w:p>
      <w:pPr>
        <w:pStyle w:val="Compact"/>
        <w:numPr>
          <w:ilvl w:val="0"/>
          <w:numId w:val="1053"/>
        </w:numPr>
      </w:pPr>
      <w:r>
        <w:t xml:space="preserve">separate Projects and Datacenters;</w:t>
      </w:r>
    </w:p>
    <w:p>
      <w:pPr>
        <w:pStyle w:val="Compact"/>
        <w:numPr>
          <w:ilvl w:val="0"/>
          <w:numId w:val="1053"/>
        </w:numPr>
      </w:pPr>
      <w:r>
        <w:t xml:space="preserve">strict cross-Tenant isolation.</w:t>
      </w:r>
    </w:p>
    <w:bookmarkEnd w:id="134"/>
    <w:bookmarkStart w:id="135" w:name="projects-1"/>
    <w:p>
      <w:pPr>
        <w:pStyle w:val="Heading2"/>
      </w:pPr>
      <w:r>
        <w:t xml:space="preserve">Projects</w:t>
      </w:r>
    </w:p>
    <w:p>
      <w:pPr>
        <w:pStyle w:val="FirstParagraph"/>
      </w:pPr>
      <w:r>
        <w:t xml:space="preserve">The product can:</w:t>
      </w:r>
    </w:p>
    <w:p>
      <w:pPr>
        <w:pStyle w:val="Compact"/>
        <w:numPr>
          <w:ilvl w:val="0"/>
          <w:numId w:val="1054"/>
        </w:numPr>
      </w:pPr>
      <w:r>
        <w:t xml:space="preserve">create multiple Projects;</w:t>
      </w:r>
    </w:p>
    <w:p>
      <w:pPr>
        <w:pStyle w:val="Compact"/>
        <w:numPr>
          <w:ilvl w:val="0"/>
          <w:numId w:val="1054"/>
        </w:numPr>
      </w:pPr>
      <w:r>
        <w:t xml:space="preserve">assign users;</w:t>
      </w:r>
    </w:p>
    <w:p>
      <w:pPr>
        <w:pStyle w:val="Compact"/>
        <w:numPr>
          <w:ilvl w:val="0"/>
          <w:numId w:val="1054"/>
        </w:numPr>
      </w:pPr>
      <w:r>
        <w:t xml:space="preserve">assign groups;</w:t>
      </w:r>
    </w:p>
    <w:p>
      <w:pPr>
        <w:pStyle w:val="Compact"/>
        <w:numPr>
          <w:ilvl w:val="0"/>
          <w:numId w:val="1054"/>
        </w:numPr>
      </w:pPr>
      <w:r>
        <w:t xml:space="preserve">create agents;</w:t>
      </w:r>
    </w:p>
    <w:p>
      <w:pPr>
        <w:pStyle w:val="Compact"/>
        <w:numPr>
          <w:ilvl w:val="0"/>
          <w:numId w:val="1054"/>
        </w:numPr>
      </w:pPr>
      <w:r>
        <w:t xml:space="preserve">associate multiple Datacenters.</w:t>
      </w:r>
    </w:p>
    <w:bookmarkEnd w:id="135"/>
    <w:bookmarkStart w:id="136" w:name="datacenters"/>
    <w:p>
      <w:pPr>
        <w:pStyle w:val="Heading2"/>
      </w:pPr>
      <w:r>
        <w:t xml:space="preserve">Datacenters</w:t>
      </w:r>
    </w:p>
    <w:p>
      <w:pPr>
        <w:pStyle w:val="FirstParagraph"/>
      </w:pPr>
      <w:r>
        <w:t xml:space="preserve">The product can:</w:t>
      </w:r>
    </w:p>
    <w:p>
      <w:pPr>
        <w:pStyle w:val="Compact"/>
        <w:numPr>
          <w:ilvl w:val="0"/>
          <w:numId w:val="1055"/>
        </w:numPr>
      </w:pPr>
      <w:r>
        <w:t xml:space="preserve">create multiple Datacenters per Project;</w:t>
      </w:r>
    </w:p>
    <w:p>
      <w:pPr>
        <w:pStyle w:val="Compact"/>
        <w:numPr>
          <w:ilvl w:val="0"/>
          <w:numId w:val="1055"/>
        </w:numPr>
      </w:pPr>
      <w:r>
        <w:t xml:space="preserve">associate Provider Type;</w:t>
      </w:r>
    </w:p>
    <w:p>
      <w:pPr>
        <w:pStyle w:val="Compact"/>
        <w:numPr>
          <w:ilvl w:val="0"/>
          <w:numId w:val="1055"/>
        </w:numPr>
      </w:pPr>
      <w:r>
        <w:t xml:space="preserve">associate Endpoint;</w:t>
      </w:r>
    </w:p>
    <w:p>
      <w:pPr>
        <w:pStyle w:val="Compact"/>
        <w:numPr>
          <w:ilvl w:val="0"/>
          <w:numId w:val="1055"/>
        </w:numPr>
      </w:pPr>
      <w:r>
        <w:t xml:space="preserve">create mandatory Default Folder;</w:t>
      </w:r>
    </w:p>
    <w:p>
      <w:pPr>
        <w:pStyle w:val="Compact"/>
        <w:numPr>
          <w:ilvl w:val="0"/>
          <w:numId w:val="1055"/>
        </w:numPr>
      </w:pPr>
      <w:r>
        <w:t xml:space="preserve">expose provider-native navigation.</w:t>
      </w:r>
    </w:p>
    <w:bookmarkEnd w:id="136"/>
    <w:bookmarkStart w:id="137" w:name="folders"/>
    <w:p>
      <w:pPr>
        <w:pStyle w:val="Heading2"/>
      </w:pPr>
      <w:r>
        <w:t xml:space="preserve">Folders</w:t>
      </w:r>
    </w:p>
    <w:p>
      <w:pPr>
        <w:pStyle w:val="FirstParagraph"/>
      </w:pPr>
      <w:r>
        <w:t xml:space="preserve">The product can:</w:t>
      </w:r>
    </w:p>
    <w:p>
      <w:pPr>
        <w:pStyle w:val="Compact"/>
        <w:numPr>
          <w:ilvl w:val="0"/>
          <w:numId w:val="1056"/>
        </w:numPr>
      </w:pPr>
      <w:r>
        <w:t xml:space="preserve">create arbitrary hierarchical Folder trees;</w:t>
      </w:r>
    </w:p>
    <w:p>
      <w:pPr>
        <w:pStyle w:val="Compact"/>
        <w:numPr>
          <w:ilvl w:val="0"/>
          <w:numId w:val="1056"/>
        </w:numPr>
      </w:pPr>
      <w:r>
        <w:t xml:space="preserve">assign Policy at Datacenter or Folder level;</w:t>
      </w:r>
    </w:p>
    <w:p>
      <w:pPr>
        <w:pStyle w:val="Compact"/>
        <w:numPr>
          <w:ilvl w:val="0"/>
          <w:numId w:val="1056"/>
        </w:numPr>
      </w:pPr>
      <w:r>
        <w:t xml:space="preserve">preserve Datacenter boundaries.</w:t>
      </w:r>
    </w:p>
    <w:bookmarkEnd w:id="137"/>
    <w:bookmarkStart w:id="138" w:name="endpoints"/>
    <w:p>
      <w:pPr>
        <w:pStyle w:val="Heading2"/>
      </w:pPr>
      <w:r>
        <w:t xml:space="preserve">Endpoints</w:t>
      </w:r>
    </w:p>
    <w:p>
      <w:pPr>
        <w:pStyle w:val="FirstParagraph"/>
      </w:pPr>
      <w:r>
        <w:t xml:space="preserve">The product can:</w:t>
      </w:r>
    </w:p>
    <w:p>
      <w:pPr>
        <w:pStyle w:val="Compact"/>
        <w:numPr>
          <w:ilvl w:val="0"/>
          <w:numId w:val="1057"/>
        </w:numPr>
      </w:pPr>
      <w:r>
        <w:t xml:space="preserve">register reusable Endpoints;</w:t>
      </w:r>
    </w:p>
    <w:p>
      <w:pPr>
        <w:pStyle w:val="Compact"/>
        <w:numPr>
          <w:ilvl w:val="0"/>
          <w:numId w:val="1057"/>
        </w:numPr>
      </w:pPr>
      <w:r>
        <w:t xml:space="preserve">share eligible Endpoint references across Projects;</w:t>
      </w:r>
    </w:p>
    <w:p>
      <w:pPr>
        <w:pStyle w:val="Compact"/>
        <w:numPr>
          <w:ilvl w:val="0"/>
          <w:numId w:val="1057"/>
        </w:numPr>
      </w:pPr>
      <w:r>
        <w:t xml:space="preserve">manage multiple Endpoint Access Identities;</w:t>
      </w:r>
    </w:p>
    <w:p>
      <w:pPr>
        <w:pStyle w:val="Compact"/>
        <w:numPr>
          <w:ilvl w:val="0"/>
          <w:numId w:val="1057"/>
        </w:numPr>
      </w:pPr>
      <w:r>
        <w:t xml:space="preserve">protect credential material.</w:t>
      </w:r>
    </w:p>
    <w:bookmarkEnd w:id="138"/>
    <w:bookmarkStart w:id="139" w:name="iam"/>
    <w:p>
      <w:pPr>
        <w:pStyle w:val="Heading2"/>
      </w:pPr>
      <w:r>
        <w:t xml:space="preserve">IAM</w:t>
      </w:r>
    </w:p>
    <w:p>
      <w:pPr>
        <w:pStyle w:val="FirstParagraph"/>
      </w:pPr>
      <w:r>
        <w:t xml:space="preserve">The product can:</w:t>
      </w:r>
    </w:p>
    <w:p>
      <w:pPr>
        <w:pStyle w:val="Compact"/>
        <w:numPr>
          <w:ilvl w:val="0"/>
          <w:numId w:val="1058"/>
        </w:numPr>
      </w:pPr>
      <w:r>
        <w:t xml:space="preserve">normalize Human Principals;</w:t>
      </w:r>
    </w:p>
    <w:p>
      <w:pPr>
        <w:pStyle w:val="Compact"/>
        <w:numPr>
          <w:ilvl w:val="0"/>
          <w:numId w:val="1058"/>
        </w:numPr>
      </w:pPr>
      <w:r>
        <w:t xml:space="preserve">create Roles;</w:t>
      </w:r>
    </w:p>
    <w:p>
      <w:pPr>
        <w:pStyle w:val="Compact"/>
        <w:numPr>
          <w:ilvl w:val="0"/>
          <w:numId w:val="1058"/>
        </w:numPr>
      </w:pPr>
      <w:r>
        <w:t xml:space="preserve">create Permissions;</w:t>
      </w:r>
    </w:p>
    <w:p>
      <w:pPr>
        <w:pStyle w:val="Compact"/>
        <w:numPr>
          <w:ilvl w:val="0"/>
          <w:numId w:val="1058"/>
        </w:numPr>
      </w:pPr>
      <w:r>
        <w:t xml:space="preserve">create Access Control Policies;</w:t>
      </w:r>
    </w:p>
    <w:p>
      <w:pPr>
        <w:pStyle w:val="Compact"/>
        <w:numPr>
          <w:ilvl w:val="0"/>
          <w:numId w:val="1058"/>
        </w:numPr>
      </w:pPr>
      <w:r>
        <w:t xml:space="preserve">apply Project/Datacenter/Folder scopes;</w:t>
      </w:r>
    </w:p>
    <w:p>
      <w:pPr>
        <w:pStyle w:val="Compact"/>
        <w:numPr>
          <w:ilvl w:val="0"/>
          <w:numId w:val="1058"/>
        </w:numPr>
      </w:pPr>
      <w:r>
        <w:t xml:space="preserve">enforce default deny.</w:t>
      </w:r>
    </w:p>
    <w:bookmarkEnd w:id="139"/>
    <w:bookmarkStart w:id="140" w:name="ai-engineers"/>
    <w:p>
      <w:pPr>
        <w:pStyle w:val="Heading2"/>
      </w:pPr>
      <w:r>
        <w:t xml:space="preserve">AI Engineers</w:t>
      </w:r>
    </w:p>
    <w:p>
      <w:pPr>
        <w:pStyle w:val="FirstParagraph"/>
      </w:pPr>
      <w:r>
        <w:t xml:space="preserve">The product can:</w:t>
      </w:r>
    </w:p>
    <w:p>
      <w:pPr>
        <w:pStyle w:val="Compact"/>
        <w:numPr>
          <w:ilvl w:val="0"/>
          <w:numId w:val="1059"/>
        </w:numPr>
      </w:pPr>
      <w:r>
        <w:t xml:space="preserve">create multiple agents;</w:t>
      </w:r>
    </w:p>
    <w:p>
      <w:pPr>
        <w:pStyle w:val="Compact"/>
        <w:numPr>
          <w:ilvl w:val="0"/>
          <w:numId w:val="1059"/>
        </w:numPr>
      </w:pPr>
      <w:r>
        <w:t xml:space="preserve">bind each agent to one Project;</w:t>
      </w:r>
    </w:p>
    <w:p>
      <w:pPr>
        <w:pStyle w:val="Compact"/>
        <w:numPr>
          <w:ilvl w:val="0"/>
          <w:numId w:val="1059"/>
        </w:numPr>
      </w:pPr>
      <w:r>
        <w:t xml:space="preserve">assign different permissions by Datacenter;</w:t>
      </w:r>
    </w:p>
    <w:p>
      <w:pPr>
        <w:pStyle w:val="Compact"/>
        <w:numPr>
          <w:ilvl w:val="0"/>
          <w:numId w:val="1059"/>
        </w:numPr>
      </w:pPr>
      <w:r>
        <w:t xml:space="preserve">enforce owner delegation;</w:t>
      </w:r>
    </w:p>
    <w:p>
      <w:pPr>
        <w:pStyle w:val="Compact"/>
        <w:numPr>
          <w:ilvl w:val="0"/>
          <w:numId w:val="1059"/>
        </w:numPr>
      </w:pPr>
      <w:r>
        <w:t xml:space="preserve">block security administration.</w:t>
      </w:r>
    </w:p>
    <w:bookmarkEnd w:id="140"/>
    <w:bookmarkStart w:id="141" w:name="mcp"/>
    <w:p>
      <w:pPr>
        <w:pStyle w:val="Heading2"/>
      </w:pPr>
      <w:r>
        <w:t xml:space="preserve">MCP</w:t>
      </w:r>
    </w:p>
    <w:p>
      <w:pPr>
        <w:pStyle w:val="FirstParagraph"/>
      </w:pPr>
      <w:r>
        <w:t xml:space="preserve">The product can:</w:t>
      </w:r>
    </w:p>
    <w:p>
      <w:pPr>
        <w:pStyle w:val="Compact"/>
        <w:numPr>
          <w:ilvl w:val="0"/>
          <w:numId w:val="1060"/>
        </w:numPr>
      </w:pPr>
      <w:r>
        <w:t xml:space="preserve">register multiple MCP Servers;</w:t>
      </w:r>
    </w:p>
    <w:p>
      <w:pPr>
        <w:pStyle w:val="Compact"/>
        <w:numPr>
          <w:ilvl w:val="0"/>
          <w:numId w:val="1060"/>
        </w:numPr>
      </w:pPr>
      <w:r>
        <w:t xml:space="preserve">discover tools;</w:t>
      </w:r>
    </w:p>
    <w:p>
      <w:pPr>
        <w:pStyle w:val="Compact"/>
        <w:numPr>
          <w:ilvl w:val="0"/>
          <w:numId w:val="1060"/>
        </w:numPr>
      </w:pPr>
      <w:r>
        <w:t xml:space="preserve">generate executable permissions;</w:t>
      </w:r>
    </w:p>
    <w:p>
      <w:pPr>
        <w:pStyle w:val="Compact"/>
        <w:numPr>
          <w:ilvl w:val="0"/>
          <w:numId w:val="1060"/>
        </w:numPr>
      </w:pPr>
      <w:r>
        <w:t xml:space="preserve">map them to canonical operations;</w:t>
      </w:r>
    </w:p>
    <w:p>
      <w:pPr>
        <w:pStyle w:val="Compact"/>
        <w:numPr>
          <w:ilvl w:val="0"/>
          <w:numId w:val="1060"/>
        </w:numPr>
      </w:pPr>
      <w:r>
        <w:t xml:space="preserve">IAM-check each protected RunTool;</w:t>
      </w:r>
    </w:p>
    <w:p>
      <w:pPr>
        <w:pStyle w:val="Compact"/>
        <w:numPr>
          <w:ilvl w:val="0"/>
          <w:numId w:val="1060"/>
        </w:numPr>
      </w:pPr>
      <w:r>
        <w:t xml:space="preserve">bind execution to Datacenter and Endpoint.</w:t>
      </w:r>
    </w:p>
    <w:bookmarkEnd w:id="141"/>
    <w:bookmarkStart w:id="142" w:name="endpoint-entitlements"/>
    <w:p>
      <w:pPr>
        <w:pStyle w:val="Heading2"/>
      </w:pPr>
      <w:r>
        <w:t xml:space="preserve">Endpoint Entitlements</w:t>
      </w:r>
    </w:p>
    <w:p>
      <w:pPr>
        <w:pStyle w:val="FirstParagraph"/>
      </w:pPr>
      <w:r>
        <w:t xml:space="preserve">The product can:</w:t>
      </w:r>
    </w:p>
    <w:p>
      <w:pPr>
        <w:pStyle w:val="Compact"/>
        <w:numPr>
          <w:ilvl w:val="0"/>
          <w:numId w:val="1061"/>
        </w:numPr>
      </w:pPr>
      <w:r>
        <w:t xml:space="preserve">map AccuSec Roles to Provider Entitlement Profiles;</w:t>
      </w:r>
    </w:p>
    <w:p>
      <w:pPr>
        <w:pStyle w:val="Compact"/>
        <w:numPr>
          <w:ilvl w:val="0"/>
          <w:numId w:val="1061"/>
        </w:numPr>
      </w:pPr>
      <w:r>
        <w:t xml:space="preserve">provision supported provider entitlements;</w:t>
      </w:r>
    </w:p>
    <w:p>
      <w:pPr>
        <w:pStyle w:val="Compact"/>
        <w:numPr>
          <w:ilvl w:val="0"/>
          <w:numId w:val="1061"/>
        </w:numPr>
      </w:pPr>
      <w:r>
        <w:t xml:space="preserve">record desired versus actual state;</w:t>
      </w:r>
    </w:p>
    <w:p>
      <w:pPr>
        <w:pStyle w:val="Compact"/>
        <w:numPr>
          <w:ilvl w:val="0"/>
          <w:numId w:val="1061"/>
        </w:numPr>
      </w:pPr>
      <w:r>
        <w:t xml:space="preserve">revoke provider access;</w:t>
      </w:r>
    </w:p>
    <w:p>
      <w:pPr>
        <w:pStyle w:val="Compact"/>
        <w:numPr>
          <w:ilvl w:val="0"/>
          <w:numId w:val="1061"/>
        </w:numPr>
      </w:pPr>
      <w:r>
        <w:t xml:space="preserve">detect drift.</w:t>
      </w:r>
    </w:p>
    <w:bookmarkEnd w:id="142"/>
    <w:bookmarkStart w:id="143" w:name="organizational-memory-1"/>
    <w:p>
      <w:pPr>
        <w:pStyle w:val="Heading2"/>
      </w:pPr>
      <w:r>
        <w:t xml:space="preserve">Organizational Memory</w:t>
      </w:r>
    </w:p>
    <w:p>
      <w:pPr>
        <w:pStyle w:val="FirstParagraph"/>
      </w:pPr>
      <w:r>
        <w:t xml:space="preserve">The product can:</w:t>
      </w:r>
    </w:p>
    <w:p>
      <w:pPr>
        <w:pStyle w:val="Compact"/>
        <w:numPr>
          <w:ilvl w:val="0"/>
          <w:numId w:val="1062"/>
        </w:numPr>
      </w:pPr>
      <w:r>
        <w:t xml:space="preserve">maintain exactly one logical Memory per Tenant;</w:t>
      </w:r>
    </w:p>
    <w:p>
      <w:pPr>
        <w:pStyle w:val="Compact"/>
        <w:numPr>
          <w:ilvl w:val="0"/>
          <w:numId w:val="1062"/>
        </w:numPr>
      </w:pPr>
      <w:r>
        <w:t xml:space="preserve">ingest infrastructure knowledge;</w:t>
      </w:r>
    </w:p>
    <w:p>
      <w:pPr>
        <w:pStyle w:val="Compact"/>
        <w:numPr>
          <w:ilvl w:val="0"/>
          <w:numId w:val="1062"/>
        </w:numPr>
      </w:pPr>
      <w:r>
        <w:t xml:space="preserve">ingest approved enterprise documents;</w:t>
      </w:r>
    </w:p>
    <w:p>
      <w:pPr>
        <w:pStyle w:val="Compact"/>
        <w:numPr>
          <w:ilvl w:val="0"/>
          <w:numId w:val="1062"/>
        </w:numPr>
      </w:pPr>
      <w:r>
        <w:t xml:space="preserve">preserve source ACLs;</w:t>
      </w:r>
    </w:p>
    <w:p>
      <w:pPr>
        <w:pStyle w:val="Compact"/>
        <w:numPr>
          <w:ilvl w:val="0"/>
          <w:numId w:val="1062"/>
        </w:numPr>
      </w:pPr>
      <w:r>
        <w:t xml:space="preserve">index information by Project, Datacenter, Folder, Entity and security metadata.</w:t>
      </w:r>
    </w:p>
    <w:bookmarkEnd w:id="143"/>
    <w:bookmarkStart w:id="144" w:name="organizational-context"/>
    <w:p>
      <w:pPr>
        <w:pStyle w:val="Heading2"/>
      </w:pPr>
      <w:r>
        <w:t xml:space="preserve">Organizational Context</w:t>
      </w:r>
    </w:p>
    <w:p>
      <w:pPr>
        <w:pStyle w:val="FirstParagraph"/>
      </w:pPr>
      <w:r>
        <w:t xml:space="preserve">The product can:</w:t>
      </w:r>
    </w:p>
    <w:p>
      <w:pPr>
        <w:pStyle w:val="Compact"/>
        <w:numPr>
          <w:ilvl w:val="0"/>
          <w:numId w:val="1063"/>
        </w:numPr>
      </w:pPr>
      <w:r>
        <w:t xml:space="preserve">authorize Context requests;</w:t>
      </w:r>
    </w:p>
    <w:p>
      <w:pPr>
        <w:pStyle w:val="Compact"/>
        <w:numPr>
          <w:ilvl w:val="0"/>
          <w:numId w:val="1063"/>
        </w:numPr>
      </w:pPr>
      <w:r>
        <w:t xml:space="preserve">filter by Tenant;</w:t>
      </w:r>
    </w:p>
    <w:p>
      <w:pPr>
        <w:pStyle w:val="Compact"/>
        <w:numPr>
          <w:ilvl w:val="0"/>
          <w:numId w:val="1063"/>
        </w:numPr>
      </w:pPr>
      <w:r>
        <w:t xml:space="preserve">filter by Project and Datacenter;</w:t>
      </w:r>
    </w:p>
    <w:p>
      <w:pPr>
        <w:pStyle w:val="Compact"/>
        <w:numPr>
          <w:ilvl w:val="0"/>
          <w:numId w:val="1063"/>
        </w:numPr>
      </w:pPr>
      <w:r>
        <w:t xml:space="preserve">enforce source ACLs;</w:t>
      </w:r>
    </w:p>
    <w:p>
      <w:pPr>
        <w:pStyle w:val="Compact"/>
        <w:numPr>
          <w:ilvl w:val="0"/>
          <w:numId w:val="1063"/>
        </w:numPr>
      </w:pPr>
      <w:r>
        <w:t xml:space="preserve">construct only authorized Context Packages.</w:t>
      </w:r>
    </w:p>
    <w:bookmarkEnd w:id="144"/>
    <w:bookmarkStart w:id="145" w:name="audit"/>
    <w:p>
      <w:pPr>
        <w:pStyle w:val="Heading2"/>
      </w:pPr>
      <w:r>
        <w:t xml:space="preserve">Audit</w:t>
      </w:r>
    </w:p>
    <w:p>
      <w:pPr>
        <w:pStyle w:val="FirstParagraph"/>
      </w:pPr>
      <w:r>
        <w:t xml:space="preserve">The product can reconstruct:</w:t>
      </w:r>
    </w:p>
    <w:p>
      <w:pPr>
        <w:pStyle w:val="Compact"/>
        <w:numPr>
          <w:ilvl w:val="0"/>
          <w:numId w:val="1064"/>
        </w:numPr>
      </w:pPr>
      <w:r>
        <w:t xml:space="preserve">initiating Human;</w:t>
      </w:r>
    </w:p>
    <w:p>
      <w:pPr>
        <w:pStyle w:val="Compact"/>
        <w:numPr>
          <w:ilvl w:val="0"/>
          <w:numId w:val="1064"/>
        </w:numPr>
      </w:pPr>
      <w:r>
        <w:t xml:space="preserve">executing Agent;</w:t>
      </w:r>
    </w:p>
    <w:p>
      <w:pPr>
        <w:pStyle w:val="Compact"/>
        <w:numPr>
          <w:ilvl w:val="0"/>
          <w:numId w:val="1064"/>
        </w:numPr>
      </w:pPr>
      <w:r>
        <w:t xml:space="preserve">AccuSec Role;</w:t>
      </w:r>
    </w:p>
    <w:p>
      <w:pPr>
        <w:pStyle w:val="Compact"/>
        <w:numPr>
          <w:ilvl w:val="0"/>
          <w:numId w:val="1064"/>
        </w:numPr>
      </w:pPr>
      <w:r>
        <w:t xml:space="preserve">Permission;</w:t>
      </w:r>
    </w:p>
    <w:p>
      <w:pPr>
        <w:pStyle w:val="Compact"/>
        <w:numPr>
          <w:ilvl w:val="0"/>
          <w:numId w:val="1064"/>
        </w:numPr>
      </w:pPr>
      <w:r>
        <w:t xml:space="preserve">Policy;</w:t>
      </w:r>
    </w:p>
    <w:p>
      <w:pPr>
        <w:pStyle w:val="Compact"/>
        <w:numPr>
          <w:ilvl w:val="0"/>
          <w:numId w:val="1064"/>
        </w:numPr>
      </w:pPr>
      <w:r>
        <w:t xml:space="preserve">Project;</w:t>
      </w:r>
    </w:p>
    <w:p>
      <w:pPr>
        <w:pStyle w:val="Compact"/>
        <w:numPr>
          <w:ilvl w:val="0"/>
          <w:numId w:val="1064"/>
        </w:numPr>
      </w:pPr>
      <w:r>
        <w:t xml:space="preserve">Datacenter;</w:t>
      </w:r>
    </w:p>
    <w:p>
      <w:pPr>
        <w:pStyle w:val="Compact"/>
        <w:numPr>
          <w:ilvl w:val="0"/>
          <w:numId w:val="1064"/>
        </w:numPr>
      </w:pPr>
      <w:r>
        <w:t xml:space="preserve">Endpoint;</w:t>
      </w:r>
    </w:p>
    <w:p>
      <w:pPr>
        <w:pStyle w:val="Compact"/>
        <w:numPr>
          <w:ilvl w:val="0"/>
          <w:numId w:val="1064"/>
        </w:numPr>
      </w:pPr>
      <w:r>
        <w:t xml:space="preserve">Endpoint Access Identity;</w:t>
      </w:r>
    </w:p>
    <w:p>
      <w:pPr>
        <w:pStyle w:val="Compact"/>
        <w:numPr>
          <w:ilvl w:val="0"/>
          <w:numId w:val="1064"/>
        </w:numPr>
      </w:pPr>
      <w:r>
        <w:t xml:space="preserve">MCP Tool;</w:t>
      </w:r>
    </w:p>
    <w:p>
      <w:pPr>
        <w:pStyle w:val="Compact"/>
        <w:numPr>
          <w:ilvl w:val="0"/>
          <w:numId w:val="1064"/>
        </w:numPr>
      </w:pPr>
      <w:r>
        <w:t xml:space="preserve">target Entity;</w:t>
      </w:r>
    </w:p>
    <w:p>
      <w:pPr>
        <w:pStyle w:val="Compact"/>
        <w:numPr>
          <w:ilvl w:val="0"/>
          <w:numId w:val="1064"/>
        </w:numPr>
      </w:pPr>
      <w:r>
        <w:t xml:space="preserve">provider result.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product-success-criterion"/>
    <w:p>
      <w:pPr>
        <w:pStyle w:val="Heading1"/>
      </w:pPr>
      <w:r>
        <w:t xml:space="preserve">102. Product Success Criterion</w:t>
      </w:r>
    </w:p>
    <w:p>
      <w:pPr>
        <w:pStyle w:val="FirstParagraph"/>
      </w:pPr>
      <w:r>
        <w:t xml:space="preserve">For every protected operation, AccuSec must deterministically answer:</w:t>
      </w:r>
    </w:p>
    <w:p>
      <w:pPr>
        <w:pStyle w:val="BodyText"/>
      </w:pPr>
      <w:r>
        <w:rPr>
          <w:b/>
          <w:bCs/>
        </w:rPr>
        <w:t xml:space="preserve">Who is acting?</w:t>
      </w:r>
    </w:p>
    <w:p>
      <w:pPr>
        <w:pStyle w:val="BodyText"/>
      </w:pPr>
      <w:r>
        <w:rPr>
          <w:b/>
          <w:bCs/>
        </w:rPr>
        <w:t xml:space="preserve">Which Tenant owns the operation?</w:t>
      </w:r>
    </w:p>
    <w:p>
      <w:pPr>
        <w:pStyle w:val="BodyText"/>
      </w:pPr>
      <w:r>
        <w:rPr>
          <w:b/>
          <w:bCs/>
        </w:rPr>
        <w:t xml:space="preserve">Which Project contains the Principal?</w:t>
      </w:r>
    </w:p>
    <w:p>
      <w:pPr>
        <w:pStyle w:val="BodyText"/>
      </w:pPr>
      <w:r>
        <w:rPr>
          <w:b/>
          <w:bCs/>
        </w:rPr>
        <w:t xml:space="preserve">Which Datacenter is targeted?</w:t>
      </w:r>
    </w:p>
    <w:p>
      <w:pPr>
        <w:pStyle w:val="BodyText"/>
      </w:pPr>
      <w:r>
        <w:rPr>
          <w:b/>
          <w:bCs/>
        </w:rPr>
        <w:t xml:space="preserve">Which provider Endpoint is involved?</w:t>
      </w:r>
    </w:p>
    <w:p>
      <w:pPr>
        <w:pStyle w:val="BodyText"/>
      </w:pPr>
      <w:r>
        <w:rPr>
          <w:b/>
          <w:bCs/>
        </w:rPr>
        <w:t xml:space="preserve">Which Folder and Entity scope applies?</w:t>
      </w:r>
    </w:p>
    <w:p>
      <w:pPr>
        <w:pStyle w:val="BodyText"/>
      </w:pPr>
      <w:r>
        <w:rPr>
          <w:b/>
          <w:bCs/>
        </w:rPr>
        <w:t xml:space="preserve">Which Access Control Policy matched?</w:t>
      </w:r>
    </w:p>
    <w:p>
      <w:pPr>
        <w:pStyle w:val="BodyText"/>
      </w:pPr>
      <w:r>
        <w:rPr>
          <w:b/>
          <w:bCs/>
        </w:rPr>
        <w:t xml:space="preserve">Which Role and Permission authorize the operation?</w:t>
      </w:r>
    </w:p>
    <w:p>
      <w:pPr>
        <w:pStyle w:val="BodyText"/>
      </w:pPr>
      <w:r>
        <w:rPr>
          <w:b/>
          <w:bCs/>
        </w:rPr>
        <w:t xml:space="preserve">Which MCP tool implements it?</w:t>
      </w:r>
    </w:p>
    <w:p>
      <w:pPr>
        <w:pStyle w:val="BodyText"/>
      </w:pPr>
      <w:r>
        <w:rPr>
          <w:b/>
          <w:bCs/>
        </w:rPr>
        <w:t xml:space="preserve">Which Endpoint Access Identity will execute it?</w:t>
      </w:r>
    </w:p>
    <w:p>
      <w:pPr>
        <w:pStyle w:val="BodyText"/>
      </w:pPr>
      <w:r>
        <w:rPr>
          <w:b/>
          <w:bCs/>
        </w:rPr>
        <w:t xml:space="preserve">Was that identity legitimately provisioned?</w:t>
      </w:r>
    </w:p>
    <w:p>
      <w:pPr>
        <w:pStyle w:val="BodyText"/>
      </w:pPr>
      <w:r>
        <w:rPr>
          <w:b/>
          <w:bCs/>
        </w:rPr>
        <w:t xml:space="preserve">Does native provider IAM permit the operation?</w:t>
      </w:r>
    </w:p>
    <w:p>
      <w:pPr>
        <w:pStyle w:val="BodyText"/>
      </w:pPr>
      <w:r>
        <w:rPr>
          <w:b/>
          <w:bCs/>
        </w:rPr>
        <w:t xml:space="preserve">What Organizational Memory may the Principal access?</w:t>
      </w:r>
    </w:p>
    <w:p>
      <w:pPr>
        <w:pStyle w:val="BodyText"/>
      </w:pPr>
      <w:r>
        <w:rPr>
          <w:b/>
          <w:bCs/>
        </w:rPr>
        <w:t xml:space="preserve">Which ACLs and classifications restrict Context?</w:t>
      </w:r>
    </w:p>
    <w:p>
      <w:pPr>
        <w:pStyle w:val="BodyText"/>
      </w:pPr>
      <w:r>
        <w:rPr>
          <w:b/>
          <w:bCs/>
        </w:rPr>
        <w:t xml:space="preserve">Does the action require approval?</w:t>
      </w:r>
    </w:p>
    <w:p>
      <w:pPr>
        <w:pStyle w:val="BodyText"/>
      </w:pPr>
      <w:r>
        <w:rPr>
          <w:b/>
          <w:bCs/>
        </w:rPr>
        <w:t xml:space="preserve">Can the complete chain be audited afterward?</w:t>
      </w:r>
    </w:p>
    <w:p>
      <w:pPr>
        <w:pStyle w:val="BodyText"/>
      </w:pPr>
      <w:r>
        <w:t xml:space="preserve">And at the product architecture level:</w:t>
      </w:r>
    </w:p>
    <w:p>
      <w:pPr>
        <w:pStyle w:val="BodyText"/>
      </w:pPr>
      <w:r>
        <w:rPr>
          <w:b/>
          <w:bCs/>
        </w:rPr>
        <w:t xml:space="preserve">Can the exact same domain model operate with one Tenant and one user on a laptop and with many Tenants and many users in a hosted service without redesigning IAM, agents, Datacenters, Endpoints, memory or execution?</w:t>
      </w:r>
    </w:p>
    <w:p>
      <w:pPr>
        <w:pStyle w:val="BodyText"/>
      </w:pPr>
      <w:r>
        <w:t xml:space="preserve">If the answer is yes, the Tenancy, Datacenter, IAM, Endpoint Entitlement and Organizational Memory architecture is functioning as intended.</w:t>
      </w:r>
    </w:p>
    <w:p>
      <w:r>
        <w:pict>
          <v:rect style="width:0;height:1.5pt" o:hralign="center" o:hrstd="t" o:hr="t"/>
        </w:pict>
      </w:r>
    </w:p>
    <w:bookmarkEnd w:id="147"/>
    <w:bookmarkStart w:id="148" w:name="final-scaling-principle"/>
    <w:p>
      <w:pPr>
        <w:pStyle w:val="Heading1"/>
      </w:pPr>
      <w:r>
        <w:t xml:space="preserve">103. Final Scaling Principle</w:t>
      </w:r>
    </w:p>
    <w:p>
      <w:pPr>
        <w:pStyle w:val="FirstParagraph"/>
      </w:pPr>
      <w:r>
        <w:t xml:space="preserve">The product shall be built according to the following invariant:</w:t>
      </w:r>
    </w:p>
    <w:p>
      <w:pPr>
        <w:pStyle w:val="SourceCode"/>
      </w:pPr>
      <w:r>
        <w:rPr>
          <w:rStyle w:val="VerbatimChar"/>
        </w:rPr>
        <w:t xml:space="preserve">Desktop</w:t>
      </w:r>
      <w:r>
        <w:br/>
      </w:r>
      <w:r>
        <w:rPr>
          <w:rStyle w:val="VerbatimChar"/>
        </w:rPr>
        <w:t xml:space="preserve">Single Tenant</w:t>
      </w:r>
      <w:r>
        <w:br/>
      </w:r>
      <w:r>
        <w:rPr>
          <w:rStyle w:val="VerbatimChar"/>
        </w:rPr>
        <w:t xml:space="preserve">Single User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Hosted Single Tenant</w:t>
      </w:r>
      <w:r>
        <w:br/>
      </w:r>
      <w:r>
        <w:rPr>
          <w:rStyle w:val="VerbatimChar"/>
        </w:rPr>
        <w:t xml:space="preserve">Multiple Users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Hosted Multi-Tenant</w:t>
      </w:r>
      <w:r>
        <w:br/>
      </w:r>
      <w:r>
        <w:rPr>
          <w:rStyle w:val="VerbatimChar"/>
        </w:rPr>
        <w:t xml:space="preserve">Multiple Tenants</w:t>
      </w:r>
      <w:r>
        <w:br/>
      </w:r>
      <w:r>
        <w:rPr>
          <w:rStyle w:val="VerbatimChar"/>
        </w:rPr>
        <w:t xml:space="preserve">Multiple Users</w:t>
      </w:r>
    </w:p>
    <w:p>
      <w:pPr>
        <w:pStyle w:val="FirstParagraph"/>
      </w:pPr>
      <w:r>
        <w:t xml:space="preserve">while maintaining: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Datacenter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Default Folder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Folder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Entity</w:t>
      </w:r>
    </w:p>
    <w:p>
      <w:pPr>
        <w:pStyle w:val="FirstParagraph"/>
      </w:pPr>
      <w:r>
        <w:t xml:space="preserve">and the same:</w:t>
      </w:r>
    </w:p>
    <w:p>
      <w:pPr>
        <w:pStyle w:val="SourceCode"/>
      </w:pPr>
      <w:r>
        <w:rPr>
          <w:rStyle w:val="VerbatimChar"/>
        </w:rPr>
        <w:t xml:space="preserve">Principal Model</w:t>
      </w:r>
      <w:r>
        <w:br/>
      </w:r>
      <w:r>
        <w:rPr>
          <w:rStyle w:val="VerbatimChar"/>
        </w:rPr>
        <w:t xml:space="preserve">IAM Model</w:t>
      </w:r>
      <w:r>
        <w:br/>
      </w:r>
      <w:r>
        <w:rPr>
          <w:rStyle w:val="VerbatimChar"/>
        </w:rPr>
        <w:t xml:space="preserve">Access Control Policy Model</w:t>
      </w:r>
      <w:r>
        <w:br/>
      </w:r>
      <w:r>
        <w:rPr>
          <w:rStyle w:val="VerbatimChar"/>
        </w:rPr>
        <w:t xml:space="preserve">Endpoint Model</w:t>
      </w:r>
      <w:r>
        <w:br/>
      </w:r>
      <w:r>
        <w:rPr>
          <w:rStyle w:val="VerbatimChar"/>
        </w:rPr>
        <w:t xml:space="preserve">Endpoint Identity Model</w:t>
      </w:r>
      <w:r>
        <w:br/>
      </w:r>
      <w:r>
        <w:rPr>
          <w:rStyle w:val="VerbatimChar"/>
        </w:rPr>
        <w:t xml:space="preserve">MCP Permission Model</w:t>
      </w:r>
      <w:r>
        <w:br/>
      </w:r>
      <w:r>
        <w:rPr>
          <w:rStyle w:val="VerbatimChar"/>
        </w:rPr>
        <w:t xml:space="preserve">AI Engineer Model</w:t>
      </w:r>
      <w:r>
        <w:br/>
      </w:r>
      <w:r>
        <w:rPr>
          <w:rStyle w:val="VerbatimChar"/>
        </w:rPr>
        <w:t xml:space="preserve">Organizational Memory Model</w:t>
      </w:r>
      <w:r>
        <w:br/>
      </w:r>
      <w:r>
        <w:rPr>
          <w:rStyle w:val="VerbatimChar"/>
        </w:rPr>
        <w:t xml:space="preserve">Organizational Context Model</w:t>
      </w:r>
      <w:r>
        <w:br/>
      </w:r>
      <w:r>
        <w:rPr>
          <w:rStyle w:val="VerbatimChar"/>
        </w:rPr>
        <w:t xml:space="preserve">Audit Model</w:t>
      </w:r>
      <w:r>
        <w:br/>
      </w:r>
      <w:r>
        <w:rPr>
          <w:rStyle w:val="VerbatimChar"/>
        </w:rPr>
        <w:t xml:space="preserve">Execution Authorization Model</w:t>
      </w:r>
    </w:p>
    <w:p>
      <w:pPr>
        <w:pStyle w:val="FirstParagraph"/>
      </w:pPr>
      <w:r>
        <w:t xml:space="preserve">across the full deployment continuum.</w:t>
      </w:r>
    </w:p>
    <w:p>
      <w:pPr>
        <w:pStyle w:val="BodyText"/>
      </w:pPr>
      <w:r>
        <w:rPr>
          <w:b/>
          <w:bCs/>
        </w:rPr>
        <w:t xml:space="preserve">Desktop is enterprise architecture at cardinality one where appropriate—not a separate architecture.</w:t>
      </w:r>
    </w:p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