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eastAsia="Arial"/>
          <w:b/>
          <w:color w:val="0D1B2F"/>
          <w:sz w:val="43"/>
        </w:rPr>
        <w:t>AHMED AZIZ MHIRI</w:t>
      </w:r>
    </w:p>
    <w:p>
      <w:pPr>
        <w:spacing w:after="40"/>
      </w:pPr>
      <w:r>
        <w:rPr>
          <w:rFonts w:ascii="Arial" w:hAnsi="Arial" w:eastAsia="Arial"/>
          <w:b/>
          <w:color w:val="B85E25"/>
          <w:sz w:val="19"/>
        </w:rPr>
        <w:t>Analytique Marketing, Analyse Commerciale, Business Intelligence, Automatisation des Processus &amp; Croissance Digitale</w:t>
      </w:r>
    </w:p>
    <w:p>
      <w:pPr>
        <w:spacing w:after="20"/>
      </w:pPr>
      <w:r>
        <w:rPr>
          <w:rFonts w:ascii="Arial" w:hAnsi="Arial" w:eastAsia="Arial"/>
          <w:b w:val="0"/>
          <w:color w:val="58687B"/>
          <w:sz w:val="16"/>
        </w:rPr>
        <w:t>Sousse, Tunisia | mhiriaziz13@gmail.com | linkedin.com/in/ahmed-aziz-mhiri</w:t>
      </w:r>
    </w:p>
    <w:p>
      <w:pPr>
        <w:spacing w:after="60"/>
      </w:pPr>
      <w:r>
        <w:rPr>
          <w:rFonts w:ascii="Arial" w:hAnsi="Arial" w:eastAsia="Arial"/>
          <w:b/>
          <w:color w:val="58687B"/>
          <w:sz w:val="16"/>
        </w:rPr>
        <w:t>Disponible pour des opportunités en Europe à partir de l’été 2027</w:t>
      </w:r>
    </w:p>
    <w:p>
      <w:pPr>
        <w:keepNext/>
        <w:spacing w:before="160" w:after="60"/>
        <w:pBdr>
          <w:bottom w:val="single" w:sz="9" w:space="2" w:color="B85E25"/>
        </w:pBdr>
      </w:pPr>
      <w:r>
        <w:rPr>
          <w:rFonts w:ascii="Arial" w:hAnsi="Arial" w:eastAsia="Arial"/>
          <w:b/>
          <w:caps/>
          <w:color w:val="0D1B2F"/>
          <w:sz w:val="19"/>
        </w:rPr>
        <w:t>PROFIL PROFESSIONNEL</w:t>
      </w:r>
    </w:p>
    <w:p>
      <w:pPr>
        <w:spacing w:after="40"/>
      </w:pPr>
      <w:r>
        <w:rPr>
          <w:rFonts w:ascii="Arial" w:hAnsi="Arial" w:eastAsia="Arial"/>
          <w:b w:val="0"/>
          <w:color w:val="58687B"/>
          <w:sz w:val="17"/>
        </w:rPr>
        <w:t>Étudiant en Master Big Data Analytics &amp; E-Commerce à l’IHEC Carthage, titulaire d’une licence en Business Intelligence. Intéressé par l’exploitation des données opérationnelles, clients et marketing pour soutenir les décisions commerciales, améliorer le parcours client et fiabiliser les processus. Expériences en automatisation, transformation digitale, analyse de performance hôtelière et applications enrichies par l’IA.</w:t>
      </w:r>
    </w:p>
    <w:p>
      <w:pPr>
        <w:keepNext/>
        <w:spacing w:before="160" w:after="60"/>
        <w:pBdr>
          <w:bottom w:val="single" w:sz="9" w:space="2" w:color="B85E25"/>
        </w:pBdr>
      </w:pPr>
      <w:r>
        <w:rPr>
          <w:rFonts w:ascii="Arial" w:hAnsi="Arial" w:eastAsia="Arial"/>
          <w:b/>
          <w:caps/>
          <w:color w:val="0D1B2F"/>
          <w:sz w:val="19"/>
        </w:rPr>
        <w:t>COMPÉTENCES CLÉS</w:t>
      </w:r>
    </w:p>
    <w:tbl>
      <w:tblPr>
        <w:tblW w:type="auto" w:w="0"/>
        <w:tblLayout w:type="fixed"/>
        <w:tblLook w:firstColumn="1" w:firstRow="1" w:lastColumn="0" w:lastRow="0" w:noHBand="0" w:noVBand="1" w:val="04A0"/>
      </w:tblPr>
      <w:tblGrid>
        <w:gridCol w:w="2189"/>
        <w:gridCol w:w="8136"/>
      </w:tblGrid>
      <w:tr>
        <w:tc>
          <w:tcPr>
            <w:tcW w:type="dxa" w:w="2189"/>
            <w:tcMar>
              <w:top w:w="42" w:type="dxa"/>
              <w:start w:w="80" w:type="dxa"/>
              <w:bottom w:w="42" w:type="dxa"/>
              <w:end w:w="80" w:type="dxa"/>
            </w:tcMar>
            <w:tcBorders>
              <w:bottom w:val="single" w:sz="3" w:color="D9E3EA"/>
            </w:tcBorders>
            <w:vAlign w:val="center"/>
            <w:shd w:fill="F3F7FA"/>
          </w:tcPr>
          <w:p>
            <w:pPr>
              <w:spacing w:after="0"/>
            </w:pPr>
            <w:r>
              <w:rPr>
                <w:rFonts w:ascii="Arial" w:hAnsi="Arial" w:eastAsia="Arial"/>
                <w:b/>
                <w:color w:val="0D1B2F"/>
                <w:sz w:val="15"/>
              </w:rPr>
              <w:t>Data &amp; BI</w:t>
            </w:r>
          </w:p>
        </w:tc>
        <w:tc>
          <w:tcPr>
            <w:tcW w:type="dxa" w:w="8136"/>
            <w:tcMar>
              <w:top w:w="42" w:type="dxa"/>
              <w:start w:w="80" w:type="dxa"/>
              <w:bottom w:w="42" w:type="dxa"/>
              <w:end w:w="80" w:type="dxa"/>
            </w:tcMar>
            <w:tcBorders>
              <w:bottom w:val="single" w:sz="3" w:color="D9E3EA"/>
            </w:tcBorders>
            <w:vAlign w:val="center"/>
          </w:tcPr>
          <w:p>
            <w:pPr>
              <w:spacing w:after="0"/>
            </w:pPr>
            <w:r>
              <w:rPr>
                <w:rFonts w:ascii="Arial" w:hAnsi="Arial" w:eastAsia="Arial"/>
                <w:b w:val="0"/>
                <w:color w:val="0D1B2F"/>
                <w:sz w:val="16"/>
              </w:rPr>
              <w:t>Analyse de données | Analytique Marketing | Analyse Commerciale | Business Intelligence | Analyse des KPI | Visualisation | Reporting financier | Excel</w:t>
            </w:r>
          </w:p>
        </w:tc>
      </w:tr>
      <w:tr>
        <w:tc>
          <w:tcPr>
            <w:tcW w:type="dxa" w:w="2189"/>
            <w:tcMar>
              <w:top w:w="42" w:type="dxa"/>
              <w:start w:w="80" w:type="dxa"/>
              <w:bottom w:w="42" w:type="dxa"/>
              <w:end w:w="80" w:type="dxa"/>
            </w:tcMar>
            <w:tcBorders>
              <w:bottom w:val="single" w:sz="3" w:color="D9E3EA"/>
            </w:tcBorders>
            <w:vAlign w:val="center"/>
            <w:shd w:fill="F3F7FA"/>
          </w:tcPr>
          <w:p>
            <w:pPr>
              <w:spacing w:after="0"/>
            </w:pPr>
            <w:r>
              <w:rPr>
                <w:rFonts w:ascii="Arial" w:hAnsi="Arial" w:eastAsia="Arial"/>
                <w:b/>
                <w:color w:val="0D1B2F"/>
                <w:sz w:val="15"/>
              </w:rPr>
              <w:t>Croissance</w:t>
            </w:r>
          </w:p>
        </w:tc>
        <w:tc>
          <w:tcPr>
            <w:tcW w:type="dxa" w:w="8136"/>
            <w:tcMar>
              <w:top w:w="42" w:type="dxa"/>
              <w:start w:w="80" w:type="dxa"/>
              <w:bottom w:w="42" w:type="dxa"/>
              <w:end w:w="80" w:type="dxa"/>
            </w:tcMar>
            <w:tcBorders>
              <w:bottom w:val="single" w:sz="3" w:color="D9E3EA"/>
            </w:tcBorders>
            <w:vAlign w:val="center"/>
          </w:tcPr>
          <w:p>
            <w:pPr>
              <w:spacing w:after="0"/>
            </w:pPr>
            <w:r>
              <w:rPr>
                <w:rFonts w:ascii="Arial" w:hAnsi="Arial" w:eastAsia="Arial"/>
                <w:b w:val="0"/>
                <w:color w:val="0D1B2F"/>
                <w:sz w:val="16"/>
              </w:rPr>
              <w:t>Marketing digital | Connaissance client | Parcours client | SEO local | Email marketing | Social Ads | Stratégie réseaux sociaux | E-Commerce</w:t>
            </w:r>
          </w:p>
        </w:tc>
      </w:tr>
      <w:tr>
        <w:tc>
          <w:tcPr>
            <w:tcW w:type="dxa" w:w="2189"/>
            <w:tcMar>
              <w:top w:w="42" w:type="dxa"/>
              <w:start w:w="80" w:type="dxa"/>
              <w:bottom w:w="42" w:type="dxa"/>
              <w:end w:w="80" w:type="dxa"/>
            </w:tcMar>
            <w:tcBorders>
              <w:bottom w:val="single" w:sz="3" w:color="D9E3EA"/>
            </w:tcBorders>
            <w:vAlign w:val="center"/>
            <w:shd w:fill="F3F7FA"/>
          </w:tcPr>
          <w:p>
            <w:pPr>
              <w:spacing w:after="0"/>
            </w:pPr>
            <w:r>
              <w:rPr>
                <w:rFonts w:ascii="Arial" w:hAnsi="Arial" w:eastAsia="Arial"/>
                <w:b/>
                <w:color w:val="0D1B2F"/>
                <w:sz w:val="15"/>
              </w:rPr>
              <w:t>Technologies</w:t>
            </w:r>
          </w:p>
        </w:tc>
        <w:tc>
          <w:tcPr>
            <w:tcW w:type="dxa" w:w="8136"/>
            <w:tcMar>
              <w:top w:w="42" w:type="dxa"/>
              <w:start w:w="80" w:type="dxa"/>
              <w:bottom w:w="42" w:type="dxa"/>
              <w:end w:w="80" w:type="dxa"/>
            </w:tcMar>
            <w:tcBorders>
              <w:bottom w:val="single" w:sz="3" w:color="D9E3EA"/>
            </w:tcBorders>
            <w:vAlign w:val="center"/>
          </w:tcPr>
          <w:p>
            <w:pPr>
              <w:spacing w:after="0"/>
            </w:pPr>
            <w:r>
              <w:rPr>
                <w:rFonts w:ascii="Arial" w:hAnsi="Arial" w:eastAsia="Arial"/>
                <w:b w:val="0"/>
                <w:color w:val="0D1B2F"/>
                <w:sz w:val="16"/>
              </w:rPr>
              <w:t>UiPath | Automatisation des Processus | Automatisation des règles métier | JSON | Reporting HTML | Angular | Spring Boot | API REST | RAG</w:t>
            </w:r>
          </w:p>
        </w:tc>
      </w:tr>
      <w:tr>
        <w:tc>
          <w:tcPr>
            <w:tcW w:type="dxa" w:w="2189"/>
            <w:tcMar>
              <w:top w:w="42" w:type="dxa"/>
              <w:start w:w="80" w:type="dxa"/>
              <w:bottom w:w="42" w:type="dxa"/>
              <w:end w:w="80" w:type="dxa"/>
            </w:tcMar>
            <w:tcBorders>
              <w:bottom w:val="single" w:sz="3" w:color="D9E3EA"/>
            </w:tcBorders>
            <w:vAlign w:val="center"/>
            <w:shd w:fill="F3F7FA"/>
          </w:tcPr>
          <w:p>
            <w:pPr>
              <w:spacing w:after="0"/>
            </w:pPr>
            <w:r>
              <w:rPr>
                <w:rFonts w:ascii="Arial" w:hAnsi="Arial" w:eastAsia="Arial"/>
                <w:b/>
                <w:color w:val="0D1B2F"/>
                <w:sz w:val="15"/>
              </w:rPr>
              <w:t>Atouts</w:t>
            </w:r>
          </w:p>
        </w:tc>
        <w:tc>
          <w:tcPr>
            <w:tcW w:type="dxa" w:w="8136"/>
            <w:tcMar>
              <w:top w:w="42" w:type="dxa"/>
              <w:start w:w="80" w:type="dxa"/>
              <w:bottom w:w="42" w:type="dxa"/>
              <w:end w:w="80" w:type="dxa"/>
            </w:tcMar>
            <w:tcBorders>
              <w:bottom w:val="single" w:sz="3" w:color="D9E3EA"/>
            </w:tcBorders>
            <w:vAlign w:val="center"/>
          </w:tcPr>
          <w:p>
            <w:pPr>
              <w:spacing w:after="0"/>
            </w:pPr>
            <w:r>
              <w:rPr>
                <w:rFonts w:ascii="Arial" w:hAnsi="Arial" w:eastAsia="Arial"/>
                <w:b w:val="0"/>
                <w:color w:val="0D1B2F"/>
                <w:sz w:val="16"/>
              </w:rPr>
              <w:t>Vision commerciale | Résolution de problèmes | Collaboration transverse | Amélioration des processus | Communication structurée</w:t>
            </w:r>
          </w:p>
        </w:tc>
      </w:tr>
    </w:tbl>
    <w:p>
      <w:pPr>
        <w:keepNext/>
        <w:spacing w:before="160" w:after="60"/>
        <w:pBdr>
          <w:bottom w:val="single" w:sz="9" w:space="2" w:color="B85E25"/>
        </w:pBdr>
      </w:pPr>
      <w:r>
        <w:rPr>
          <w:rFonts w:ascii="Arial" w:hAnsi="Arial" w:eastAsia="Arial"/>
          <w:b/>
          <w:caps/>
          <w:color w:val="0D1B2F"/>
          <w:sz w:val="19"/>
        </w:rPr>
        <w:t>EXPÉRIENCES PROFESSIONNELLES</w:t>
      </w:r>
    </w:p>
    <w:p>
      <w:pPr>
        <w:keepNext/>
        <w:spacing w:before="80" w:after="20"/>
      </w:pPr>
      <w:r>
        <w:rPr>
          <w:rFonts w:ascii="Arial" w:hAnsi="Arial" w:eastAsia="Arial"/>
          <w:b/>
          <w:color w:val="0D1B2F"/>
          <w:sz w:val="18"/>
        </w:rPr>
        <w:t>Responsable des Services IT - Automatisation des Processus &amp; Systèmes Métier</w:t>
      </w:r>
      <w:r>
        <w:rPr>
          <w:rFonts w:ascii="Arial" w:hAnsi="Arial" w:eastAsia="Arial"/>
          <w:b/>
          <w:color w:val="0D1B2F"/>
          <w:sz w:val="18"/>
        </w:rPr>
        <w:t xml:space="preserve"> | Sunshine Vacances France</w:t>
      </w:r>
      <w:r>
        <w:rPr>
          <w:rFonts w:ascii="Arial" w:hAnsi="Arial" w:eastAsia="Arial"/>
          <w:b w:val="0"/>
          <w:color w:val="58687B"/>
          <w:sz w:val="15"/>
        </w:rPr>
        <w:t xml:space="preserve"> | Juil. 2025 - Présent | Sousse, Tunisie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Conception et extension d’un workflow UiPath de contrôle et de rapprochement des factures, vouchers, réservations et données de séjour.</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Automatisation de règles commerciales liées aux tarifs, pensions, remises, suppléments et offres spéciales.</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Production de sorties JSON structurées et de rapports HTML pour l’audit, le suivi opérationnel et la traçabilité; adaptation à plusieurs processus d’agence et configurations hôtelières.</w:t>
      </w:r>
    </w:p>
    <w:p>
      <w:pPr>
        <w:keepNext/>
        <w:spacing w:before="80" w:after="20"/>
      </w:pPr>
      <w:r>
        <w:rPr>
          <w:rFonts w:ascii="Arial" w:hAnsi="Arial" w:eastAsia="Arial"/>
          <w:b/>
          <w:color w:val="0D1B2F"/>
          <w:sz w:val="18"/>
        </w:rPr>
        <w:t>Consultant Marketing Digital &amp; Automatisation</w:t>
      </w:r>
      <w:r>
        <w:rPr>
          <w:rFonts w:ascii="Arial" w:hAnsi="Arial" w:eastAsia="Arial"/>
          <w:b/>
          <w:color w:val="0D1B2F"/>
          <w:sz w:val="18"/>
        </w:rPr>
        <w:t xml:space="preserve"> | Client confidentiel - Barbershop masculin</w:t>
      </w:r>
      <w:r>
        <w:rPr>
          <w:rFonts w:ascii="Arial" w:hAnsi="Arial" w:eastAsia="Arial"/>
          <w:b w:val="0"/>
          <w:color w:val="58687B"/>
          <w:sz w:val="15"/>
        </w:rPr>
        <w:t xml:space="preserve"> | Fév. 2025 - Juil. 2025 | Noisy-le-Grand, France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Création et gestion d’un site web avec réservation en ligne et suivi de l’activité pour fluidifier le parcours de prise de rendez-vous.</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Soutien au SEO local, à la communication client, aux contenus sociaux, aux campagnes payantes, aux avis en ligne et à la visibilité digitale.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Mise en relation avec Planity afin de simplifier les opérations de réservation et structurer les points de contact client.</w:t>
      </w:r>
    </w:p>
    <w:p>
      <w:pPr>
        <w:keepNext/>
        <w:spacing w:before="80" w:after="20"/>
      </w:pPr>
      <w:r>
        <w:rPr>
          <w:rFonts w:ascii="Arial" w:hAnsi="Arial" w:eastAsia="Arial"/>
          <w:b/>
          <w:color w:val="0D1B2F"/>
          <w:sz w:val="18"/>
        </w:rPr>
        <w:t>Stagiaire IA &amp; Développement Full-Stack</w:t>
      </w:r>
      <w:r>
        <w:rPr>
          <w:rFonts w:ascii="Arial" w:hAnsi="Arial" w:eastAsia="Arial"/>
          <w:b/>
          <w:color w:val="0D1B2F"/>
          <w:sz w:val="18"/>
        </w:rPr>
        <w:t xml:space="preserve"> | VERMEG for Banking &amp; Insurance Software</w:t>
      </w:r>
      <w:r>
        <w:rPr>
          <w:rFonts w:ascii="Arial" w:hAnsi="Arial" w:eastAsia="Arial"/>
          <w:b w:val="0"/>
          <w:color w:val="58687B"/>
          <w:sz w:val="15"/>
        </w:rPr>
        <w:t xml:space="preserve"> | Fév. 2025 - Mai 2025 | Tunis, Tunisie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Développement de fonctionnalités clés d’une plateforme e-learning: inscription aux cours, suivi de progression, tableaux de bord, réservation d’événements internes et notifications temps réel.</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Intégration d’un assistant LLaMA 3.2 déployé localement via Ollama, avec RAG pour l’interrogation de connaissances PDF et CSV.</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Contribution à l’architecture microservices sécurisée et évolutive, notamment sur les risques liés au prompt injection, aux fichiers malveillants et aux liens non sûrs.</w:t>
      </w:r>
    </w:p>
    <w:p>
      <w:pPr>
        <w:keepNext/>
        <w:spacing w:before="80" w:after="20"/>
      </w:pPr>
      <w:r>
        <w:rPr>
          <w:rFonts w:ascii="Arial" w:hAnsi="Arial" w:eastAsia="Arial"/>
          <w:b/>
          <w:color w:val="0D1B2F"/>
          <w:sz w:val="18"/>
        </w:rPr>
        <w:t>Responsable Commercial &amp; Marketing Digital</w:t>
      </w:r>
      <w:r>
        <w:rPr>
          <w:rFonts w:ascii="Arial" w:hAnsi="Arial" w:eastAsia="Arial"/>
          <w:b/>
          <w:color w:val="0D1B2F"/>
          <w:sz w:val="18"/>
        </w:rPr>
        <w:t xml:space="preserve"> | Maison Salina</w:t>
      </w:r>
      <w:r>
        <w:rPr>
          <w:rFonts w:ascii="Arial" w:hAnsi="Arial" w:eastAsia="Arial"/>
          <w:b w:val="0"/>
          <w:color w:val="58687B"/>
          <w:sz w:val="15"/>
        </w:rPr>
        <w:t xml:space="preserve"> | Avr. 2025 - Sept. 2025 | Sousse, Tunisie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Déploiement d’initiatives de marketing digital cohérentes avec les objectifs commerciaux, le positionnement et la communication de marque.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Contribution aux collaborations stratégiques, à la visibilité en ligne et au suivi des priorités commerciales et digitales.</w:t>
      </w:r>
    </w:p>
    <w:p>
      <w:pPr>
        <w:keepNext/>
        <w:spacing w:before="80" w:after="20"/>
      </w:pPr>
      <w:r>
        <w:rPr>
          <w:rFonts w:ascii="Arial" w:hAnsi="Arial" w:eastAsia="Arial"/>
          <w:b/>
          <w:color w:val="0D1B2F"/>
          <w:sz w:val="18"/>
        </w:rPr>
        <w:t>Contrôleur de Gestion</w:t>
      </w:r>
      <w:r>
        <w:rPr>
          <w:rFonts w:ascii="Arial" w:hAnsi="Arial" w:eastAsia="Arial"/>
          <w:b/>
          <w:color w:val="0D1B2F"/>
          <w:sz w:val="18"/>
        </w:rPr>
        <w:t xml:space="preserve"> | El Mouradi Hotels - El Mouradi Kantaoui Club</w:t>
      </w:r>
      <w:r>
        <w:rPr>
          <w:rFonts w:ascii="Arial" w:hAnsi="Arial" w:eastAsia="Arial"/>
          <w:b w:val="0"/>
          <w:color w:val="58687B"/>
          <w:sz w:val="15"/>
        </w:rPr>
        <w:t xml:space="preserve"> | Juil. 2024 - Sept. 2024 | Sousse, Tunisie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Analyse du taux d’occupation, des coûts opérationnels et des KPI de revenus; contribution au budget, aux analyses d’écarts et au reporting de gestion.</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Appui à l’identification de leviers de maîtrise des coûts en achats, stocks et opérations.</w:t>
      </w:r>
    </w:p>
    <w:p>
      <w:pPr>
        <w:keepNext/>
        <w:spacing w:before="80" w:after="20"/>
      </w:pPr>
      <w:r>
        <w:rPr>
          <w:rFonts w:ascii="Arial" w:hAnsi="Arial" w:eastAsia="Arial"/>
          <w:b/>
          <w:color w:val="0D1B2F"/>
          <w:sz w:val="18"/>
        </w:rPr>
        <w:t>Stagiaire Développement Full-Stack</w:t>
      </w:r>
      <w:r>
        <w:rPr>
          <w:rFonts w:ascii="Arial" w:hAnsi="Arial" w:eastAsia="Arial"/>
          <w:b/>
          <w:color w:val="0D1B2F"/>
          <w:sz w:val="18"/>
        </w:rPr>
        <w:t xml:space="preserve"> | Arabsoft</w:t>
      </w:r>
      <w:r>
        <w:rPr>
          <w:rFonts w:ascii="Arial" w:hAnsi="Arial" w:eastAsia="Arial"/>
          <w:b w:val="0"/>
          <w:color w:val="58687B"/>
          <w:sz w:val="15"/>
        </w:rPr>
        <w:t xml:space="preserve"> | Juin 2024 - Août 2024 | Tunis, Tunisie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Conception d’une interface Angular responsive et d’API REST Spring Boot pour une application de gestion des livres, utilisateurs et emprunts.</w:t>
      </w:r>
    </w:p>
    <w:p>
      <w:pPr>
        <w:keepNext/>
        <w:spacing w:before="80" w:after="20"/>
      </w:pPr>
      <w:r>
        <w:rPr>
          <w:rFonts w:ascii="Arial" w:hAnsi="Arial" w:eastAsia="Arial"/>
          <w:b/>
          <w:color w:val="0D1B2F"/>
          <w:sz w:val="18"/>
        </w:rPr>
        <w:t>Stagiaire Contrôle de Gestion</w:t>
      </w:r>
      <w:r>
        <w:rPr>
          <w:rFonts w:ascii="Arial" w:hAnsi="Arial" w:eastAsia="Arial"/>
          <w:b/>
          <w:color w:val="0D1B2F"/>
          <w:sz w:val="18"/>
        </w:rPr>
        <w:t xml:space="preserve"> | El Mouradi Hotels - El Mouradi Palace</w:t>
      </w:r>
      <w:r>
        <w:rPr>
          <w:rFonts w:ascii="Arial" w:hAnsi="Arial" w:eastAsia="Arial"/>
          <w:b w:val="0"/>
          <w:color w:val="58687B"/>
          <w:sz w:val="15"/>
        </w:rPr>
        <w:t xml:space="preserve"> | Juin 2023 - Sept. 2023 | Sousse, Tunisie</w:t>
      </w:r>
    </w:p>
    <w:p>
      <w:pPr>
        <w:spacing w:after="10" w:line="240" w:lineRule="auto"/>
        <w:ind w:left="202" w:hanging="173"/>
      </w:pPr>
      <w:r>
        <w:rPr>
          <w:rFonts w:ascii="Arial" w:hAnsi="Arial" w:eastAsia="Arial"/>
          <w:b/>
          <w:color w:val="B85E25"/>
          <w:sz w:val="16"/>
        </w:rPr>
        <w:t xml:space="preserve">- </w:t>
      </w:r>
      <w:r>
        <w:rPr>
          <w:rFonts w:ascii="Arial" w:hAnsi="Arial" w:eastAsia="Arial"/>
          <w:b w:val="0"/>
          <w:color w:val="0D1B2F"/>
          <w:sz w:val="16"/>
        </w:rPr>
        <w:t>Analyse des dépenses, indicateurs opérationnels et écarts budgétaires; contribution au reporting, au contrôle des coûts et au suivi des KPI.</w:t>
      </w:r>
    </w:p>
    <w:p>
      <w:pPr>
        <w:keepNext/>
        <w:spacing w:before="100" w:after="60"/>
        <w:pBdr>
          <w:bottom w:val="single" w:sz="9" w:space="2" w:color="B85E25"/>
        </w:pBdr>
      </w:pPr>
      <w:r>
        <w:rPr>
          <w:rFonts w:ascii="Arial" w:hAnsi="Arial" w:eastAsia="Arial"/>
          <w:b/>
          <w:caps/>
          <w:color w:val="0D1B2F"/>
          <w:sz w:val="19"/>
        </w:rPr>
        <w:t>PROJETS SÉLECTIONNÉS</w:t>
      </w:r>
    </w:p>
    <w:p>
      <w:pPr>
        <w:spacing w:after="30"/>
        <w:ind w:left="58"/>
      </w:pPr>
      <w:r>
        <w:rPr>
          <w:rFonts w:ascii="Arial" w:hAnsi="Arial" w:eastAsia="Arial"/>
          <w:b/>
          <w:color w:val="0D1B2F"/>
          <w:sz w:val="16"/>
        </w:rPr>
        <w:t xml:space="preserve">RPA - Contrôle des factures et rapprochement des réservations - </w:t>
      </w:r>
      <w:r>
        <w:rPr>
          <w:rFonts w:ascii="Arial" w:hAnsi="Arial" w:eastAsia="Arial"/>
          <w:b w:val="0"/>
          <w:color w:val="0D1B2F"/>
          <w:sz w:val="16"/>
        </w:rPr>
        <w:t>Workflow UiPath reliant factures, réservations, vouchers, tarifs, remises et suppléments à des sorties JSON et HTML pour l’audit.</w:t>
      </w:r>
    </w:p>
    <w:p>
      <w:pPr>
        <w:spacing w:after="30"/>
        <w:ind w:left="58"/>
      </w:pPr>
      <w:r>
        <w:rPr>
          <w:rFonts w:ascii="Arial" w:hAnsi="Arial" w:eastAsia="Arial"/>
          <w:b/>
          <w:color w:val="0D1B2F"/>
          <w:sz w:val="16"/>
        </w:rPr>
        <w:t xml:space="preserve">Transformation digitale d’un barbershop masculin - </w:t>
      </w:r>
      <w:r>
        <w:rPr>
          <w:rFonts w:ascii="Arial" w:hAnsi="Arial" w:eastAsia="Arial"/>
          <w:b w:val="0"/>
          <w:color w:val="0D1B2F"/>
          <w:sz w:val="16"/>
        </w:rPr>
        <w:t>Site web, prise de rendez-vous en ligne, suivi d’activité, SEO local, initiatives sociales et parcours client plus structuré.</w:t>
      </w:r>
    </w:p>
    <w:p>
      <w:pPr>
        <w:spacing w:after="30"/>
        <w:ind w:left="58"/>
      </w:pPr>
      <w:r>
        <w:rPr>
          <w:rFonts w:ascii="Arial" w:hAnsi="Arial" w:eastAsia="Arial"/>
          <w:b/>
          <w:color w:val="0D1B2F"/>
          <w:sz w:val="16"/>
        </w:rPr>
        <w:t xml:space="preserve">Plateforme e-learning prête pour l’IA - </w:t>
      </w:r>
      <w:r>
        <w:rPr>
          <w:rFonts w:ascii="Arial" w:hAnsi="Arial" w:eastAsia="Arial"/>
          <w:b w:val="0"/>
          <w:color w:val="0D1B2F"/>
          <w:sz w:val="16"/>
        </w:rPr>
        <w:t>Contribution aux fonctionnalités Angular et Spring Cloud, au RAG via Ollama et LLaMA 3.2, aux contrôles de sécurité et aux outils de productivité.</w:t>
      </w:r>
    </w:p>
    <w:p>
      <w:pPr>
        <w:keepNext/>
        <w:spacing w:before="100" w:after="60"/>
        <w:pBdr>
          <w:bottom w:val="single" w:sz="9" w:space="2" w:color="B85E25"/>
        </w:pBdr>
      </w:pPr>
      <w:r>
        <w:rPr>
          <w:rFonts w:ascii="Arial" w:hAnsi="Arial" w:eastAsia="Arial"/>
          <w:b/>
          <w:caps/>
          <w:color w:val="0D1B2F"/>
          <w:sz w:val="19"/>
        </w:rPr>
        <w:t>FORMATION &amp; CERTIFICATION</w:t>
      </w:r>
    </w:p>
    <w:tbl>
      <w:tblPr>
        <w:tblW w:type="auto" w:w="0"/>
        <w:tblLayout w:type="fixed"/>
        <w:tblLook w:firstColumn="1" w:firstRow="1" w:lastColumn="0" w:lastRow="0" w:noHBand="0" w:noVBand="1" w:val="04A0"/>
      </w:tblPr>
      <w:tblGrid>
        <w:gridCol w:w="5205"/>
        <w:gridCol w:w="5205"/>
      </w:tblGrid>
      <w:tr>
        <w:tc>
          <w:tcPr>
            <w:tcW w:type="dxa" w:w="5205"/>
            <w:tcMar>
              <w:top w:w="45" w:type="dxa"/>
              <w:start w:w="70" w:type="dxa"/>
              <w:bottom w:w="45" w:type="dxa"/>
              <w:end w:w="70" w:type="dxa"/>
            </w:tcMar>
            <w:tcBorders>
              <w:bottom w:val="single" w:sz="3" w:color="D9E3EA"/>
            </w:tcBorders>
          </w:tcPr>
          <w:p>
            <w:pPr>
              <w:spacing w:after="0"/>
            </w:pPr>
            <w:r>
              <w:rPr>
                <w:rFonts w:ascii="Arial" w:hAnsi="Arial" w:eastAsia="Arial"/>
                <w:b/>
                <w:color w:val="0D1B2F"/>
                <w:sz w:val="16"/>
              </w:rPr>
              <w:t>Master Big Data Analytics &amp; E-Commerce - IHEC Carthage</w:t>
            </w:r>
          </w:p>
        </w:tc>
        <w:tc>
          <w:tcPr>
            <w:tcW w:type="dxa" w:w="5205"/>
            <w:tcMar>
              <w:top w:w="45" w:type="dxa"/>
              <w:start w:w="70" w:type="dxa"/>
              <w:bottom w:w="45" w:type="dxa"/>
              <w:end w:w="70" w:type="dxa"/>
            </w:tcMar>
            <w:tcBorders>
              <w:bottom w:val="single" w:sz="3" w:color="D9E3EA"/>
            </w:tcBorders>
          </w:tcPr>
          <w:p>
            <w:pPr>
              <w:spacing w:after="0"/>
              <w:jc w:val="right"/>
            </w:pPr>
            <w:r>
              <w:rPr>
                <w:rFonts w:ascii="Arial" w:hAnsi="Arial" w:eastAsia="Arial"/>
                <w:b w:val="0"/>
                <w:color w:val="58687B"/>
                <w:sz w:val="15"/>
              </w:rPr>
              <w:t>Oct. 2025 - Juin 2027 | Diplôme prévu: Juin 2027</w:t>
            </w:r>
          </w:p>
        </w:tc>
      </w:tr>
      <w:tr>
        <w:tc>
          <w:tcPr>
            <w:tcW w:type="dxa" w:w="5205"/>
            <w:tcMar>
              <w:top w:w="45" w:type="dxa"/>
              <w:start w:w="70" w:type="dxa"/>
              <w:bottom w:w="45" w:type="dxa"/>
              <w:end w:w="70" w:type="dxa"/>
            </w:tcMar>
            <w:tcBorders>
              <w:bottom w:val="single" w:sz="3" w:color="D9E3EA"/>
            </w:tcBorders>
          </w:tcPr>
          <w:p>
            <w:pPr>
              <w:spacing w:after="0"/>
            </w:pPr>
            <w:r>
              <w:rPr>
                <w:rFonts w:ascii="Arial" w:hAnsi="Arial" w:eastAsia="Arial"/>
                <w:b/>
                <w:color w:val="0D1B2F"/>
                <w:sz w:val="16"/>
              </w:rPr>
              <w:t>Licence Business Intelligence - IHEC Carthage</w:t>
            </w:r>
          </w:p>
        </w:tc>
        <w:tc>
          <w:tcPr>
            <w:tcW w:type="dxa" w:w="5205"/>
            <w:tcMar>
              <w:top w:w="45" w:type="dxa"/>
              <w:start w:w="70" w:type="dxa"/>
              <w:bottom w:w="45" w:type="dxa"/>
              <w:end w:w="70" w:type="dxa"/>
            </w:tcMar>
            <w:tcBorders>
              <w:bottom w:val="single" w:sz="3" w:color="D9E3EA"/>
            </w:tcBorders>
          </w:tcPr>
          <w:p>
            <w:pPr>
              <w:spacing w:after="0"/>
              <w:jc w:val="right"/>
            </w:pPr>
            <w:r>
              <w:rPr>
                <w:rFonts w:ascii="Arial" w:hAnsi="Arial" w:eastAsia="Arial"/>
                <w:b w:val="0"/>
                <w:color w:val="58687B"/>
                <w:sz w:val="15"/>
              </w:rPr>
              <w:t>Jan. 2021 - Juin 2025</w:t>
            </w:r>
          </w:p>
        </w:tc>
      </w:tr>
      <w:tr>
        <w:tc>
          <w:tcPr>
            <w:tcW w:type="dxa" w:w="5205"/>
            <w:tcMar>
              <w:top w:w="45" w:type="dxa"/>
              <w:start w:w="70" w:type="dxa"/>
              <w:bottom w:w="45" w:type="dxa"/>
              <w:end w:w="70" w:type="dxa"/>
            </w:tcMar>
            <w:tcBorders>
              <w:bottom w:val="single" w:sz="3" w:color="D9E3EA"/>
            </w:tcBorders>
          </w:tcPr>
          <w:p>
            <w:pPr>
              <w:spacing w:after="0"/>
            </w:pPr>
            <w:r>
              <w:rPr>
                <w:rFonts w:ascii="Arial" w:hAnsi="Arial" w:eastAsia="Arial"/>
                <w:b/>
                <w:color w:val="0D1B2F"/>
                <w:sz w:val="16"/>
              </w:rPr>
              <w:t>Fundamentals of Digital Marketing - Google</w:t>
            </w:r>
          </w:p>
        </w:tc>
        <w:tc>
          <w:tcPr>
            <w:tcW w:type="dxa" w:w="5205"/>
            <w:tcMar>
              <w:top w:w="45" w:type="dxa"/>
              <w:start w:w="70" w:type="dxa"/>
              <w:bottom w:w="45" w:type="dxa"/>
              <w:end w:w="70" w:type="dxa"/>
            </w:tcMar>
            <w:tcBorders>
              <w:bottom w:val="single" w:sz="3" w:color="D9E3EA"/>
            </w:tcBorders>
          </w:tcPr>
          <w:p>
            <w:pPr>
              <w:spacing w:after="0"/>
              <w:jc w:val="right"/>
            </w:pPr>
            <w:r>
              <w:rPr>
                <w:rFonts w:ascii="Arial" w:hAnsi="Arial" w:eastAsia="Arial"/>
                <w:b w:val="0"/>
                <w:color w:val="58687B"/>
                <w:sz w:val="15"/>
              </w:rPr>
              <w:t>Certification</w:t>
            </w:r>
          </w:p>
        </w:tc>
      </w:tr>
    </w:tbl>
    <w:p>
      <w:pPr>
        <w:spacing w:after="20"/>
      </w:pPr>
      <w:r>
        <w:rPr>
          <w:rFonts w:ascii="Arial" w:hAnsi="Arial" w:eastAsia="Arial"/>
          <w:b/>
          <w:color w:val="0D1B2F"/>
          <w:sz w:val="16"/>
        </w:rPr>
        <w:t xml:space="preserve">Langues: </w:t>
      </w:r>
      <w:r>
        <w:rPr>
          <w:rFonts w:ascii="Arial" w:hAnsi="Arial" w:eastAsia="Arial"/>
          <w:b w:val="0"/>
          <w:color w:val="0D1B2F"/>
          <w:sz w:val="16"/>
        </w:rPr>
        <w:t>Français | Anglais</w:t>
      </w:r>
    </w:p>
    <w:sectPr w:rsidR="00FC693F" w:rsidRPr="0006063C" w:rsidSect="00034616">
      <w:pgSz w:w="11909" w:h="16834"/>
      <w:pgMar w:top="648"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5" w:lineRule="auto"/>
    </w:pPr>
    <w:rPr>
      <w:rFonts w:ascii="Arial" w:hAnsi="Arial" w:eastAsia="Arial"/>
      <w:color w:val="0D1B2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Ahmed_Aziz_Mhiri_CV_Français</dc:title>
  <dc:subject>Professional CV</dc:subject>
  <dc:creator>Ahmed Aziz Mhiri</dc:creator>
  <cp:keywords/>
  <dc:description>Generated from verified portfolio information.</dc:description>
  <cp:lastModifiedBy/>
  <cp:revision>1</cp:revision>
  <dcterms:created xsi:type="dcterms:W3CDTF">2013-12-23T23:15:00Z</dcterms:created>
  <dcterms:modified xsi:type="dcterms:W3CDTF">2013-12-23T23:15:00Z</dcterms:modified>
  <cp:category/>
</cp:coreProperties>
</file>