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38B" w:rsidRDefault="005B1F81">
      <w:pPr>
        <w:pStyle w:val="Title"/>
      </w:pPr>
      <w:r>
        <w:t>Color Response Project</w:t>
      </w:r>
    </w:p>
    <w:p w:rsidR="00EB338B" w:rsidRDefault="005B1F81">
      <w:pPr>
        <w:pStyle w:val="Author"/>
      </w:pPr>
      <w:r>
        <w:t>Dillon Isaacson, Matt Hirschi, Steven Garcia</w:t>
      </w:r>
    </w:p>
    <w:p w:rsidR="00EB338B" w:rsidRDefault="005B1F81">
      <w:pPr>
        <w:pStyle w:val="Date"/>
      </w:pPr>
      <w:r>
        <w:t>November 30, 2018</w:t>
      </w:r>
    </w:p>
    <w:p w:rsidR="00EB338B" w:rsidRDefault="005B1F81">
      <w:pPr>
        <w:pStyle w:val="Heading1"/>
      </w:pPr>
      <w:bookmarkStart w:id="0" w:name="color-response-project"/>
      <w:bookmarkEnd w:id="0"/>
      <w:r>
        <w:t>Color Response Project</w:t>
      </w:r>
    </w:p>
    <w:p w:rsidR="00EB338B" w:rsidRDefault="005B1F81">
      <w:pPr>
        <w:pStyle w:val="Heading2"/>
      </w:pPr>
      <w:bookmarkStart w:id="1" w:name="question"/>
      <w:bookmarkEnd w:id="1"/>
      <w:r>
        <w:t>Question</w:t>
      </w:r>
    </w:p>
    <w:p w:rsidR="00EB338B" w:rsidRDefault="005B1F81">
      <w:pPr>
        <w:pStyle w:val="FirstParagraph"/>
      </w:pPr>
      <w:r>
        <w:t>For our project we wanted to see if exposure to a specific color impacted a person’s reaction time/cognitive ability. We chose this after playing the “Shapesplosion” game in class and we thought it seemed like an awesome idea.</w:t>
      </w:r>
    </w:p>
    <w:p w:rsidR="00EB338B" w:rsidRDefault="005B1F81">
      <w:pPr>
        <w:pStyle w:val="BodyText"/>
      </w:pPr>
      <w:r>
        <w:t>Our factors of interest in th</w:t>
      </w:r>
      <w:r>
        <w:t>is are color and gender. Our hypothesis for these are as follows:</w:t>
      </w:r>
    </w:p>
    <w:p w:rsidR="00EB338B" w:rsidRDefault="005B1F81">
      <w:pPr>
        <w:pStyle w:val="Heading3"/>
      </w:pPr>
      <w:bookmarkStart w:id="2" w:name="color"/>
      <w:bookmarkEnd w:id="2"/>
      <w:r>
        <w:t>Color</w:t>
      </w:r>
    </w:p>
    <w:p w:rsidR="00EB338B" w:rsidRDefault="005B1F81">
      <w:pPr>
        <w:pStyle w:val="Fir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=0;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 xml:space="preserve"> is the different effects for our color groups: Blue, Red and the Control</m:t>
          </m:r>
        </m:oMath>
      </m:oMathPara>
    </w:p>
    <w:p w:rsidR="00EB338B" w:rsidRDefault="005B1F81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At least one of the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is different.</m:t>
          </m:r>
        </m:oMath>
      </m:oMathPara>
    </w:p>
    <w:p w:rsidR="00EB338B" w:rsidRDefault="005B1F81">
      <w:pPr>
        <w:pStyle w:val="Heading3"/>
      </w:pPr>
      <w:bookmarkStart w:id="3" w:name="gender"/>
      <w:bookmarkEnd w:id="3"/>
      <w:r>
        <w:t>Gender</w:t>
      </w:r>
    </w:p>
    <w:p w:rsidR="00EB338B" w:rsidRDefault="005B1F81">
      <w:pPr>
        <w:pStyle w:val="Fir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=0;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 xml:space="preserve"> is the different effects for our</m:t>
          </m:r>
          <m:r>
            <m:rPr>
              <m:sty m:val="p"/>
            </m:rPr>
            <w:rPr>
              <w:rFonts w:ascii="Cambria Math" w:hAnsi="Cambria Math"/>
            </w:rPr>
            <m:t xml:space="preserve"> genders: Male and Female</m:t>
          </m:r>
        </m:oMath>
      </m:oMathPara>
    </w:p>
    <w:p w:rsidR="00EB338B" w:rsidRDefault="005B1F81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At least one of the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is different.</m:t>
          </m:r>
        </m:oMath>
      </m:oMathPara>
    </w:p>
    <w:p w:rsidR="00EB338B" w:rsidRDefault="005B1F81">
      <w:pPr>
        <w:pStyle w:val="Heading3"/>
      </w:pPr>
      <w:bookmarkStart w:id="4" w:name="interaction"/>
      <w:bookmarkEnd w:id="4"/>
      <w:r>
        <w:t>Interaction</w:t>
      </w:r>
    </w:p>
    <w:p w:rsidR="00EB338B" w:rsidRDefault="005B1F81">
      <w:pPr>
        <w:pStyle w:val="Fir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EB338B" w:rsidRDefault="005B1F81">
      <w:pPr>
        <w:pStyle w:val="BodyText"/>
      </w:pPr>
      <w:r>
        <w:t xml:space="preserve">$H_a: </w:t>
      </w:r>
    </w:p>
    <w:p w:rsidR="00EB338B" w:rsidRDefault="005B1F81">
      <w:pPr>
        <w:pStyle w:val="BodyText"/>
      </w:pPr>
      <w:r>
        <w:t>For our data collection, we used Excel to assign a random color to person numbered 1:60. The colors were Control (no color</w:t>
      </w:r>
      <w:r>
        <w:t>), Blue, or Red. We had 20 people in each color group (10 Males and 10 Females). People were assigned a color randomly as Steven would grab individuals as they walked by at which point in time the color was assigned based on which number of person they wer</w:t>
      </w:r>
      <w:r>
        <w:t>e. Our sample size ended up being 60 to keep a balanced design.</w:t>
      </w:r>
    </w:p>
    <w:p w:rsidR="00EB338B" w:rsidRDefault="005B1F81">
      <w:pPr>
        <w:pStyle w:val="Heading2"/>
      </w:pPr>
      <w:bookmarkStart w:id="5" w:name="analysis"/>
      <w:bookmarkEnd w:id="5"/>
      <w:r>
        <w:t>Analysis</w:t>
      </w:r>
    </w:p>
    <w:p w:rsidR="00EB338B" w:rsidRDefault="005B1F81" w:rsidP="00805334">
      <w:pPr>
        <w:pStyle w:val="FirstParagraph"/>
      </w:pPr>
      <w:r>
        <w:t xml:space="preserve">As we begin this analysis, we want to look at the favstats and a </w:t>
      </w:r>
      <w:proofErr w:type="gramStart"/>
      <w:r>
        <w:t>boxplots of each group</w:t>
      </w:r>
      <w:proofErr w:type="gramEnd"/>
      <w:r>
        <w:t xml:space="preserve"> so the first group you see below is when color is on the x axis and the second is with gender on the x axis.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194"/>
        <w:gridCol w:w="747"/>
        <w:gridCol w:w="964"/>
        <w:gridCol w:w="1191"/>
        <w:gridCol w:w="964"/>
        <w:gridCol w:w="785"/>
        <w:gridCol w:w="964"/>
        <w:gridCol w:w="964"/>
        <w:gridCol w:w="583"/>
        <w:gridCol w:w="1220"/>
      </w:tblGrid>
      <w:tr w:rsidR="00EB338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lastRenderedPageBreak/>
              <w:t>c</w:t>
            </w:r>
            <w:r>
              <w:t>olor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Q1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Q3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missing</w:t>
            </w:r>
          </w:p>
        </w:tc>
      </w:tr>
      <w:tr w:rsidR="00EB338B"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Blue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27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29.75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33.5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32.35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4.082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0</w:t>
            </w:r>
          </w:p>
        </w:tc>
      </w:tr>
      <w:tr w:rsidR="00EB338B"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Control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34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37.5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35.85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6.953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0</w:t>
            </w:r>
          </w:p>
        </w:tc>
      </w:tr>
      <w:tr w:rsidR="00EB338B"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29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35.5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40.25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49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36.55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5.652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0</w:t>
            </w:r>
          </w:p>
        </w:tc>
      </w:tr>
    </w:tbl>
    <w:p w:rsidR="00EB338B" w:rsidRDefault="005B1F81" w:rsidP="0080533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or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183"/>
        <w:gridCol w:w="780"/>
        <w:gridCol w:w="640"/>
        <w:gridCol w:w="1244"/>
        <w:gridCol w:w="1008"/>
        <w:gridCol w:w="821"/>
        <w:gridCol w:w="1008"/>
        <w:gridCol w:w="1008"/>
        <w:gridCol w:w="609"/>
        <w:gridCol w:w="1275"/>
      </w:tblGrid>
      <w:tr w:rsidR="00EB338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g</w:t>
            </w:r>
            <w:r>
              <w:t>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Q1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Q3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805334">
            <w:pPr>
              <w:pStyle w:val="Compact"/>
              <w:jc w:val="center"/>
            </w:pPr>
            <w:r>
              <w:t>S</w:t>
            </w:r>
            <w:r w:rsidR="005B1F81">
              <w:t>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missing</w:t>
            </w:r>
          </w:p>
        </w:tc>
      </w:tr>
      <w:tr w:rsidR="00EB338B"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28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33.5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35.75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34.37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4.021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0</w:t>
            </w:r>
          </w:p>
        </w:tc>
      </w:tr>
      <w:tr w:rsidR="00EB338B"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M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33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40.75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35.47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7.328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0</w:t>
            </w:r>
          </w:p>
        </w:tc>
      </w:tr>
    </w:tbl>
    <w:p w:rsidR="00EB338B" w:rsidRDefault="005B1F8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orMarkdown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8B" w:rsidRDefault="005B1F81">
      <w:pPr>
        <w:pStyle w:val="BodyText"/>
      </w:pPr>
      <w:r>
        <w:t>Looking at the plots, you can see that where gender is concerned the variability is higher however there isn’t really a difference in means. However, with the color data the variability is much lower however the means appear to be a little different so the</w:t>
      </w:r>
      <w:r>
        <w:t>re may be something going on there. Next, let’s check the interaction plot to see if there is more of a reason to suspect an interaction.</w:t>
      </w:r>
    </w:p>
    <w:p w:rsidR="00EB338B" w:rsidRDefault="005B1F8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orMarkdow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8B" w:rsidRDefault="005B1F81">
      <w:pPr>
        <w:pStyle w:val="BodyText"/>
      </w:pPr>
      <w:r>
        <w:t>OK, it appears that we do have an interaction especially wit</w:t>
      </w:r>
      <w:r>
        <w:t>h the control so lastly let’s check the plots for our assumptions.</w:t>
      </w:r>
    </w:p>
    <w:p w:rsidR="00EB338B" w:rsidRDefault="005B1F8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or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orMarkdown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8B" w:rsidRDefault="005B1F81">
      <w:pPr>
        <w:pStyle w:val="BodyText"/>
      </w:pPr>
      <w:r>
        <w:t>Our assumptions are met. Normallity could be a litle better, there may be the smallest amount of a left s</w:t>
      </w:r>
      <w:r>
        <w:t>kew however not enough to be concerned about and the residuals have a slight amount of a microphone shape however we feel fine in moving forward with this and saying that constant variance is met (thank you 425).</w:t>
      </w:r>
    </w:p>
    <w:p w:rsidR="00EB338B" w:rsidRDefault="005B1F81">
      <w:pPr>
        <w:pStyle w:val="Heading2"/>
      </w:pPr>
      <w:bookmarkStart w:id="6" w:name="conclusion"/>
      <w:bookmarkEnd w:id="6"/>
      <w:r>
        <w:lastRenderedPageBreak/>
        <w:t>Conclusion</w:t>
      </w:r>
    </w:p>
    <w:p w:rsidR="00EB338B" w:rsidRDefault="005B1F81">
      <w:pPr>
        <w:pStyle w:val="TableCaption"/>
      </w:pPr>
      <w:bookmarkStart w:id="7" w:name="_GoBack"/>
      <w:bookmarkEnd w:id="7"/>
      <w:r>
        <w:t>Analysis of Variance Table</w:t>
      </w:r>
    </w:p>
    <w:tbl>
      <w:tblPr>
        <w:tblW w:w="4375" w:type="pct"/>
        <w:tblLook w:val="07E0" w:firstRow="1" w:lastRow="1" w:firstColumn="1" w:lastColumn="1" w:noHBand="1" w:noVBand="1"/>
        <w:tblCaption w:val="Analysis of Variance Table"/>
      </w:tblPr>
      <w:tblGrid>
        <w:gridCol w:w="2212"/>
        <w:gridCol w:w="653"/>
        <w:gridCol w:w="1316"/>
        <w:gridCol w:w="1469"/>
        <w:gridCol w:w="1289"/>
        <w:gridCol w:w="1440"/>
      </w:tblGrid>
      <w:tr w:rsidR="00EB338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Sum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Mean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F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338B" w:rsidRDefault="005B1F81">
            <w:pPr>
              <w:pStyle w:val="Compact"/>
              <w:jc w:val="center"/>
            </w:pPr>
            <w:r>
              <w:t>Pr(&gt;F)</w:t>
            </w:r>
          </w:p>
        </w:tc>
      </w:tr>
      <w:tr w:rsidR="00EB338B"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202.5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101.3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3.084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0.05392</w:t>
            </w:r>
          </w:p>
        </w:tc>
      </w:tr>
      <w:tr w:rsidR="00EB338B"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rPr>
                <w:b/>
              </w:rPr>
              <w:t>gender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18.15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18.15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0.5528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0.4604</w:t>
            </w:r>
          </w:p>
        </w:tc>
      </w:tr>
      <w:tr w:rsidR="00EB338B"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rPr>
                <w:b/>
              </w:rPr>
              <w:t>color:gender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50.8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25.4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0.7736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0.4664</w:t>
            </w:r>
          </w:p>
        </w:tc>
      </w:tr>
      <w:tr w:rsidR="00EB338B"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rPr>
                <w:b/>
              </w:rPr>
              <w:t>Residuals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54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1773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32.84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EB338B" w:rsidRDefault="005B1F81">
            <w:pPr>
              <w:pStyle w:val="Compact"/>
              <w:jc w:val="center"/>
            </w:pPr>
            <w:r>
              <w:t>NA</w:t>
            </w:r>
          </w:p>
        </w:tc>
      </w:tr>
    </w:tbl>
    <w:p w:rsidR="00EB338B" w:rsidRDefault="005B1F81">
      <w:pPr>
        <w:pStyle w:val="BodyText"/>
      </w:pPr>
      <w:r>
        <w:t xml:space="preserve">Our degrees of freedom, as show in the table, are 2, 1, 2, and 54 for the residuals. We’ve done this analysis using the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 xml:space="preserve"> for our level of significance. Based on that, nothing appears to be significant which means we have no reason to suspect that an</w:t>
      </w:r>
      <w:r>
        <w:t>y of the effects are significant. That said, color is very small (p-value of 0.05392) and the F statistic is 3.084 so we’ve decided that color is likely a significant factor and if we had more data we thinik that this would come through.</w:t>
      </w:r>
    </w:p>
    <w:p w:rsidR="00EB338B" w:rsidRDefault="005B1F81">
      <w:pPr>
        <w:pStyle w:val="BodyText"/>
      </w:pPr>
      <w:r>
        <w:t>In retrospect, a f</w:t>
      </w:r>
      <w:r>
        <w:t>ew things we would have changed are the colors we used-our game used blue shapes and we used about the same shade of blue so we could have used green or something. Also, we feel like doing a grey scale for the game (making it black and white) so that peopl</w:t>
      </w:r>
      <w:r>
        <w:t>e didn’t go from one color to another color. Lastly, our sample size is fairly small (larger than some projects, but it could have been bigger) so a larger sample size could have been better. Using a power analysis for a desired power to establish sample s</w:t>
      </w:r>
      <w:r>
        <w:t>ize would be beneficial.</w:t>
      </w:r>
    </w:p>
    <w:p w:rsidR="00EB338B" w:rsidRDefault="005B1F81">
      <w:pPr>
        <w:pStyle w:val="Heading2"/>
      </w:pPr>
      <w:bookmarkStart w:id="8" w:name="references"/>
      <w:bookmarkEnd w:id="8"/>
      <w:r>
        <w:t>References</w:t>
      </w:r>
    </w:p>
    <w:p w:rsidR="00EB338B" w:rsidRDefault="005B1F81">
      <w:pPr>
        <w:numPr>
          <w:ilvl w:val="0"/>
          <w:numId w:val="3"/>
        </w:numPr>
      </w:pPr>
      <w:r>
        <w:t>Klein, G. S. (1964). Semantic power measured through the interference of words with color-naming. The American journal of psychology, 77(4), 576-588.</w:t>
      </w:r>
    </w:p>
    <w:p w:rsidR="00EB338B" w:rsidRDefault="005B1F81">
      <w:pPr>
        <w:numPr>
          <w:ilvl w:val="0"/>
          <w:numId w:val="3"/>
        </w:numPr>
      </w:pPr>
      <w:r>
        <w:t>Breitmeyer, B. G., &amp; Breier, J. I. (1994). Effects of background color on reaction time to stimuli varying</w:t>
      </w:r>
      <w:r>
        <w:t xml:space="preserve"> in size and contrast: Inferences about human M channels. Vision Research, 34(8), 1039-1045.</w:t>
      </w:r>
    </w:p>
    <w:p w:rsidR="00EB338B" w:rsidRDefault="005B1F81">
      <w:pPr>
        <w:numPr>
          <w:ilvl w:val="0"/>
          <w:numId w:val="3"/>
        </w:numPr>
      </w:pPr>
      <w:r>
        <w:t xml:space="preserve">Breitmeyer, B. G., &amp; Ogmen, H. (2000). Recent models and findings in visual backward masking: A comparison, review, and update. Perception &amp; psychophysics, 62(8), </w:t>
      </w:r>
      <w:r>
        <w:t>1572-1595.</w:t>
      </w:r>
    </w:p>
    <w:sectPr w:rsidR="00EB33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F81" w:rsidRDefault="005B1F81">
      <w:pPr>
        <w:spacing w:after="0"/>
      </w:pPr>
      <w:r>
        <w:separator/>
      </w:r>
    </w:p>
  </w:endnote>
  <w:endnote w:type="continuationSeparator" w:id="0">
    <w:p w:rsidR="005B1F81" w:rsidRDefault="005B1F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F81" w:rsidRDefault="005B1F81">
      <w:r>
        <w:separator/>
      </w:r>
    </w:p>
  </w:footnote>
  <w:footnote w:type="continuationSeparator" w:id="0">
    <w:p w:rsidR="005B1F81" w:rsidRDefault="005B1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98A9A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818586"/>
    <w:multiLevelType w:val="multilevel"/>
    <w:tmpl w:val="B32E5F3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016017"/>
    <w:multiLevelType w:val="multilevel"/>
    <w:tmpl w:val="5F76A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B1F81"/>
    <w:rsid w:val="00784D58"/>
    <w:rsid w:val="00805334"/>
    <w:rsid w:val="008D6863"/>
    <w:rsid w:val="00B86B75"/>
    <w:rsid w:val="00BC48D5"/>
    <w:rsid w:val="00C36279"/>
    <w:rsid w:val="00E315A3"/>
    <w:rsid w:val="00EB33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ADA5"/>
  <w15:docId w15:val="{0DE583DE-693F-47F3-AB91-EAFDB498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 Response Project</dc:title>
  <dc:creator>Dillon Isaacson, Matt Hirschi, Steven Garcia</dc:creator>
  <cp:lastModifiedBy>Isaacson, Dillon</cp:lastModifiedBy>
  <cp:revision>2</cp:revision>
  <dcterms:created xsi:type="dcterms:W3CDTF">2018-12-09T04:25:00Z</dcterms:created>
  <dcterms:modified xsi:type="dcterms:W3CDTF">2018-12-09T04:25:00Z</dcterms:modified>
</cp:coreProperties>
</file>