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D4AF37"/>
          <w:bottom w:val="single" w:sz="12" w:space="0" w:color="D4AF37"/>
          <w:left w:val="single" w:sz="12" w:space="0" w:color="D4AF37"/>
          <w:right w:val="single" w:sz="12" w:space="0" w:color="D4AF37"/>
          <w:insideH w:val="single" w:sz="12" w:space="0" w:color="D4AF37"/>
          <w:insideV w:val="single" w:sz="12" w:space="0" w:color="D4AF37"/>
        </w:tblBorders>
      </w:tblPr>
      <w:tblGrid>
        <w:gridCol w:w="14112"/>
      </w:tblGrid>
      <w:tr>
        <w:tc>
          <w:tcPr>
            <w:tcW w:type="dxa" w:w="14112"/>
            <w:shd w:fill="0B1D3A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00A3E0"/>
                <w:sz w:val="20"/>
              </w:rPr>
              <w:t>RUSSIAN-AFRICAN FORUM-CONTEST OF YOUNG SCIENTISTS 2026 | UNDER THE AUSPICES OF UNESCO</w:t>
              <w:br/>
            </w:r>
            <w:r>
              <w:rPr>
                <w:rFonts w:ascii="Arial" w:hAnsi="Arial"/>
                <w:b/>
                <w:color w:val="D4AF37"/>
                <w:sz w:val="52"/>
              </w:rPr>
              <w:t>⛏️ SECURING THE DIGITAL MINE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A Metaheuristic-Optimized Deep Learning Framework for Edge Intrusion Detection in IoT Mineral Operations</w:t>
              <w:br/>
            </w:r>
            <w:r>
              <w:rPr>
                <w:rFonts w:ascii="Times New Roman" w:hAnsi="Times New Roman"/>
                <w:i/>
                <w:color w:val="E2E8F0"/>
                <w:sz w:val="21"/>
              </w:rPr>
              <w:t>John Okyere (Lead), Ezekeil Baah, Clement Baffour, Parker Paa Annobil, George Akwesi Bonnah</w:t>
              <w:br/>
              <w:t>Department of ICT, University of Education, Winneba &amp; Kayaba Labs | Track 3: Smart Subsoil | Saint Petersburg Mining University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529B"/>
          <w:bottom w:val="single" w:sz="6" w:space="0" w:color="00529B"/>
          <w:left w:val="single" w:sz="6" w:space="0" w:color="00529B"/>
          <w:right w:val="single" w:sz="6" w:space="0" w:color="00529B"/>
          <w:insideH w:val="single" w:sz="6" w:space="0" w:color="00529B"/>
          <w:insideV w:val="single" w:sz="6" w:space="0" w:color="00529B"/>
        </w:tblBorders>
      </w:tblPr>
      <w:tblGrid>
        <w:gridCol w:w="4704"/>
        <w:gridCol w:w="4704"/>
        <w:gridCol w:w="4704"/>
      </w:tblGrid>
      <w:tr>
        <w:tc>
          <w:tcPr>
            <w:tcW w:type="dxa" w:w="469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B981"/>
                <w:sz w:val="36"/>
              </w:rPr>
              <w:t>0.76 ms</w:t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Edge Inference Latency (207x Speedup vs Baseline)</w:t>
            </w:r>
          </w:p>
        </w:tc>
        <w:tc>
          <w:tcPr>
            <w:tcW w:type="dxa" w:w="469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00529B"/>
                <w:sz w:val="36"/>
              </w:rPr>
              <w:t>75.61%</w:t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Feature Pruning (41 -&gt; 10 BWOA Dimensionality Red.)</w:t>
            </w:r>
          </w:p>
        </w:tc>
        <w:tc>
          <w:tcPr>
            <w:tcW w:type="dxa" w:w="469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00A3E0"/>
                <w:sz w:val="36"/>
              </w:rPr>
              <w:t>96.89%</w:t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Benign Flow Precision (Zero False Alarms)</w:t>
            </w:r>
          </w:p>
        </w:tc>
      </w:tr>
      <w:tr>
        <w:tc>
          <w:tcPr>
            <w:tcW w:type="dxa" w:w="469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DC2626"/>
                <w:sz w:val="36"/>
              </w:rPr>
              <w:t>89.04%</w:t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DoS Attack Recall (Defends Mining PLCs)</w:t>
            </w:r>
          </w:p>
        </w:tc>
        <w:tc>
          <w:tcPr>
            <w:tcW w:type="dxa" w:w="469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D4AF37"/>
                <w:sz w:val="36"/>
              </w:rPr>
              <w:t>0.82 MB</w:t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Float16 Quantized Size (Runs on 1GB RAM Pi 4B)</w:t>
            </w:r>
          </w:p>
        </w:tc>
        <w:tc>
          <w:tcPr>
            <w:tcW w:type="dxa" w:w="469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0B1D3A"/>
                <w:sz w:val="36"/>
              </w:rPr>
              <w:t>200x - 300x</w:t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Estimated Industrial ROI (Averts $50k-$500k/hr Loss)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529B"/>
          <w:bottom w:val="single" w:sz="8" w:space="0" w:color="00529B"/>
          <w:left w:val="single" w:sz="8" w:space="0" w:color="00529B"/>
          <w:right w:val="single" w:sz="8" w:space="0" w:color="00529B"/>
          <w:insideH w:val="single" w:sz="8" w:space="0" w:color="00529B"/>
          <w:insideV w:val="single" w:sz="8" w:space="0" w:color="00529B"/>
        </w:tblBorders>
      </w:tblPr>
      <w:tblGrid>
        <w:gridCol w:w="14112"/>
      </w:tblGrid>
      <w:tr>
        <w:tc>
          <w:tcPr>
            <w:tcW w:type="dxa" w:w="1411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color w:val="00A3E0"/>
                <w:sz w:val="20"/>
              </w:rPr>
              <w:t>■ SECTION 1: INDUSTRIAL THREAT LANDSCAPE</w:t>
              <w:br/>
            </w:r>
            <w:r>
              <w:rPr>
                <w:rFonts w:ascii="Arial" w:hAnsi="Arial"/>
                <w:b/>
                <w:color w:val="00529B"/>
                <w:sz w:val="26"/>
              </w:rPr>
              <w:t>The Collapse of the Air-Gap in African and Russian Mineral Extraction Operations</w:t>
              <w:br/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Digital Subsoil Transformation: </w:t>
            </w:r>
            <w:r>
              <w:rPr>
                <w:rFonts w:ascii="Times New Roman" w:hAnsi="Times New Roman"/>
                <w:color w:val="0F172A"/>
                <w:sz w:val="21"/>
              </w:rPr>
              <w:t>Connecting heavy equipment (SAG mills, flotation cells, autonomous haulers) to cloud twins exposes unauthenticated Modbus/DNP3 protocols to cyber intrusion.</w:t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Catastrophic Downtime Losses: </w:t>
            </w:r>
            <w:r>
              <w:rPr>
                <w:rFonts w:ascii="Times New Roman" w:hAnsi="Times New Roman"/>
                <w:color w:val="0F172A"/>
                <w:sz w:val="21"/>
              </w:rPr>
              <w:t>Unplanned mining downtime costs USD $50,000 to $500,000 per hour; cyber manipulation of toxic gas scrubbers directly endangers human life.</w:t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IT-Centric IDS Mismatch: </w:t>
            </w:r>
            <w:r>
              <w:rPr>
                <w:rFonts w:ascii="Times New Roman" w:hAnsi="Times New Roman"/>
                <w:color w:val="0F172A"/>
                <w:sz w:val="21"/>
              </w:rPr>
              <w:t>Enterprise security tools evaluate 41+ features taking 150+ milliseconds, violating the 20 to 50 millisecond control loop deadlines of industrial PLCs.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412480" cy="416765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ning_scada_flowchar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0" cy="41676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529B"/>
          <w:bottom w:val="single" w:sz="8" w:space="0" w:color="00529B"/>
          <w:left w:val="single" w:sz="8" w:space="0" w:color="00529B"/>
          <w:right w:val="single" w:sz="8" w:space="0" w:color="00529B"/>
          <w:insideH w:val="single" w:sz="8" w:space="0" w:color="00529B"/>
          <w:insideV w:val="single" w:sz="8" w:space="0" w:color="00529B"/>
        </w:tblBorders>
      </w:tblPr>
      <w:tblGrid>
        <w:gridCol w:w="14112"/>
      </w:tblGrid>
      <w:tr>
        <w:tc>
          <w:tcPr>
            <w:tcW w:type="dxa" w:w="1411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color w:val="00A3E0"/>
                <w:sz w:val="20"/>
              </w:rPr>
              <w:t>■ SECTION 2: TECHNOLOGICAL INNOVATION</w:t>
              <w:br/>
            </w:r>
            <w:r>
              <w:rPr>
                <w:rFonts w:ascii="Arial" w:hAnsi="Arial"/>
                <w:b/>
                <w:color w:val="00529B"/>
                <w:sz w:val="26"/>
              </w:rPr>
              <w:t>4-Layer Edge Architecture, BWOA Feature Pruning, and Conv1D-LSTM Hybrid Classifier</w:t>
              <w:br/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Layer 1 (Ingestion Agent): </w:t>
            </w:r>
            <w:r>
              <w:rPr>
                <w:rFonts w:ascii="Times New Roman" w:hAnsi="Times New Roman"/>
                <w:color w:val="0F172A"/>
                <w:sz w:val="21"/>
              </w:rPr>
              <w:t>Promiscuous packet capture using @mhiskall282/unesco-mine-sec-cli to parse Modbus, DNP3, and OPC-UA streams at line rate.</w:t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Layer 2 (BWOA Feature Pruning): </w:t>
            </w:r>
            <w:r>
              <w:rPr>
                <w:rFonts w:ascii="Times New Roman" w:hAnsi="Times New Roman"/>
                <w:color w:val="0F172A"/>
                <w:sz w:val="21"/>
              </w:rPr>
              <w:t>Metaheuristic optimizer prunes 41 features down to 10 optimal dimensions (75.61% compression) with 92.31% RF CV validation accuracy.</w:t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Layer 3 (Deep Learning Engine): </w:t>
            </w:r>
            <w:r>
              <w:rPr>
                <w:rFonts w:ascii="Times New Roman" w:hAnsi="Times New Roman"/>
                <w:color w:val="0F172A"/>
                <w:sz w:val="21"/>
              </w:rPr>
              <w:t>Spatial-temporal Conv1D-LSTM neural network compressed via Float16 quantization to 0.82 MB (83.2% size reduction).</w:t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Layer 4 (Operational SaaS): </w:t>
            </w:r>
            <w:r>
              <w:rPr>
                <w:rFonts w:ascii="Times New Roman" w:hAnsi="Times New Roman"/>
                <w:color w:val="0F172A"/>
                <w:sz w:val="21"/>
              </w:rPr>
              <w:t>FastAPI microservice (port 8001) streaming real-time threat intelligence to a multi-tenant Laravel Livewire dashboard.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412480" cy="49353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stem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0" cy="4935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529B"/>
          <w:bottom w:val="single" w:sz="8" w:space="0" w:color="00529B"/>
          <w:left w:val="single" w:sz="8" w:space="0" w:color="00529B"/>
          <w:right w:val="single" w:sz="8" w:space="0" w:color="00529B"/>
          <w:insideH w:val="single" w:sz="8" w:space="0" w:color="00529B"/>
          <w:insideV w:val="single" w:sz="8" w:space="0" w:color="00529B"/>
        </w:tblBorders>
      </w:tblPr>
      <w:tblGrid>
        <w:gridCol w:w="14112"/>
      </w:tblGrid>
      <w:tr>
        <w:tc>
          <w:tcPr>
            <w:tcW w:type="dxa" w:w="1411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color w:val="00A3E0"/>
                <w:sz w:val="20"/>
              </w:rPr>
              <w:t>■ SECTION 3: EMPIRICAL BENCHMARKS &amp; EDGE VERIFICATION</w:t>
              <w:br/>
            </w:r>
            <w:r>
              <w:rPr>
                <w:rFonts w:ascii="Arial" w:hAnsi="Arial"/>
                <w:b/>
                <w:color w:val="00529B"/>
                <w:sz w:val="26"/>
              </w:rPr>
              <w:t>Sub-Millisecond Execution on Low-Power Raspberry Pi 4B (1GB RAM) Hardware</w:t>
              <w:br/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0.76 ms Single-Sample Latency: </w:t>
            </w:r>
            <w:r>
              <w:rPr>
                <w:rFonts w:ascii="Times New Roman" w:hAnsi="Times New Roman"/>
                <w:color w:val="0F172A"/>
                <w:sz w:val="21"/>
              </w:rPr>
              <w:t>Executes 207x faster than baseline on a physical Raspberry Pi 4B (1GB RAM), easily passing the sub-100ms SCADA limit.</w:t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70.56% Multi-Class Accuracy: </w:t>
            </w:r>
            <w:r>
              <w:rPr>
                <w:rFonts w:ascii="Times New Roman" w:hAnsi="Times New Roman"/>
                <w:color w:val="0F172A"/>
                <w:sz w:val="21"/>
              </w:rPr>
              <w:t>Evaluated on 22,544 held-out NSL-KDD test samples with 0.7127 Macro F1-score and 0.8471 AUC-ROC.</w:t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96.89% Benign Precision: </w:t>
            </w:r>
            <w:r>
              <w:rPr>
                <w:rFonts w:ascii="Times New Roman" w:hAnsi="Times New Roman"/>
                <w:color w:val="0F172A"/>
                <w:sz w:val="21"/>
              </w:rPr>
              <w:t>Virtually eliminates false positive production shutdowns in continuous mineral processing circuits.</w:t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89.04% DoS Attack Recall: </w:t>
            </w:r>
            <w:r>
              <w:rPr>
                <w:rFonts w:ascii="Times New Roman" w:hAnsi="Times New Roman"/>
                <w:color w:val="0F172A"/>
                <w:sz w:val="21"/>
              </w:rPr>
              <w:t>Intercepts 89% of volumetric denial-of-service floods targeting industrial programmable logic controllers (PLCs).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412480" cy="46854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tency_comparison_barchar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0" cy="4685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529B"/>
          <w:bottom w:val="single" w:sz="8" w:space="0" w:color="00529B"/>
          <w:left w:val="single" w:sz="8" w:space="0" w:color="00529B"/>
          <w:right w:val="single" w:sz="8" w:space="0" w:color="00529B"/>
          <w:insideH w:val="single" w:sz="8" w:space="0" w:color="00529B"/>
          <w:insideV w:val="single" w:sz="8" w:space="0" w:color="00529B"/>
        </w:tblBorders>
      </w:tblPr>
      <w:tblGrid>
        <w:gridCol w:w="14112"/>
      </w:tblGrid>
      <w:tr>
        <w:tc>
          <w:tcPr>
            <w:tcW w:type="dxa" w:w="1411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color w:val="00A3E0"/>
                <w:sz w:val="20"/>
              </w:rPr>
              <w:t>■ SECTION 4: SUSTAINABILITY &amp; OPEN-SOURCE ARTIFACTS</w:t>
              <w:br/>
            </w:r>
            <w:r>
              <w:rPr>
                <w:rFonts w:ascii="Arial" w:hAnsi="Arial"/>
                <w:b/>
                <w:color w:val="00529B"/>
                <w:sz w:val="26"/>
              </w:rPr>
              <w:t>United Nations Sustainable Development Goals (SDG) Alignment and Industrial Impact</w:t>
              <w:br/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SDG 9 (Industry &amp; Innovation): </w:t>
            </w:r>
            <w:r>
              <w:rPr>
                <w:rFonts w:ascii="Times New Roman" w:hAnsi="Times New Roman"/>
                <w:color w:val="0F172A"/>
                <w:sz w:val="21"/>
              </w:rPr>
              <w:t>Hardens critical mining cyber-physical infrastructure against zero-day disruption, safeguarding global mineral supply chains.</w:t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SDG 8 (Decent Work &amp; Safety): </w:t>
            </w:r>
            <w:r>
              <w:rPr>
                <w:rFonts w:ascii="Times New Roman" w:hAnsi="Times New Roman"/>
                <w:color w:val="0F172A"/>
                <w:sz w:val="21"/>
              </w:rPr>
              <w:t>Protects underground worker safety by preventing cyber manipulation of toxic gas sensors and ventilation grids.</w:t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SDG 17 (Partnerships for Goals): </w:t>
            </w:r>
            <w:r>
              <w:rPr>
                <w:rFonts w:ascii="Times New Roman" w:hAnsi="Times New Roman"/>
                <w:color w:val="0F172A"/>
                <w:sz w:val="21"/>
              </w:rPr>
              <w:t>Fosters bilateral Russian-African scientific collaboration, technology transfer, and local technical capacity building.</w:t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High Economic ROI (200x - 300x): </w:t>
            </w:r>
            <w:r>
              <w:rPr>
                <w:rFonts w:ascii="Times New Roman" w:hAnsi="Times New Roman"/>
                <w:color w:val="0F172A"/>
                <w:sz w:val="21"/>
              </w:rPr>
              <w:t>Preventing a single 24-hour ransomware outage on a ball mill saves $300k to $450k against an annual IDS cost &lt; $1,500.</w:t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NPM Edge Sniffer CLI: </w:t>
            </w:r>
            <w:r>
              <w:rPr>
                <w:rFonts w:ascii="Times New Roman" w:hAnsi="Times New Roman"/>
                <w:color w:val="0F172A"/>
                <w:sz w:val="21"/>
              </w:rPr>
              <w:t>Install instantly on any gateway via 'npm install -g @mhiskall282/unesco-mine-sec-cli' from GitHub Packages.</w:t>
            </w:r>
          </w:p>
          <w:p>
            <w:pPr>
              <w:spacing w:after="60" w:line="288" w:lineRule="auto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 xml:space="preserve">• Source Code Repository: </w:t>
            </w:r>
            <w:r>
              <w:rPr>
                <w:rFonts w:ascii="Times New Roman" w:hAnsi="Times New Roman"/>
                <w:color w:val="0F172A"/>
                <w:sz w:val="21"/>
              </w:rPr>
              <w:t>Full source code, notebooks, and 75 unit test suites available at: https://github.com/mhiskall282/Securing-the-Digital-Mine-UNESCO-Project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412480" cy="495200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shboard_wirefram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0" cy="49520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sectPr w:rsidR="00FC693F" w:rsidRPr="0006063C" w:rsidSect="00034616">
      <w:pgSz w:w="15840" w:h="2448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