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Arial" w:hAnsi="Arial"/>
          <w:b/>
          <w:color w:val="0B1D3A"/>
          <w:sz w:val="36"/>
        </w:rPr>
        <w:t>SOFTWARE REQUIREMENTS SPECIFICATION (SRS)</w:t>
      </w:r>
    </w:p>
    <w:p>
      <w:pPr>
        <w:spacing w:after="240"/>
        <w:jc w:val="center"/>
      </w:pPr>
      <w:r>
        <w:rPr>
          <w:rFonts w:ascii="Arial" w:hAnsi="Arial"/>
          <w:i/>
          <w:color w:val="64748B"/>
          <w:sz w:val="22"/>
        </w:rPr>
        <w:t>IEEE Std 830-1998 Compliant Specification for Edge Intrusion Detection System in Digital Mining Operations</w:t>
        <w:br/>
        <w:t>UNESCO Project - Track 3: Smart Subsoil | Russian-African Forum 2026</w:t>
      </w:r>
    </w:p>
    <w:p>
      <w:pPr>
        <w:spacing w:after="40"/>
        <w:jc w:val="center"/>
      </w:pPr>
      <w:r>
        <w:rPr>
          <w:rFonts w:ascii="Times New Roman" w:hAnsi="Times New Roman"/>
          <w:b/>
          <w:sz w:val="22"/>
        </w:rPr>
        <w:t>Software Engineering Delegation: John Okyere (Lead), Ezekeil Baah, Clement Baffour, Parker Paa Annobil, George Akwesi Bonnah</w:t>
      </w:r>
    </w:p>
    <w:p>
      <w:pPr>
        <w:spacing w:after="280"/>
        <w:jc w:val="center"/>
      </w:pPr>
      <w:r>
        <w:rPr>
          <w:rFonts w:ascii="Times New Roman" w:hAnsi="Times New Roman"/>
          <w:i/>
          <w:color w:val="64748B"/>
          <w:sz w:val="19"/>
        </w:rPr>
        <w:t>Department of ICT, University of Education, Winneba &amp; UEW Innovation Hub | Standard: IEEE 830-1998 | Version 3.0.0</w:t>
      </w:r>
    </w:p>
    <w:tbl>
      <w:tblPr>
        <w:tblW w:type="auto" w:w="0"/>
        <w:jc w:val="center"/>
        <w:tblLayout w:type="fixed"/>
        <w:tblLook w:firstColumn="1" w:firstRow="1" w:lastColumn="0" w:lastRow="0" w:noHBand="0" w:noVBand="1" w:val="04A0"/>
        <w:tblBorders>
          <w:top w:val="single" w:sz="8" w:space="0" w:color="00529B"/>
          <w:bottom w:val="single" w:sz="8" w:space="0" w:color="00529B"/>
          <w:left w:val="single" w:sz="8" w:space="0" w:color="00529B"/>
          <w:right w:val="single" w:sz="8" w:space="0" w:color="00529B"/>
          <w:insideH w:val="single" w:sz="8" w:space="0" w:color="00529B"/>
          <w:insideV w:val="single" w:sz="8" w:space="0" w:color="00529B"/>
        </w:tblBorders>
      </w:tblPr>
      <w:tblGrid>
        <w:gridCol w:w="9360"/>
      </w:tblGrid>
      <w:tr>
        <w:tc>
          <w:tcPr>
            <w:tcW w:type="dxa" w:w="9360"/>
            <w:shd w:fill="F1F5F9"/>
            <w:tcMar>
              <w:top w:w="140" w:type="dxa"/>
              <w:bottom w:w="140" w:type="dxa"/>
              <w:left w:w="180" w:type="dxa"/>
              <w:right w:w="180" w:type="dxa"/>
            </w:tcMar>
          </w:tcPr>
          <w:p>
            <w:pPr>
              <w:spacing w:after="60" w:line="312" w:lineRule="auto"/>
            </w:pPr>
            <w:r>
              <w:rPr>
                <w:rFonts w:ascii="Arial" w:hAnsi="Arial"/>
                <w:b/>
                <w:color w:val="00529B"/>
                <w:sz w:val="22"/>
              </w:rPr>
              <w:t>SPECIFICATION SCOPE &amp; COMPLIANCE</w:t>
              <w:br/>
            </w:r>
            <w:r>
              <w:rPr>
                <w:rFonts w:ascii="Times New Roman" w:hAnsi="Times New Roman"/>
                <w:color w:val="1E293B"/>
                <w:sz w:val="22"/>
              </w:rPr>
              <w:t>This Software Requirements Specification (SRS) establishes the technical baseline, system interfaces, behavioral constraints, and verification criteria for the 'Securing the Digital Mine' metaheuristic-optimized deep learning intrusion detection artifact. This document complies with IEEE Std 830-1998 standards for software requirements specification.</w:t>
            </w:r>
          </w:p>
        </w:tc>
      </w:tr>
    </w:tbl>
    <w:p>
      <w:pPr>
        <w:spacing w:after="80"/>
      </w:pPr>
    </w:p>
    <w:p>
      <w:pPr>
        <w:keepNext/>
        <w:spacing w:before="360" w:after="120"/>
      </w:pPr>
      <w:r>
        <w:rPr>
          <w:rFonts w:ascii="Arial" w:hAnsi="Arial"/>
          <w:b/>
          <w:color w:val="00529B"/>
          <w:sz w:val="28"/>
        </w:rPr>
        <w:t>1. INTRODUCTION</w:t>
      </w:r>
    </w:p>
    <w:p>
      <w:pPr>
        <w:keepNext/>
        <w:spacing w:before="280" w:after="80"/>
      </w:pPr>
      <w:r>
        <w:rPr>
          <w:rFonts w:ascii="Arial" w:hAnsi="Arial"/>
          <w:b/>
          <w:color w:val="1E293B"/>
          <w:sz w:val="25"/>
        </w:rPr>
        <w:t>1.1 Purpose</w:t>
      </w:r>
    </w:p>
    <w:p>
      <w:pPr>
        <w:spacing w:line="360" w:lineRule="auto" w:after="120"/>
        <w:jc w:val="both"/>
      </w:pPr>
      <w:r>
        <w:rPr>
          <w:rFonts w:ascii="Times New Roman" w:hAnsi="Times New Roman"/>
          <w:sz w:val="24"/>
        </w:rPr>
        <w:t>The purpose of this document is to provide a complete, formal, and unambiguous specification of the software requirements for the 'Securing the Digital Mine' Edge Intrusion Detection System (IDS). It details the functional capabilities, external interfaces, performance guarantees, and design constraints for edge gateways, cloud API handlers, and the real-time SaaS monitoring dashboard.</w:t>
      </w:r>
    </w:p>
    <w:p>
      <w:pPr>
        <w:keepNext/>
        <w:spacing w:before="280" w:after="80"/>
      </w:pPr>
      <w:r>
        <w:rPr>
          <w:rFonts w:ascii="Arial" w:hAnsi="Arial"/>
          <w:b/>
          <w:color w:val="1E293B"/>
          <w:sz w:val="25"/>
        </w:rPr>
        <w:t>1.2 Scope</w:t>
      </w:r>
    </w:p>
    <w:p>
      <w:pPr>
        <w:spacing w:line="360" w:lineRule="auto" w:after="120"/>
        <w:jc w:val="both"/>
      </w:pPr>
      <w:r>
        <w:rPr>
          <w:rFonts w:ascii="Times New Roman" w:hAnsi="Times New Roman"/>
          <w:sz w:val="24"/>
        </w:rPr>
        <w:t>The software system encompasses: (1) An edge telemetry collection and feature extraction client (@mhiskall282/unesco-mine-sec-cli); (2) A Binary Whale Optimization Algorithm (BWOA) feature pruning engine; (3) A spatial-temporal Convolutional Neural Network and Long Short-Term Memory (CNN-LSTM) classifier; (4) A Float16 Quantized TensorFlow Lite inference server (FastAPI, port 8001); and (5) A multi-tenant Laravel 12 Livewire SaaS monitoring and incident management portal.</w:t>
      </w:r>
    </w:p>
    <w:p>
      <w:pPr>
        <w:keepNext/>
        <w:spacing w:before="280" w:after="80"/>
      </w:pPr>
      <w:r>
        <w:rPr>
          <w:rFonts w:ascii="Arial" w:hAnsi="Arial"/>
          <w:b/>
          <w:color w:val="1E293B"/>
          <w:sz w:val="25"/>
        </w:rPr>
        <w:t>1.3 Definitions, Acronyms, and Abbreviations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880"/>
            <w:tcW w:w="2880" w:type="dxa"/>
            <w:shd w:fill="00529B"/>
            <w:tcMar>
              <w:top w:w="100" w:type="dxa"/>
              <w:bottom w:w="100" w:type="dxa"/>
              <w:left w:w="100" w:type="dxa"/>
              <w:right w:w="100" w:type="dxa"/>
            </w:tcMar>
          </w:tcPr>
          <w:p>
            <w:pPr>
              <w:jc w:val="center"/>
            </w:pPr>
            <w:r>
              <w:rPr>
                <w:rFonts w:ascii="Arial" w:hAnsi="Arial"/>
                <w:b/>
                <w:color w:val="FFFFFF"/>
                <w:sz w:val="19"/>
              </w:rPr>
              <w:t>Term / Acronym</w:t>
            </w:r>
          </w:p>
        </w:tc>
        <w:tc>
          <w:tcPr>
            <w:tcW w:type="dxa" w:w="6480"/>
            <w:tcW w:w="6480" w:type="dxa"/>
            <w:shd w:fill="00529B"/>
            <w:tcMar>
              <w:top w:w="100" w:type="dxa"/>
              <w:bottom w:w="100" w:type="dxa"/>
              <w:left w:w="100" w:type="dxa"/>
              <w:right w:w="100" w:type="dxa"/>
            </w:tcMar>
          </w:tcPr>
          <w:p>
            <w:pPr>
              <w:jc w:val="center"/>
            </w:pPr>
            <w:r>
              <w:rPr>
                <w:rFonts w:ascii="Arial" w:hAnsi="Arial"/>
                <w:b/>
                <w:color w:val="FFFFFF"/>
                <w:sz w:val="19"/>
              </w:rPr>
              <w:t>Full Definition &amp; Context</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BWOA</w:t>
            </w:r>
          </w:p>
        </w:tc>
        <w:tc>
          <w:tcPr>
            <w:tcW w:type="dxa" w:w="6480"/>
            <w:tcW w:w="6480" w:type="dxa"/>
            <w:shd w:fill="FFFFFF"/>
            <w:tcMar>
              <w:top w:w="60" w:type="dxa"/>
              <w:bottom w:w="60" w:type="dxa"/>
              <w:left w:w="80" w:type="dxa"/>
              <w:right w:w="80" w:type="dxa"/>
            </w:tcMar>
          </w:tcPr>
          <w:p>
            <w:pPr>
              <w:jc w:val="center"/>
            </w:pPr>
            <w:r>
              <w:rPr>
                <w:rFonts w:ascii="Times New Roman" w:hAnsi="Times New Roman"/>
                <w:sz w:val="19"/>
              </w:rPr>
              <w:t>Binary Whale Optimization Algorithm - A nature-inspired metaheuristic used for discrete feature subset selection.</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CNN-LSTM</w:t>
            </w:r>
          </w:p>
        </w:tc>
        <w:tc>
          <w:tcPr>
            <w:tcW w:type="dxa" w:w="6480"/>
            <w:tcW w:w="6480" w:type="dxa"/>
            <w:shd w:fill="F8FAFC"/>
            <w:tcMar>
              <w:top w:w="60" w:type="dxa"/>
              <w:bottom w:w="60" w:type="dxa"/>
              <w:left w:w="80" w:type="dxa"/>
              <w:right w:w="80" w:type="dxa"/>
            </w:tcMar>
          </w:tcPr>
          <w:p>
            <w:pPr>
              <w:jc w:val="center"/>
            </w:pPr>
            <w:r>
              <w:rPr>
                <w:rFonts w:ascii="Times New Roman" w:hAnsi="Times New Roman"/>
                <w:sz w:val="19"/>
              </w:rPr>
              <w:t>Convolutional Neural Network and Long Short-Term Memory - A hybrid neural architecture combining spatial feature extraction with temporal sequence modeling.</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IIoT</w:t>
            </w:r>
          </w:p>
        </w:tc>
        <w:tc>
          <w:tcPr>
            <w:tcW w:type="dxa" w:w="6480"/>
            <w:tcW w:w="6480" w:type="dxa"/>
            <w:shd w:fill="FFFFFF"/>
            <w:tcMar>
              <w:top w:w="60" w:type="dxa"/>
              <w:bottom w:w="60" w:type="dxa"/>
              <w:left w:w="80" w:type="dxa"/>
              <w:right w:w="80" w:type="dxa"/>
            </w:tcMar>
          </w:tcPr>
          <w:p>
            <w:pPr>
              <w:jc w:val="center"/>
            </w:pPr>
            <w:r>
              <w:rPr>
                <w:rFonts w:ascii="Times New Roman" w:hAnsi="Times New Roman"/>
                <w:sz w:val="19"/>
              </w:rPr>
              <w:t>Industrial Internet of Things - Networked sensors and instrumentation deployed across industrial mining machinery.</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Modbus</w:t>
            </w:r>
          </w:p>
        </w:tc>
        <w:tc>
          <w:tcPr>
            <w:tcW w:type="dxa" w:w="6480"/>
            <w:tcW w:w="6480" w:type="dxa"/>
            <w:shd w:fill="F8FAFC"/>
            <w:tcMar>
              <w:top w:w="60" w:type="dxa"/>
              <w:bottom w:w="60" w:type="dxa"/>
              <w:left w:w="80" w:type="dxa"/>
              <w:right w:w="80" w:type="dxa"/>
            </w:tcMar>
          </w:tcPr>
          <w:p>
            <w:pPr>
              <w:jc w:val="center"/>
            </w:pPr>
            <w:r>
              <w:rPr>
                <w:rFonts w:ascii="Times New Roman" w:hAnsi="Times New Roman"/>
                <w:sz w:val="19"/>
              </w:rPr>
              <w:t>A legacy industrial serial/TCP communications protocol commonly used to monitor PLCs, flowmeters, and power meters in mining.</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OT</w:t>
            </w:r>
          </w:p>
        </w:tc>
        <w:tc>
          <w:tcPr>
            <w:tcW w:type="dxa" w:w="6480"/>
            <w:tcW w:w="6480" w:type="dxa"/>
            <w:shd w:fill="FFFFFF"/>
            <w:tcMar>
              <w:top w:w="60" w:type="dxa"/>
              <w:bottom w:w="60" w:type="dxa"/>
              <w:left w:w="80" w:type="dxa"/>
              <w:right w:w="80" w:type="dxa"/>
            </w:tcMar>
          </w:tcPr>
          <w:p>
            <w:pPr>
              <w:jc w:val="center"/>
            </w:pPr>
            <w:r>
              <w:rPr>
                <w:rFonts w:ascii="Times New Roman" w:hAnsi="Times New Roman"/>
                <w:sz w:val="19"/>
              </w:rPr>
              <w:t>Operational Technology - Hardware and software that detects or causes changes through direct monitoring and control of physical industrial processes.</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PLC</w:t>
            </w:r>
          </w:p>
        </w:tc>
        <w:tc>
          <w:tcPr>
            <w:tcW w:type="dxa" w:w="6480"/>
            <w:tcW w:w="6480" w:type="dxa"/>
            <w:shd w:fill="F8FAFC"/>
            <w:tcMar>
              <w:top w:w="60" w:type="dxa"/>
              <w:bottom w:w="60" w:type="dxa"/>
              <w:left w:w="80" w:type="dxa"/>
              <w:right w:w="80" w:type="dxa"/>
            </w:tcMar>
          </w:tcPr>
          <w:p>
            <w:pPr>
              <w:jc w:val="center"/>
            </w:pPr>
            <w:r>
              <w:rPr>
                <w:rFonts w:ascii="Times New Roman" w:hAnsi="Times New Roman"/>
                <w:sz w:val="19"/>
              </w:rPr>
              <w:t>Programmable Logic Controller - Ruggedized industrial digital computer controlling manufacturing and extraction processes.</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SCADA</w:t>
            </w:r>
          </w:p>
        </w:tc>
        <w:tc>
          <w:tcPr>
            <w:tcW w:type="dxa" w:w="6480"/>
            <w:tcW w:w="6480" w:type="dxa"/>
            <w:shd w:fill="FFFFFF"/>
            <w:tcMar>
              <w:top w:w="60" w:type="dxa"/>
              <w:bottom w:w="60" w:type="dxa"/>
              <w:left w:w="80" w:type="dxa"/>
              <w:right w:w="80" w:type="dxa"/>
            </w:tcMar>
          </w:tcPr>
          <w:p>
            <w:pPr>
              <w:jc w:val="center"/>
            </w:pPr>
            <w:r>
              <w:rPr>
                <w:rFonts w:ascii="Times New Roman" w:hAnsi="Times New Roman"/>
                <w:sz w:val="19"/>
              </w:rPr>
              <w:t>Supervisory Control and Data Acquisition - High-level industrial supervision architecture.</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TFLite</w:t>
            </w:r>
          </w:p>
        </w:tc>
        <w:tc>
          <w:tcPr>
            <w:tcW w:type="dxa" w:w="6480"/>
            <w:tcW w:w="6480" w:type="dxa"/>
            <w:shd w:fill="F8FAFC"/>
            <w:tcMar>
              <w:top w:w="60" w:type="dxa"/>
              <w:bottom w:w="60" w:type="dxa"/>
              <w:left w:w="80" w:type="dxa"/>
              <w:right w:w="80" w:type="dxa"/>
            </w:tcMar>
          </w:tcPr>
          <w:p>
            <w:pPr>
              <w:jc w:val="center"/>
            </w:pPr>
            <w:r>
              <w:rPr>
                <w:rFonts w:ascii="Times New Roman" w:hAnsi="Times New Roman"/>
                <w:sz w:val="19"/>
              </w:rPr>
              <w:t>TensorFlow Lite - Lightweight runtime engine optimized for low-latency inference on mobile and edge devices.</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UAT</w:t>
            </w:r>
          </w:p>
        </w:tc>
        <w:tc>
          <w:tcPr>
            <w:tcW w:type="dxa" w:w="6480"/>
            <w:tcW w:w="6480" w:type="dxa"/>
            <w:shd w:fill="FFFFFF"/>
            <w:tcMar>
              <w:top w:w="60" w:type="dxa"/>
              <w:bottom w:w="60" w:type="dxa"/>
              <w:left w:w="80" w:type="dxa"/>
              <w:right w:w="80" w:type="dxa"/>
            </w:tcMar>
          </w:tcPr>
          <w:p>
            <w:pPr>
              <w:jc w:val="center"/>
            </w:pPr>
            <w:r>
              <w:rPr>
                <w:rFonts w:ascii="Times New Roman" w:hAnsi="Times New Roman"/>
                <w:sz w:val="19"/>
              </w:rPr>
              <w:t>User Acceptance Testing - Structured usability and functional verification conducted with domain specialists.</w:t>
            </w:r>
          </w:p>
        </w:tc>
      </w:tr>
    </w:tbl>
    <w:p>
      <w:pPr>
        <w:spacing w:after="120"/>
      </w:pPr>
    </w:p>
    <w:p>
      <w:pPr>
        <w:keepNext/>
        <w:spacing w:before="360" w:after="120"/>
      </w:pPr>
      <w:r>
        <w:rPr>
          <w:rFonts w:ascii="Arial" w:hAnsi="Arial"/>
          <w:b/>
          <w:color w:val="00529B"/>
          <w:sz w:val="28"/>
        </w:rPr>
        <w:t>2. OVERALL SYSTEM DESCRIPTION</w:t>
      </w:r>
    </w:p>
    <w:p>
      <w:pPr>
        <w:keepNext/>
        <w:spacing w:before="280" w:after="80"/>
      </w:pPr>
      <w:r>
        <w:rPr>
          <w:rFonts w:ascii="Arial" w:hAnsi="Arial"/>
          <w:b/>
          <w:color w:val="1E293B"/>
          <w:sz w:val="25"/>
        </w:rPr>
        <w:t>2.1 Product Perspective</w:t>
      </w:r>
    </w:p>
    <w:p>
      <w:pPr>
        <w:spacing w:line="360" w:lineRule="auto" w:after="120"/>
        <w:jc w:val="both"/>
      </w:pPr>
      <w:r>
        <w:rPr>
          <w:rFonts w:ascii="Times New Roman" w:hAnsi="Times New Roman"/>
          <w:sz w:val="24"/>
        </w:rPr>
        <w:t>The system operates as an autonomous edge-to-cloud cyber-physical defense shield. It intercepts network flows at remote mining substation gateways before unauthorized Modbus coil commands or volumetric denial-of-service floods can compromise industrial PLCs controlling SAG mills, conveyor belts, or toxic gas ventilation grids.</w:t>
      </w:r>
    </w:p>
    <w:p>
      <w:pPr>
        <w:spacing w:before="160" w:after="40"/>
        <w:jc w:val="center"/>
      </w:pPr>
      <w:r>
        <w:drawing>
          <wp:inline xmlns:a="http://schemas.openxmlformats.org/drawingml/2006/main" xmlns:pic="http://schemas.openxmlformats.org/drawingml/2006/picture">
            <wp:extent cx="5669280" cy="3326001"/>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326001"/>
                    </a:xfrm>
                    <a:prstGeom prst="rect"/>
                  </pic:spPr>
                </pic:pic>
              </a:graphicData>
            </a:graphic>
          </wp:inline>
        </w:drawing>
      </w:r>
    </w:p>
    <w:p>
      <w:pPr>
        <w:spacing w:after="200"/>
        <w:jc w:val="center"/>
      </w:pPr>
      <w:r>
        <w:rPr>
          <w:rFonts w:ascii="Times New Roman" w:hAnsi="Times New Roman"/>
          <w:i/>
          <w:color w:val="64748B"/>
          <w:sz w:val="20"/>
        </w:rPr>
        <w:t>Figure 2.1: Context Diagram - Four-Layer Industrial Defense Pipeline</w:t>
      </w:r>
    </w:p>
    <w:p>
      <w:pPr>
        <w:keepNext/>
        <w:spacing w:before="280" w:after="80"/>
      </w:pPr>
      <w:r>
        <w:rPr>
          <w:rFonts w:ascii="Arial" w:hAnsi="Arial"/>
          <w:b/>
          <w:color w:val="1E293B"/>
          <w:sz w:val="25"/>
        </w:rPr>
        <w:t>2.2 Operating Environment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blHeader/>
        </w:trPr>
        <w:tc>
          <w:tcPr>
            <w:tcW w:type="dxa" w:w="3168"/>
            <w:tcW w:w="3168" w:type="dxa"/>
            <w:shd w:fill="00529B"/>
            <w:tcMar>
              <w:top w:w="100" w:type="dxa"/>
              <w:bottom w:w="100" w:type="dxa"/>
              <w:left w:w="100" w:type="dxa"/>
              <w:right w:w="100" w:type="dxa"/>
            </w:tcMar>
          </w:tcPr>
          <w:p>
            <w:pPr>
              <w:jc w:val="center"/>
            </w:pPr>
            <w:r>
              <w:rPr>
                <w:rFonts w:ascii="Arial" w:hAnsi="Arial"/>
                <w:b/>
                <w:color w:val="FFFFFF"/>
                <w:sz w:val="19"/>
              </w:rPr>
              <w:t>Environment Component</w:t>
            </w:r>
          </w:p>
        </w:tc>
        <w:tc>
          <w:tcPr>
            <w:tcW w:type="dxa" w:w="3312"/>
            <w:tcW w:w="3311" w:type="dxa"/>
            <w:shd w:fill="00529B"/>
            <w:tcMar>
              <w:top w:w="100" w:type="dxa"/>
              <w:bottom w:w="100" w:type="dxa"/>
              <w:left w:w="100" w:type="dxa"/>
              <w:right w:w="100" w:type="dxa"/>
            </w:tcMar>
          </w:tcPr>
          <w:p>
            <w:pPr>
              <w:jc w:val="center"/>
            </w:pPr>
            <w:r>
              <w:rPr>
                <w:rFonts w:ascii="Arial" w:hAnsi="Arial"/>
                <w:b/>
                <w:color w:val="FFFFFF"/>
                <w:sz w:val="19"/>
              </w:rPr>
              <w:t>Specification Baseline</w:t>
            </w:r>
          </w:p>
        </w:tc>
        <w:tc>
          <w:tcPr>
            <w:tcW w:type="dxa" w:w="2880"/>
            <w:tcW w:w="2880" w:type="dxa"/>
            <w:shd w:fill="00529B"/>
            <w:tcMar>
              <w:top w:w="100" w:type="dxa"/>
              <w:bottom w:w="100" w:type="dxa"/>
              <w:left w:w="100" w:type="dxa"/>
              <w:right w:w="100" w:type="dxa"/>
            </w:tcMar>
          </w:tcPr>
          <w:p>
            <w:pPr>
              <w:jc w:val="center"/>
            </w:pPr>
            <w:r>
              <w:rPr>
                <w:rFonts w:ascii="Arial" w:hAnsi="Arial"/>
                <w:b/>
                <w:color w:val="FFFFFF"/>
                <w:sz w:val="19"/>
              </w:rPr>
              <w:t>Minimum Requirements</w:t>
            </w:r>
          </w:p>
        </w:tc>
      </w:tr>
      <w:tr>
        <w:trPr>
          <w:cantSplit/>
        </w:trPr>
        <w:tc>
          <w:tcPr>
            <w:tcW w:type="dxa" w:w="3168"/>
            <w:tcW w:w="3168" w:type="dxa"/>
            <w:shd w:fill="FFFFFF"/>
            <w:tcMar>
              <w:top w:w="60" w:type="dxa"/>
              <w:bottom w:w="60" w:type="dxa"/>
              <w:left w:w="80" w:type="dxa"/>
              <w:right w:w="80" w:type="dxa"/>
            </w:tcMar>
          </w:tcPr>
          <w:p>
            <w:pPr>
              <w:jc w:val="left"/>
            </w:pPr>
            <w:r>
              <w:rPr>
                <w:rFonts w:ascii="Times New Roman" w:hAnsi="Times New Roman"/>
                <w:sz w:val="19"/>
              </w:rPr>
              <w:t>Edge Hardware Platform</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Raspberry Pi 4 Model B / Raspberry Pi 5</w:t>
            </w:r>
          </w:p>
        </w:tc>
        <w:tc>
          <w:tcPr>
            <w:tcW w:type="dxa" w:w="2880"/>
            <w:tcW w:w="2880" w:type="dxa"/>
            <w:shd w:fill="FFFFFF"/>
            <w:tcMar>
              <w:top w:w="60" w:type="dxa"/>
              <w:bottom w:w="60" w:type="dxa"/>
              <w:left w:w="80" w:type="dxa"/>
              <w:right w:w="80" w:type="dxa"/>
            </w:tcMar>
          </w:tcPr>
          <w:p>
            <w:pPr>
              <w:jc w:val="center"/>
            </w:pPr>
            <w:r>
              <w:rPr>
                <w:rFonts w:ascii="Times New Roman" w:hAnsi="Times New Roman"/>
                <w:sz w:val="19"/>
              </w:rPr>
              <w:t>ARMv8 64-bit Cortex-A72 CPU, 1GB RAM, 16GB MicroSD</w:t>
            </w:r>
          </w:p>
        </w:tc>
      </w:tr>
      <w:tr>
        <w:trPr>
          <w:cantSplit/>
        </w:trPr>
        <w:tc>
          <w:tcPr>
            <w:tcW w:type="dxa" w:w="3168"/>
            <w:tcW w:w="3168" w:type="dxa"/>
            <w:shd w:fill="F8FAFC"/>
            <w:tcMar>
              <w:top w:w="60" w:type="dxa"/>
              <w:bottom w:w="60" w:type="dxa"/>
              <w:left w:w="80" w:type="dxa"/>
              <w:right w:w="80" w:type="dxa"/>
            </w:tcMar>
          </w:tcPr>
          <w:p>
            <w:pPr>
              <w:jc w:val="left"/>
            </w:pPr>
            <w:r>
              <w:rPr>
                <w:rFonts w:ascii="Times New Roman" w:hAnsi="Times New Roman"/>
                <w:sz w:val="19"/>
              </w:rPr>
              <w:t>Edge Operating System</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Raspberry Pi OS (64-bit Debian Bullseye/Bookworm)</w:t>
            </w:r>
          </w:p>
        </w:tc>
        <w:tc>
          <w:tcPr>
            <w:tcW w:type="dxa" w:w="2880"/>
            <w:tcW w:w="2880" w:type="dxa"/>
            <w:shd w:fill="F8FAFC"/>
            <w:tcMar>
              <w:top w:w="60" w:type="dxa"/>
              <w:bottom w:w="60" w:type="dxa"/>
              <w:left w:w="80" w:type="dxa"/>
              <w:right w:w="80" w:type="dxa"/>
            </w:tcMar>
          </w:tcPr>
          <w:p>
            <w:pPr>
              <w:jc w:val="center"/>
            </w:pPr>
            <w:r>
              <w:rPr>
                <w:rFonts w:ascii="Times New Roman" w:hAnsi="Times New Roman"/>
                <w:sz w:val="19"/>
              </w:rPr>
              <w:t>Linux Kernel 5.15+, systemd init, python3.11, nodejs20</w:t>
            </w:r>
          </w:p>
        </w:tc>
      </w:tr>
      <w:tr>
        <w:trPr>
          <w:cantSplit/>
        </w:trPr>
        <w:tc>
          <w:tcPr>
            <w:tcW w:type="dxa" w:w="3168"/>
            <w:tcW w:w="3168" w:type="dxa"/>
            <w:shd w:fill="FFFFFF"/>
            <w:tcMar>
              <w:top w:w="60" w:type="dxa"/>
              <w:bottom w:w="60" w:type="dxa"/>
              <w:left w:w="80" w:type="dxa"/>
              <w:right w:w="80" w:type="dxa"/>
            </w:tcMar>
          </w:tcPr>
          <w:p>
            <w:pPr>
              <w:jc w:val="left"/>
            </w:pPr>
            <w:r>
              <w:rPr>
                <w:rFonts w:ascii="Times New Roman" w:hAnsi="Times New Roman"/>
                <w:sz w:val="19"/>
              </w:rPr>
              <w:t>Cloud Server Platform</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AWS EC2 / Ubuntu 22.04 LTS (t3.medium)</w:t>
            </w:r>
          </w:p>
        </w:tc>
        <w:tc>
          <w:tcPr>
            <w:tcW w:type="dxa" w:w="2880"/>
            <w:tcW w:w="2880" w:type="dxa"/>
            <w:shd w:fill="FFFFFF"/>
            <w:tcMar>
              <w:top w:w="60" w:type="dxa"/>
              <w:bottom w:w="60" w:type="dxa"/>
              <w:left w:w="80" w:type="dxa"/>
              <w:right w:w="80" w:type="dxa"/>
            </w:tcMar>
          </w:tcPr>
          <w:p>
            <w:pPr>
              <w:jc w:val="center"/>
            </w:pPr>
            <w:r>
              <w:rPr>
                <w:rFonts w:ascii="Times New Roman" w:hAnsi="Times New Roman"/>
                <w:sz w:val="19"/>
              </w:rPr>
              <w:t>2 vCPUs, 4GB RAM, 20GB SSD, Python 3.11, Uvicorn</w:t>
            </w:r>
          </w:p>
        </w:tc>
      </w:tr>
      <w:tr>
        <w:trPr>
          <w:cantSplit/>
        </w:trPr>
        <w:tc>
          <w:tcPr>
            <w:tcW w:type="dxa" w:w="3168"/>
            <w:tcW w:w="3168" w:type="dxa"/>
            <w:shd w:fill="F8FAFC"/>
            <w:tcMar>
              <w:top w:w="60" w:type="dxa"/>
              <w:bottom w:w="60" w:type="dxa"/>
              <w:left w:w="80" w:type="dxa"/>
              <w:right w:w="80" w:type="dxa"/>
            </w:tcMar>
          </w:tcPr>
          <w:p>
            <w:pPr>
              <w:jc w:val="left"/>
            </w:pPr>
            <w:r>
              <w:rPr>
                <w:rFonts w:ascii="Times New Roman" w:hAnsi="Times New Roman"/>
                <w:sz w:val="19"/>
              </w:rPr>
              <w:t>Dashboard Framework</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Laravel 12 / PHP 8.2 / Livewire 3 / PostgreSQL</w:t>
            </w:r>
          </w:p>
        </w:tc>
        <w:tc>
          <w:tcPr>
            <w:tcW w:type="dxa" w:w="2880"/>
            <w:tcW w:w="2880" w:type="dxa"/>
            <w:shd w:fill="F8FAFC"/>
            <w:tcMar>
              <w:top w:w="60" w:type="dxa"/>
              <w:bottom w:w="60" w:type="dxa"/>
              <w:left w:w="80" w:type="dxa"/>
              <w:right w:w="80" w:type="dxa"/>
            </w:tcMar>
          </w:tcPr>
          <w:p>
            <w:pPr>
              <w:jc w:val="center"/>
            </w:pPr>
            <w:r>
              <w:rPr>
                <w:rFonts w:ascii="Times New Roman" w:hAnsi="Times New Roman"/>
                <w:sz w:val="19"/>
              </w:rPr>
              <w:t>Nginx web server, modern browser (Chromium/Firefox)</w:t>
            </w:r>
          </w:p>
        </w:tc>
      </w:tr>
    </w:tbl>
    <w:p>
      <w:pPr>
        <w:spacing w:after="120"/>
      </w:pPr>
    </w:p>
    <w:p>
      <w:pPr>
        <w:keepNext/>
        <w:spacing w:before="360" w:after="120"/>
      </w:pPr>
      <w:r>
        <w:rPr>
          <w:rFonts w:ascii="Arial" w:hAnsi="Arial"/>
          <w:b/>
          <w:color w:val="00529B"/>
          <w:sz w:val="28"/>
        </w:rPr>
        <w:t>3. SPECIFIC SOFTWARE REQUIREMENTS</w:t>
      </w:r>
    </w:p>
    <w:p>
      <w:pPr>
        <w:keepNext/>
        <w:spacing w:before="280" w:after="80"/>
      </w:pPr>
      <w:r>
        <w:rPr>
          <w:rFonts w:ascii="Arial" w:hAnsi="Arial"/>
          <w:b/>
          <w:color w:val="1E293B"/>
          <w:sz w:val="25"/>
        </w:rPr>
        <w:t>3.1 External Interface Requirements</w:t>
      </w:r>
    </w:p>
    <w:p>
      <w:pPr>
        <w:spacing w:line="360" w:lineRule="auto" w:after="120"/>
        <w:jc w:val="both"/>
      </w:pPr>
      <w:r>
        <w:rPr>
          <w:rFonts w:ascii="Times New Roman" w:hAnsi="Times New Roman"/>
          <w:b/>
          <w:sz w:val="24"/>
        </w:rPr>
        <w:t xml:space="preserve">Interface Scope: </w:t>
      </w:r>
      <w:r>
        <w:rPr>
          <w:rFonts w:ascii="Times New Roman" w:hAnsi="Times New Roman"/>
          <w:sz w:val="24"/>
        </w:rPr>
        <w:t>The software provides three distinct external interfaces:</w:t>
      </w:r>
    </w:p>
    <w:p>
      <w:pPr>
        <w:pStyle w:val="ListBullet"/>
        <w:spacing w:line="312" w:lineRule="auto" w:after="80"/>
      </w:pPr>
      <w:r>
        <w:rPr>
          <w:rFonts w:ascii="Times New Roman" w:hAnsi="Times New Roman"/>
          <w:sz w:val="24"/>
        </w:rPr>
        <w:t>CLI Telemetry Interface: Interactive command-line interface with Inquirer.js wizards for adapter selection, API endpoint configuration, and live Chalk-colorized flow streaming.</w:t>
      </w:r>
    </w:p>
    <w:p>
      <w:pPr>
        <w:pStyle w:val="ListBullet"/>
        <w:spacing w:line="312" w:lineRule="auto" w:after="80"/>
      </w:pPr>
      <w:r>
        <w:rPr>
          <w:rFonts w:ascii="Times New Roman" w:hAnsi="Times New Roman"/>
          <w:sz w:val="24"/>
        </w:rPr>
        <w:t>REST API Endpoints: FastAPI microservice exposing GET /api/health, GET /api/features, and POST /api/analyze for JSON payload ingestion, alongside GET /api/export/results.zip, results.xlsx, and results.csv for instant research publication report downloads.</w:t>
      </w:r>
    </w:p>
    <w:p>
      <w:pPr>
        <w:pStyle w:val="ListBullet"/>
        <w:spacing w:line="312" w:lineRule="auto" w:after="80"/>
      </w:pPr>
      <w:r>
        <w:rPr>
          <w:rFonts w:ascii="Times New Roman" w:hAnsi="Times New Roman"/>
          <w:sz w:val="24"/>
        </w:rPr>
        <w:t>Livewire SaaS Portal: Responsive multi-tenant web console broadcasting real-time attack alerts, confidence scores, and historical forensic logs.</w:t>
      </w:r>
    </w:p>
    <w:p>
      <w:pPr>
        <w:keepNext/>
        <w:spacing w:before="280" w:after="80"/>
      </w:pPr>
      <w:r>
        <w:rPr>
          <w:rFonts w:ascii="Arial" w:hAnsi="Arial"/>
          <w:b/>
          <w:color w:val="1E293B"/>
          <w:sz w:val="25"/>
        </w:rPr>
        <w:t>3.2 Detailed Functional Requirements (IEEE 830 Standard)</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trPr>
        <w:tc>
          <w:tcPr>
            <w:tcW w:type="dxa" w:w="1728"/>
            <w:tcW w:w="1728" w:type="dxa"/>
            <w:shd w:fill="00529B"/>
            <w:tcMar>
              <w:top w:w="100" w:type="dxa"/>
              <w:bottom w:w="100" w:type="dxa"/>
              <w:left w:w="100" w:type="dxa"/>
              <w:right w:w="100" w:type="dxa"/>
            </w:tcMar>
          </w:tcPr>
          <w:p>
            <w:pPr>
              <w:jc w:val="center"/>
            </w:pPr>
            <w:r>
              <w:rPr>
                <w:rFonts w:ascii="Arial" w:hAnsi="Arial"/>
                <w:b/>
                <w:color w:val="FFFFFF"/>
                <w:sz w:val="19"/>
              </w:rPr>
              <w:t>Requirement Tag</w:t>
            </w:r>
          </w:p>
        </w:tc>
        <w:tc>
          <w:tcPr>
            <w:tcW w:type="dxa" w:w="2592"/>
            <w:tcW w:w="2592" w:type="dxa"/>
            <w:shd w:fill="00529B"/>
            <w:tcMar>
              <w:top w:w="100" w:type="dxa"/>
              <w:bottom w:w="100" w:type="dxa"/>
              <w:left w:w="100" w:type="dxa"/>
              <w:right w:w="100" w:type="dxa"/>
            </w:tcMar>
          </w:tcPr>
          <w:p>
            <w:pPr>
              <w:jc w:val="center"/>
            </w:pPr>
            <w:r>
              <w:rPr>
                <w:rFonts w:ascii="Arial" w:hAnsi="Arial"/>
                <w:b/>
                <w:color w:val="FFFFFF"/>
                <w:sz w:val="19"/>
              </w:rPr>
              <w:t>Module / Subsystem</w:t>
            </w:r>
          </w:p>
        </w:tc>
        <w:tc>
          <w:tcPr>
            <w:tcW w:type="dxa" w:w="3312"/>
            <w:tcW w:w="3311" w:type="dxa"/>
            <w:shd w:fill="00529B"/>
            <w:tcMar>
              <w:top w:w="100" w:type="dxa"/>
              <w:bottom w:w="100" w:type="dxa"/>
              <w:left w:w="100" w:type="dxa"/>
              <w:right w:w="100" w:type="dxa"/>
            </w:tcMar>
          </w:tcPr>
          <w:p>
            <w:pPr>
              <w:jc w:val="center"/>
            </w:pPr>
            <w:r>
              <w:rPr>
                <w:rFonts w:ascii="Arial" w:hAnsi="Arial"/>
                <w:b/>
                <w:color w:val="FFFFFF"/>
                <w:sz w:val="19"/>
              </w:rPr>
              <w:t>Description &amp; Functional Logic</w:t>
            </w:r>
          </w:p>
        </w:tc>
        <w:tc>
          <w:tcPr>
            <w:tcW w:type="dxa" w:w="1728"/>
            <w:tcW w:w="1728" w:type="dxa"/>
            <w:shd w:fill="00529B"/>
            <w:tcMar>
              <w:top w:w="100" w:type="dxa"/>
              <w:bottom w:w="100" w:type="dxa"/>
              <w:left w:w="100" w:type="dxa"/>
              <w:right w:w="100" w:type="dxa"/>
            </w:tcMar>
          </w:tcPr>
          <w:p>
            <w:pPr>
              <w:jc w:val="center"/>
            </w:pPr>
            <w:r>
              <w:rPr>
                <w:rFonts w:ascii="Arial" w:hAnsi="Arial"/>
                <w:b/>
                <w:color w:val="FFFFFF"/>
                <w:sz w:val="19"/>
              </w:rPr>
              <w:t>Verification Gate</w:t>
            </w:r>
          </w:p>
        </w:tc>
      </w:tr>
      <w:tr>
        <w:trPr>
          <w:cantSplit/>
        </w:trPr>
        <w:tc>
          <w:tcPr>
            <w:tcW w:type="dxa" w:w="1728"/>
            <w:tcW w:w="1728" w:type="dxa"/>
            <w:shd w:fill="FFFFFF"/>
            <w:tcMar>
              <w:top w:w="60" w:type="dxa"/>
              <w:bottom w:w="60" w:type="dxa"/>
              <w:left w:w="80" w:type="dxa"/>
              <w:right w:w="80" w:type="dxa"/>
            </w:tcMar>
          </w:tcPr>
          <w:p>
            <w:pPr>
              <w:jc w:val="left"/>
            </w:pPr>
            <w:r>
              <w:rPr>
                <w:rFonts w:ascii="Times New Roman" w:hAnsi="Times New Roman"/>
                <w:sz w:val="19"/>
              </w:rPr>
              <w:t>SRS-FR-101</w:t>
            </w:r>
          </w:p>
        </w:tc>
        <w:tc>
          <w:tcPr>
            <w:tcW w:type="dxa" w:w="2592"/>
            <w:tcW w:w="2592" w:type="dxa"/>
            <w:shd w:fill="FFFFFF"/>
            <w:tcMar>
              <w:top w:w="60" w:type="dxa"/>
              <w:bottom w:w="60" w:type="dxa"/>
              <w:left w:w="80" w:type="dxa"/>
              <w:right w:w="80" w:type="dxa"/>
            </w:tcMar>
          </w:tcPr>
          <w:p>
            <w:pPr>
              <w:jc w:val="center"/>
            </w:pPr>
            <w:r>
              <w:rPr>
                <w:rFonts w:ascii="Times New Roman" w:hAnsi="Times New Roman"/>
                <w:sz w:val="19"/>
              </w:rPr>
              <w:t>Packet Capture Engine</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Sniffs promiscuous interface frames, extracts 10 BWOA fields, and constructs JSON flow objects.</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Unit test test_api_service.py passing</w:t>
            </w:r>
          </w:p>
        </w:tc>
      </w:tr>
      <w:tr>
        <w:trPr>
          <w:cantSplit/>
        </w:trPr>
        <w:tc>
          <w:tcPr>
            <w:tcW w:type="dxa" w:w="1728"/>
            <w:tcW w:w="1728" w:type="dxa"/>
            <w:shd w:fill="F8FAFC"/>
            <w:tcMar>
              <w:top w:w="60" w:type="dxa"/>
              <w:bottom w:w="60" w:type="dxa"/>
              <w:left w:w="80" w:type="dxa"/>
              <w:right w:w="80" w:type="dxa"/>
            </w:tcMar>
          </w:tcPr>
          <w:p>
            <w:pPr>
              <w:jc w:val="left"/>
            </w:pPr>
            <w:r>
              <w:rPr>
                <w:rFonts w:ascii="Times New Roman" w:hAnsi="Times New Roman"/>
                <w:sz w:val="19"/>
              </w:rPr>
              <w:t>SRS-FR-102</w:t>
            </w:r>
          </w:p>
        </w:tc>
        <w:tc>
          <w:tcPr>
            <w:tcW w:type="dxa" w:w="2592"/>
            <w:tcW w:w="2592" w:type="dxa"/>
            <w:shd w:fill="F8FAFC"/>
            <w:tcMar>
              <w:top w:w="60" w:type="dxa"/>
              <w:bottom w:w="60" w:type="dxa"/>
              <w:left w:w="80" w:type="dxa"/>
              <w:right w:w="80" w:type="dxa"/>
            </w:tcMar>
          </w:tcPr>
          <w:p>
            <w:pPr>
              <w:jc w:val="center"/>
            </w:pPr>
            <w:r>
              <w:rPr>
                <w:rFonts w:ascii="Times New Roman" w:hAnsi="Times New Roman"/>
                <w:sz w:val="19"/>
              </w:rPr>
              <w:t>BWOA Pruner</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Applies pre-computed 10-feature mask: [src_bytes, service, flag, serror_rate, same_srv_rate, diff_srv_rate, dst_host_diff_srv_rate, protocol_type, hot, su_attempted].</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Unit test test_bwoa.py passing</w:t>
            </w:r>
          </w:p>
        </w:tc>
      </w:tr>
      <w:tr>
        <w:trPr>
          <w:cantSplit/>
        </w:trPr>
        <w:tc>
          <w:tcPr>
            <w:tcW w:type="dxa" w:w="1728"/>
            <w:tcW w:w="1728" w:type="dxa"/>
            <w:shd w:fill="FFFFFF"/>
            <w:tcMar>
              <w:top w:w="60" w:type="dxa"/>
              <w:bottom w:w="60" w:type="dxa"/>
              <w:left w:w="80" w:type="dxa"/>
              <w:right w:w="80" w:type="dxa"/>
            </w:tcMar>
          </w:tcPr>
          <w:p>
            <w:pPr>
              <w:jc w:val="left"/>
            </w:pPr>
            <w:r>
              <w:rPr>
                <w:rFonts w:ascii="Times New Roman" w:hAnsi="Times New Roman"/>
                <w:sz w:val="19"/>
              </w:rPr>
              <w:t>SRS-FR-103</w:t>
            </w:r>
          </w:p>
        </w:tc>
        <w:tc>
          <w:tcPr>
            <w:tcW w:type="dxa" w:w="2592"/>
            <w:tcW w:w="2592" w:type="dxa"/>
            <w:shd w:fill="FFFFFF"/>
            <w:tcMar>
              <w:top w:w="60" w:type="dxa"/>
              <w:bottom w:w="60" w:type="dxa"/>
              <w:left w:w="80" w:type="dxa"/>
              <w:right w:w="80" w:type="dxa"/>
            </w:tcMar>
          </w:tcPr>
          <w:p>
            <w:pPr>
              <w:jc w:val="center"/>
            </w:pPr>
            <w:r>
              <w:rPr>
                <w:rFonts w:ascii="Times New Roman" w:hAnsi="Times New Roman"/>
                <w:sz w:val="19"/>
              </w:rPr>
              <w:t>Neural Inference</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Executes Float16 TFLite interpreter, evaluates Conv1D spatial filters and LSTM temporal cells, returns Softmax probability distribution.</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Unit test test_cnn_lstm.py passing</w:t>
            </w:r>
          </w:p>
        </w:tc>
      </w:tr>
      <w:tr>
        <w:trPr>
          <w:cantSplit/>
        </w:trPr>
        <w:tc>
          <w:tcPr>
            <w:tcW w:type="dxa" w:w="1728"/>
            <w:tcW w:w="1728" w:type="dxa"/>
            <w:shd w:fill="F8FAFC"/>
            <w:tcMar>
              <w:top w:w="60" w:type="dxa"/>
              <w:bottom w:w="60" w:type="dxa"/>
              <w:left w:w="80" w:type="dxa"/>
              <w:right w:w="80" w:type="dxa"/>
            </w:tcMar>
          </w:tcPr>
          <w:p>
            <w:pPr>
              <w:jc w:val="left"/>
            </w:pPr>
            <w:r>
              <w:rPr>
                <w:rFonts w:ascii="Times New Roman" w:hAnsi="Times New Roman"/>
                <w:sz w:val="19"/>
              </w:rPr>
              <w:t>SRS-FR-104</w:t>
            </w:r>
          </w:p>
        </w:tc>
        <w:tc>
          <w:tcPr>
            <w:tcW w:type="dxa" w:w="2592"/>
            <w:tcW w:w="2592" w:type="dxa"/>
            <w:shd w:fill="F8FAFC"/>
            <w:tcMar>
              <w:top w:w="60" w:type="dxa"/>
              <w:bottom w:w="60" w:type="dxa"/>
              <w:left w:w="80" w:type="dxa"/>
              <w:right w:w="80" w:type="dxa"/>
            </w:tcMar>
          </w:tcPr>
          <w:p>
            <w:pPr>
              <w:jc w:val="center"/>
            </w:pPr>
            <w:r>
              <w:rPr>
                <w:rFonts w:ascii="Times New Roman" w:hAnsi="Times New Roman"/>
                <w:sz w:val="19"/>
              </w:rPr>
              <w:t>Threat Thresholding</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Identifies winning class. If class != Normal, sets alert flag and identifies specific feature triggers (e.g. high_serror_rate).</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Integration validate_api.py passing</w:t>
            </w:r>
          </w:p>
        </w:tc>
      </w:tr>
      <w:tr>
        <w:trPr>
          <w:cantSplit/>
        </w:trPr>
        <w:tc>
          <w:tcPr>
            <w:tcW w:type="dxa" w:w="1728"/>
            <w:tcW w:w="1728" w:type="dxa"/>
            <w:shd w:fill="FFFFFF"/>
            <w:tcMar>
              <w:top w:w="60" w:type="dxa"/>
              <w:bottom w:w="60" w:type="dxa"/>
              <w:left w:w="80" w:type="dxa"/>
              <w:right w:w="80" w:type="dxa"/>
            </w:tcMar>
          </w:tcPr>
          <w:p>
            <w:pPr>
              <w:jc w:val="left"/>
            </w:pPr>
            <w:r>
              <w:rPr>
                <w:rFonts w:ascii="Times New Roman" w:hAnsi="Times New Roman"/>
                <w:sz w:val="19"/>
              </w:rPr>
              <w:t>SRS-FR-105</w:t>
            </w:r>
          </w:p>
        </w:tc>
        <w:tc>
          <w:tcPr>
            <w:tcW w:type="dxa" w:w="2592"/>
            <w:tcW w:w="2592" w:type="dxa"/>
            <w:shd w:fill="FFFFFF"/>
            <w:tcMar>
              <w:top w:w="60" w:type="dxa"/>
              <w:bottom w:w="60" w:type="dxa"/>
              <w:left w:w="80" w:type="dxa"/>
              <w:right w:w="80" w:type="dxa"/>
            </w:tcMar>
          </w:tcPr>
          <w:p>
            <w:pPr>
              <w:jc w:val="center"/>
            </w:pPr>
            <w:r>
              <w:rPr>
                <w:rFonts w:ascii="Times New Roman" w:hAnsi="Times New Roman"/>
                <w:sz w:val="19"/>
              </w:rPr>
              <w:t>Audit Persistence</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Persists flow records, prediction outcomes, device tokens, and latency telemetry to PostgreSQL/SQLite database.</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Database migration passing</w:t>
            </w:r>
          </w:p>
        </w:tc>
      </w:tr>
      <w:tr>
        <w:trPr>
          <w:cantSplit/>
        </w:trPr>
        <w:tc>
          <w:tcPr>
            <w:tcW w:type="dxa" w:w="1728"/>
            <w:tcW w:w="1728" w:type="dxa"/>
            <w:shd w:fill="F8FAFC"/>
            <w:tcMar>
              <w:top w:w="60" w:type="dxa"/>
              <w:bottom w:w="60" w:type="dxa"/>
              <w:left w:w="80" w:type="dxa"/>
              <w:right w:w="80" w:type="dxa"/>
            </w:tcMar>
          </w:tcPr>
          <w:p>
            <w:pPr>
              <w:jc w:val="left"/>
            </w:pPr>
            <w:r>
              <w:rPr>
                <w:rFonts w:ascii="Times New Roman" w:hAnsi="Times New Roman"/>
                <w:sz w:val="19"/>
              </w:rPr>
              <w:t>SRS-FR-106</w:t>
            </w:r>
          </w:p>
        </w:tc>
        <w:tc>
          <w:tcPr>
            <w:tcW w:type="dxa" w:w="2592"/>
            <w:tcW w:w="2592" w:type="dxa"/>
            <w:shd w:fill="F8FAFC"/>
            <w:tcMar>
              <w:top w:w="60" w:type="dxa"/>
              <w:bottom w:w="60" w:type="dxa"/>
              <w:left w:w="80" w:type="dxa"/>
              <w:right w:w="80" w:type="dxa"/>
            </w:tcMar>
          </w:tcPr>
          <w:p>
            <w:pPr>
              <w:jc w:val="center"/>
            </w:pPr>
            <w:r>
              <w:rPr>
                <w:rFonts w:ascii="Times New Roman" w:hAnsi="Times New Roman"/>
                <w:sz w:val="19"/>
              </w:rPr>
              <w:t>Academic Export</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Generates and serves multi-sheet Excel (.xlsx), CSV, Markdown, and LaTeX reports directly via /api/export endpoints.</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scripts/benchmark_and_export.py passing</w:t>
            </w:r>
          </w:p>
        </w:tc>
      </w:tr>
    </w:tbl>
    <w:p>
      <w:pPr>
        <w:spacing w:after="120"/>
      </w:pPr>
    </w:p>
    <w:p>
      <w:pPr>
        <w:keepNext/>
        <w:spacing w:before="280" w:after="80"/>
      </w:pPr>
      <w:r>
        <w:rPr>
          <w:rFonts w:ascii="Arial" w:hAnsi="Arial"/>
          <w:b/>
          <w:color w:val="1E293B"/>
          <w:sz w:val="25"/>
        </w:rPr>
        <w:t>3.3 UML Structural and Behavioral Models</w:t>
      </w:r>
    </w:p>
    <w:p>
      <w:pPr>
        <w:spacing w:before="160" w:after="4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uml_use_case.png"/>
                    <pic:cNvPicPr/>
                  </pic:nvPicPr>
                  <pic:blipFill>
                    <a:blip r:embed="rId10"/>
                    <a:stretch>
                      <a:fillRect/>
                    </a:stretch>
                  </pic:blipFill>
                  <pic:spPr>
                    <a:xfrm>
                      <a:off x="0" y="0"/>
                      <a:ext cx="5303520" cy="3160684"/>
                    </a:xfrm>
                    <a:prstGeom prst="rect"/>
                  </pic:spPr>
                </pic:pic>
              </a:graphicData>
            </a:graphic>
          </wp:inline>
        </w:drawing>
      </w:r>
    </w:p>
    <w:p>
      <w:pPr>
        <w:spacing w:after="200"/>
        <w:jc w:val="center"/>
      </w:pPr>
      <w:r>
        <w:rPr>
          <w:rFonts w:ascii="Times New Roman" w:hAnsi="Times New Roman"/>
          <w:i/>
          <w:color w:val="64748B"/>
          <w:sz w:val="20"/>
        </w:rPr>
        <w:t>Figure 3.1: UML Use Case Diagram - Operator &amp; Analyst Roles</w:t>
      </w:r>
    </w:p>
    <w:p>
      <w:pPr>
        <w:spacing w:before="160" w:after="40"/>
        <w:jc w:val="center"/>
      </w:pPr>
      <w:r>
        <w:drawing>
          <wp:inline xmlns:a="http://schemas.openxmlformats.org/drawingml/2006/main" xmlns:pic="http://schemas.openxmlformats.org/drawingml/2006/picture">
            <wp:extent cx="5303520" cy="3428538"/>
            <wp:docPr id="3" name="Picture 3"/>
            <wp:cNvGraphicFramePr>
              <a:graphicFrameLocks noChangeAspect="1"/>
            </wp:cNvGraphicFramePr>
            <a:graphic>
              <a:graphicData uri="http://schemas.openxmlformats.org/drawingml/2006/picture">
                <pic:pic>
                  <pic:nvPicPr>
                    <pic:cNvPr id="0" name="uml_class_diagram.png"/>
                    <pic:cNvPicPr/>
                  </pic:nvPicPr>
                  <pic:blipFill>
                    <a:blip r:embed="rId11"/>
                    <a:stretch>
                      <a:fillRect/>
                    </a:stretch>
                  </pic:blipFill>
                  <pic:spPr>
                    <a:xfrm>
                      <a:off x="0" y="0"/>
                      <a:ext cx="5303520" cy="3428538"/>
                    </a:xfrm>
                    <a:prstGeom prst="rect"/>
                  </pic:spPr>
                </pic:pic>
              </a:graphicData>
            </a:graphic>
          </wp:inline>
        </w:drawing>
      </w:r>
    </w:p>
    <w:p>
      <w:pPr>
        <w:spacing w:after="200"/>
        <w:jc w:val="center"/>
      </w:pPr>
      <w:r>
        <w:rPr>
          <w:rFonts w:ascii="Times New Roman" w:hAnsi="Times New Roman"/>
          <w:i/>
          <w:color w:val="64748B"/>
          <w:sz w:val="20"/>
        </w:rPr>
        <w:t>Figure 3.2: UML Class Diagram - Core Class Model &amp; Method Signatures</w:t>
      </w:r>
    </w:p>
    <w:p>
      <w:pPr>
        <w:spacing w:before="160" w:after="40"/>
        <w:jc w:val="center"/>
      </w:pPr>
      <w:r>
        <w:drawing>
          <wp:inline xmlns:a="http://schemas.openxmlformats.org/drawingml/2006/main" xmlns:pic="http://schemas.openxmlformats.org/drawingml/2006/picture">
            <wp:extent cx="5303520" cy="3168151"/>
            <wp:docPr id="4" name="Picture 4"/>
            <wp:cNvGraphicFramePr>
              <a:graphicFrameLocks noChangeAspect="1"/>
            </wp:cNvGraphicFramePr>
            <a:graphic>
              <a:graphicData uri="http://schemas.openxmlformats.org/drawingml/2006/picture">
                <pic:pic>
                  <pic:nvPicPr>
                    <pic:cNvPr id="0" name="uml_sequence_diagram.png"/>
                    <pic:cNvPicPr/>
                  </pic:nvPicPr>
                  <pic:blipFill>
                    <a:blip r:embed="rId12"/>
                    <a:stretch>
                      <a:fillRect/>
                    </a:stretch>
                  </pic:blipFill>
                  <pic:spPr>
                    <a:xfrm>
                      <a:off x="0" y="0"/>
                      <a:ext cx="5303520" cy="3168151"/>
                    </a:xfrm>
                    <a:prstGeom prst="rect"/>
                  </pic:spPr>
                </pic:pic>
              </a:graphicData>
            </a:graphic>
          </wp:inline>
        </w:drawing>
      </w:r>
    </w:p>
    <w:p>
      <w:pPr>
        <w:spacing w:after="200"/>
        <w:jc w:val="center"/>
      </w:pPr>
      <w:r>
        <w:rPr>
          <w:rFonts w:ascii="Times New Roman" w:hAnsi="Times New Roman"/>
          <w:i/>
          <w:color w:val="64748B"/>
          <w:sz w:val="20"/>
        </w:rPr>
        <w:t>Figure 3.3: UML Sequence Diagram - Real-Time Intrusion Detection Interaction</w:t>
      </w:r>
    </w:p>
    <w:p>
      <w:pPr>
        <w:keepNext/>
        <w:spacing w:before="360" w:after="120"/>
      </w:pPr>
      <w:r>
        <w:rPr>
          <w:rFonts w:ascii="Arial" w:hAnsi="Arial"/>
          <w:b/>
          <w:color w:val="00529B"/>
          <w:sz w:val="28"/>
        </w:rPr>
        <w:t>4. SYSTEM VERIFICATION &amp; QUALITY ASSURANCE</w:t>
      </w:r>
    </w:p>
    <w:p>
      <w:pPr>
        <w:spacing w:line="360" w:lineRule="auto" w:after="120"/>
        <w:jc w:val="both"/>
      </w:pPr>
      <w:r>
        <w:rPr>
          <w:rFonts w:ascii="Times New Roman" w:hAnsi="Times New Roman"/>
          <w:sz w:val="24"/>
        </w:rPr>
        <w:t>The software architecture enforces four levels of quality assurance and automated testing across all build pipelines: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trPr>
        <w:tc>
          <w:tcPr>
            <w:tcW w:type="dxa" w:w="2160"/>
            <w:tcW w:w="2160" w:type="dxa"/>
            <w:shd w:fill="00529B"/>
            <w:tcMar>
              <w:top w:w="100" w:type="dxa"/>
              <w:bottom w:w="100" w:type="dxa"/>
              <w:left w:w="100" w:type="dxa"/>
              <w:right w:w="100" w:type="dxa"/>
            </w:tcMar>
          </w:tcPr>
          <w:p>
            <w:pPr>
              <w:jc w:val="center"/>
            </w:pPr>
            <w:r>
              <w:rPr>
                <w:rFonts w:ascii="Arial" w:hAnsi="Arial"/>
                <w:b/>
                <w:color w:val="FFFFFF"/>
                <w:sz w:val="19"/>
              </w:rPr>
              <w:t>Testing Level</w:t>
            </w:r>
          </w:p>
        </w:tc>
        <w:tc>
          <w:tcPr>
            <w:tcW w:type="dxa" w:w="3312"/>
            <w:tcW w:w="3311" w:type="dxa"/>
            <w:shd w:fill="00529B"/>
            <w:tcMar>
              <w:top w:w="100" w:type="dxa"/>
              <w:bottom w:w="100" w:type="dxa"/>
              <w:left w:w="100" w:type="dxa"/>
              <w:right w:w="100" w:type="dxa"/>
            </w:tcMar>
          </w:tcPr>
          <w:p>
            <w:pPr>
              <w:jc w:val="center"/>
            </w:pPr>
            <w:r>
              <w:rPr>
                <w:rFonts w:ascii="Arial" w:hAnsi="Arial"/>
                <w:b/>
                <w:color w:val="FFFFFF"/>
                <w:sz w:val="19"/>
              </w:rPr>
              <w:t>Test Scope &amp; Commands</w:t>
            </w:r>
          </w:p>
        </w:tc>
        <w:tc>
          <w:tcPr>
            <w:tcW w:type="dxa" w:w="2160"/>
            <w:tcW w:w="2160" w:type="dxa"/>
            <w:shd w:fill="00529B"/>
            <w:tcMar>
              <w:top w:w="100" w:type="dxa"/>
              <w:bottom w:w="100" w:type="dxa"/>
              <w:left w:w="100" w:type="dxa"/>
              <w:right w:w="100" w:type="dxa"/>
            </w:tcMar>
          </w:tcPr>
          <w:p>
            <w:pPr>
              <w:jc w:val="center"/>
            </w:pPr>
            <w:r>
              <w:rPr>
                <w:rFonts w:ascii="Arial" w:hAnsi="Arial"/>
                <w:b/>
                <w:color w:val="FFFFFF"/>
                <w:sz w:val="19"/>
              </w:rPr>
              <w:t>Automated Criteria</w:t>
            </w:r>
          </w:p>
        </w:tc>
        <w:tc>
          <w:tcPr>
            <w:tcW w:type="dxa" w:w="1728"/>
            <w:tcW w:w="1728" w:type="dxa"/>
            <w:shd w:fill="00529B"/>
            <w:tcMar>
              <w:top w:w="100" w:type="dxa"/>
              <w:bottom w:w="100" w:type="dxa"/>
              <w:left w:w="100" w:type="dxa"/>
              <w:right w:w="100" w:type="dxa"/>
            </w:tcMar>
          </w:tcPr>
          <w:p>
            <w:pPr>
              <w:jc w:val="center"/>
            </w:pPr>
            <w:r>
              <w:rPr>
                <w:rFonts w:ascii="Arial" w:hAnsi="Arial"/>
                <w:b/>
                <w:color w:val="FFFFFF"/>
                <w:sz w:val="19"/>
              </w:rPr>
              <w:t>Test Result</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Unit Testing</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python -m unittest discover -s tests -p 'test_*.py'</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75 unit tests across 9 test suites</w:t>
            </w:r>
          </w:p>
        </w:tc>
        <w:tc>
          <w:tcPr>
            <w:tcW w:type="dxa" w:w="1728"/>
            <w:tcW w:w="1728" w:type="dxa"/>
            <w:shd w:fill="FFFFFF"/>
            <w:tcMar>
              <w:top w:w="60" w:type="dxa"/>
              <w:bottom w:w="60" w:type="dxa"/>
              <w:left w:w="80" w:type="dxa"/>
              <w:right w:w="80" w:type="dxa"/>
            </w:tcMar>
          </w:tcPr>
          <w:p>
            <w:pPr>
              <w:jc w:val="center"/>
            </w:pPr>
            <w:r>
              <w:rPr>
                <w:rFonts w:ascii="Times New Roman" w:hAnsi="Times New Roman"/>
                <w:b/>
                <w:color w:val="10B981"/>
                <w:sz w:val="19"/>
              </w:rPr>
              <w:t>75/75 PASS (125.6s)</w:t>
            </w:r>
          </w:p>
        </w:tc>
      </w:tr>
      <w:tr>
        <w:trPr>
          <w:cantSplit/>
        </w:trPr>
        <w:tc>
          <w:tcPr>
            <w:tcW w:type="dxa" w:w="2160"/>
            <w:tcW w:w="2160" w:type="dxa"/>
            <w:shd w:fill="F8FAFC"/>
            <w:tcMar>
              <w:top w:w="60" w:type="dxa"/>
              <w:bottom w:w="60" w:type="dxa"/>
              <w:left w:w="80" w:type="dxa"/>
              <w:right w:w="80" w:type="dxa"/>
            </w:tcMar>
          </w:tcPr>
          <w:p>
            <w:pPr>
              <w:jc w:val="left"/>
            </w:pPr>
            <w:r>
              <w:rPr>
                <w:rFonts w:ascii="Times New Roman" w:hAnsi="Times New Roman"/>
                <w:sz w:val="19"/>
              </w:rPr>
              <w:t>API Validation</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python scripts/validate_api.py</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Health, Features, Analyze, 404 handler</w:t>
            </w:r>
          </w:p>
        </w:tc>
        <w:tc>
          <w:tcPr>
            <w:tcW w:type="dxa" w:w="1728"/>
            <w:tcW w:w="1728" w:type="dxa"/>
            <w:shd w:fill="F8FAFC"/>
            <w:tcMar>
              <w:top w:w="60" w:type="dxa"/>
              <w:bottom w:w="60" w:type="dxa"/>
              <w:left w:w="80" w:type="dxa"/>
              <w:right w:w="80" w:type="dxa"/>
            </w:tcMar>
          </w:tcPr>
          <w:p>
            <w:pPr>
              <w:jc w:val="center"/>
            </w:pPr>
            <w:r>
              <w:rPr>
                <w:rFonts w:ascii="Times New Roman" w:hAnsi="Times New Roman"/>
                <w:b/>
                <w:color w:val="10B981"/>
                <w:sz w:val="19"/>
              </w:rPr>
              <w:t>100% PASS</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AWS EC2 Deployment</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bash scripts/validate_ec2_deployment.sh</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Port checks, systemd daemons, dependencies</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STATUS: READY (0 errors)</w:t>
            </w:r>
          </w:p>
        </w:tc>
      </w:tr>
      <w:tr>
        <w:trPr>
          <w:cantSplit/>
        </w:trPr>
        <w:tc>
          <w:tcPr>
            <w:tcW w:type="dxa" w:w="2160"/>
            <w:tcW w:w="2160" w:type="dxa"/>
            <w:shd w:fill="F8FAFC"/>
            <w:tcMar>
              <w:top w:w="60" w:type="dxa"/>
              <w:bottom w:w="60" w:type="dxa"/>
              <w:left w:w="80" w:type="dxa"/>
              <w:right w:w="80" w:type="dxa"/>
            </w:tcMar>
          </w:tcPr>
          <w:p>
            <w:pPr>
              <w:jc w:val="left"/>
            </w:pPr>
            <w:r>
              <w:rPr>
                <w:rFonts w:ascii="Times New Roman" w:hAnsi="Times New Roman"/>
                <w:sz w:val="19"/>
              </w:rPr>
              <w:t>Empirical Cloud Benchmark</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python scripts/benchmark_and_export.py</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100-packet stress test, &lt;100ms deadline, XLSX/CSV export</w:t>
            </w:r>
          </w:p>
        </w:tc>
        <w:tc>
          <w:tcPr>
            <w:tcW w:type="dxa" w:w="1728"/>
            <w:tcW w:w="1728" w:type="dxa"/>
            <w:shd w:fill="F8FAFC"/>
            <w:tcMar>
              <w:top w:w="60" w:type="dxa"/>
              <w:bottom w:w="60" w:type="dxa"/>
              <w:left w:w="80" w:type="dxa"/>
              <w:right w:w="80" w:type="dxa"/>
            </w:tcMar>
          </w:tcPr>
          <w:p>
            <w:pPr>
              <w:jc w:val="center"/>
            </w:pPr>
            <w:r>
              <w:rPr>
                <w:rFonts w:ascii="Times New Roman" w:hAnsi="Times New Roman"/>
                <w:b/>
                <w:color w:val="10B981"/>
                <w:sz w:val="19"/>
              </w:rPr>
              <w:t>100% PASS (1.57ms, 617 req/s)</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Raspberry Pi Dry-Run</w:t>
            </w:r>
          </w:p>
        </w:tc>
        <w:tc>
          <w:tcPr>
            <w:tcW w:type="dxa" w:w="3312"/>
            <w:tcW w:w="3311" w:type="dxa"/>
            <w:shd w:fill="FFFFFF"/>
            <w:tcMar>
              <w:top w:w="60" w:type="dxa"/>
              <w:bottom w:w="60" w:type="dxa"/>
              <w:left w:w="80" w:type="dxa"/>
              <w:right w:w="80" w:type="dxa"/>
            </w:tcMar>
          </w:tcPr>
          <w:p>
            <w:pPr>
              <w:jc w:val="center"/>
            </w:pPr>
            <w:r>
              <w:rPr>
                <w:rFonts w:ascii="Times New Roman" w:hAnsi="Times New Roman"/>
                <w:sz w:val="19"/>
              </w:rPr>
              <w:t>bash scripts/validate_pi_deployment.sh</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ARM TFLite runtime, npm binary linkage</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STATUS: READY</w:t>
            </w:r>
          </w:p>
        </w:tc>
      </w:tr>
      <w:tr>
        <w:trPr>
          <w:cantSplit/>
        </w:trPr>
        <w:tc>
          <w:tcPr>
            <w:tcW w:type="dxa" w:w="2160"/>
            <w:tcW w:w="2160" w:type="dxa"/>
            <w:shd w:fill="F8FAFC"/>
            <w:tcMar>
              <w:top w:w="60" w:type="dxa"/>
              <w:bottom w:w="60" w:type="dxa"/>
              <w:left w:w="80" w:type="dxa"/>
              <w:right w:w="80" w:type="dxa"/>
            </w:tcMar>
          </w:tcPr>
          <w:p>
            <w:pPr>
              <w:jc w:val="left"/>
            </w:pPr>
            <w:r>
              <w:rPr>
                <w:rFonts w:ascii="Times New Roman" w:hAnsi="Times New Roman"/>
                <w:sz w:val="19"/>
              </w:rPr>
              <w:t>Documentation Integrity</w:t>
            </w:r>
          </w:p>
        </w:tc>
        <w:tc>
          <w:tcPr>
            <w:tcW w:type="dxa" w:w="3312"/>
            <w:tcW w:w="3311" w:type="dxa"/>
            <w:shd w:fill="F8FAFC"/>
            <w:tcMar>
              <w:top w:w="60" w:type="dxa"/>
              <w:bottom w:w="60" w:type="dxa"/>
              <w:left w:w="80" w:type="dxa"/>
              <w:right w:w="80" w:type="dxa"/>
            </w:tcMar>
          </w:tcPr>
          <w:p>
            <w:pPr>
              <w:jc w:val="center"/>
            </w:pPr>
            <w:r>
              <w:rPr>
                <w:rFonts w:ascii="Times New Roman" w:hAnsi="Times New Roman"/>
                <w:sz w:val="19"/>
              </w:rPr>
              <w:t>python scripts/verify_readme_links.py</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31 internal markdown hyperlinks</w:t>
            </w:r>
          </w:p>
        </w:tc>
        <w:tc>
          <w:tcPr>
            <w:tcW w:type="dxa" w:w="1728"/>
            <w:tcW w:w="1728" w:type="dxa"/>
            <w:shd w:fill="F8FAFC"/>
            <w:tcMar>
              <w:top w:w="60" w:type="dxa"/>
              <w:bottom w:w="60" w:type="dxa"/>
              <w:left w:w="80" w:type="dxa"/>
              <w:right w:w="80" w:type="dxa"/>
            </w:tcMar>
          </w:tcPr>
          <w:p>
            <w:pPr>
              <w:jc w:val="center"/>
            </w:pPr>
            <w:r>
              <w:rPr>
                <w:rFonts w:ascii="Times New Roman" w:hAnsi="Times New Roman"/>
                <w:b/>
                <w:color w:val="10B981"/>
                <w:sz w:val="19"/>
              </w:rPr>
              <w:t>31/31 PASS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