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FFD700"/>
          <w:bottom w:val="single" w:sz="12" w:space="0" w:color="FFD700"/>
          <w:left w:val="single" w:sz="12" w:space="0" w:color="FFD700"/>
          <w:right w:val="single" w:sz="12" w:space="0" w:color="FFD700"/>
          <w:insideH w:val="single" w:sz="12" w:space="0" w:color="FFD700"/>
          <w:insideV w:val="single" w:sz="12" w:space="0" w:color="FFD700"/>
        </w:tblBorders>
      </w:tblPr>
      <w:tblGrid>
        <w:gridCol w:w="7584"/>
        <w:gridCol w:w="7584"/>
        <w:gridCol w:w="7584"/>
      </w:tblGrid>
      <w:tr>
        <w:tc>
          <w:tcPr>
            <w:tcW w:type="dxa" w:w="3600"/>
            <w:shd w:fill="00529B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44"/>
              </w:rPr>
              <w:t>UEW</w:t>
              <w:br/>
            </w:r>
            <w:r>
              <w:rPr>
                <w:rFonts w:ascii="Arial" w:hAnsi="Arial"/>
                <w:b/>
                <w:color w:val="00A3E0"/>
                <w:sz w:val="19"/>
              </w:rPr>
              <w:t>Univ. of Education, Winneba</w:t>
              <w:br/>
              <w:t>&amp; Kayaba Labs</w:t>
            </w:r>
          </w:p>
        </w:tc>
        <w:tc>
          <w:tcPr>
            <w:tcW w:type="dxa" w:w="15552"/>
            <w:shd w:fill="00529B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36"/>
              </w:rPr>
              <w:t>Securing the Digital Mine with a Metaheuristic-Optimized</w:t>
              <w:br/>
              <w:t>Deep Learning Adaptive System</w:t>
              <w:br/>
            </w:r>
            <w:r>
              <w:rPr>
                <w:rFonts w:ascii="Arial" w:hAnsi="Arial"/>
                <w:b/>
                <w:color w:val="FFD700"/>
                <w:sz w:val="22"/>
              </w:rPr>
              <w:t>John Okyere, Ezekeil Baah, Clement Baffour, Parker Paa Annobil, George Akwesi Bonnah</w:t>
              <w:br/>
            </w:r>
            <w:r>
              <w:rPr>
                <w:rFonts w:ascii="Arial" w:hAnsi="Arial"/>
                <w:color w:val="E2E8F0"/>
                <w:sz w:val="19"/>
              </w:rPr>
              <w:t>Department of ICT, University of Education, Winneba &amp; Kayaba Labs | Saint Petersburg Mining University 2026</w:t>
            </w:r>
          </w:p>
        </w:tc>
        <w:tc>
          <w:tcPr>
            <w:tcW w:type="dxa" w:w="3600"/>
            <w:shd w:fill="00529B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jc w:val="right"/>
            </w:pPr>
            <w:r>
              <w:rPr>
                <w:rFonts w:ascii="Arial" w:hAnsi="Arial"/>
                <w:b/>
                <w:color w:val="FFD700"/>
                <w:sz w:val="44"/>
              </w:rPr>
              <w:t>UNESCO</w:t>
              <w:br/>
            </w:r>
            <w:r>
              <w:rPr>
                <w:rFonts w:ascii="Arial" w:hAnsi="Arial"/>
                <w:b/>
                <w:color w:val="FFFFFF"/>
                <w:sz w:val="19"/>
              </w:rPr>
              <w:t>Russian-African Forum</w:t>
              <w:br/>
              <w:t>Track 3: Smart Subsoil</w:t>
            </w:r>
          </w:p>
        </w:tc>
      </w:tr>
    </w:tbl>
    <w:p>
      <w:pPr>
        <w:spacing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7584"/>
        <w:gridCol w:w="7584"/>
        <w:gridCol w:w="7584"/>
      </w:tblGrid>
      <w:tr>
        <w:tc>
          <w:tcPr>
            <w:tcW w:type="dxa" w:w="7488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120" w:after="60"/>
            </w:pPr>
            <w:r>
              <w:rPr>
                <w:rFonts w:ascii="Arial" w:hAnsi="Arial"/>
                <w:b/>
                <w:color w:val="00529B"/>
                <w:sz w:val="28"/>
              </w:rPr>
              <w:t>Introduction</w:t>
            </w:r>
          </w:p>
          <w:p>
            <w:pPr>
              <w:spacing w:after="80" w:line="276" w:lineRule="auto"/>
            </w:pPr>
            <w:r>
              <w:rPr>
                <w:rFonts w:ascii="Arial" w:hAnsi="Arial"/>
                <w:color w:val="1E293B"/>
                <w:sz w:val="19"/>
              </w:rPr>
              <w:t>• Mining 4.0: African/Russian mines deploy IoT &amp; SCADA telemetry to maximize ore yield.</w:t>
            </w:r>
          </w:p>
          <w:p>
            <w:pPr>
              <w:spacing w:after="80" w:line="276" w:lineRule="auto"/>
            </w:pPr>
            <w:r>
              <w:rPr>
                <w:rFonts w:ascii="Arial" w:hAnsi="Arial"/>
                <w:color w:val="1E293B"/>
                <w:sz w:val="19"/>
              </w:rPr>
              <w:t>• Air-Gap Collapse: Connecting OT to cloud twins exposes Modbus/DNP3 protocols to zero-day attacks.</w:t>
            </w:r>
          </w:p>
          <w:p>
            <w:pPr>
              <w:spacing w:after="80" w:line="276" w:lineRule="auto"/>
            </w:pPr>
            <w:r>
              <w:rPr>
                <w:rFonts w:ascii="Arial" w:hAnsi="Arial"/>
                <w:color w:val="1E293B"/>
                <w:sz w:val="19"/>
              </w:rPr>
              <w:t>• Downtime Costs: Unplanned downtime costs USD $50k-$500k/hr; gas/ventilation disruption endangers lives.</w:t>
            </w:r>
          </w:p>
          <w:p>
            <w:pPr>
              <w:spacing w:after="80" w:line="276" w:lineRule="auto"/>
            </w:pPr>
            <w:r>
              <w:rPr>
                <w:rFonts w:ascii="Arial" w:hAnsi="Arial"/>
                <w:color w:val="1E293B"/>
                <w:sz w:val="19"/>
              </w:rPr>
              <w:t>• IT IDS Mismatch: Traditional tools take 150+ ms, violating the 20-50ms SCADA control loop deadline.</w:t>
            </w:r>
          </w:p>
          <w:p>
            <w:pPr>
              <w:spacing w:before="120" w:after="60"/>
            </w:pPr>
            <w:r>
              <w:rPr>
                <w:rFonts w:ascii="Arial" w:hAnsi="Arial"/>
                <w:b/>
                <w:color w:val="00529B"/>
                <w:sz w:val="28"/>
              </w:rPr>
              <w:t>Method</w:t>
            </w:r>
          </w:p>
          <w:p>
            <w:pPr>
              <w:spacing w:after="80" w:line="276" w:lineRule="auto"/>
            </w:pPr>
            <w:r>
              <w:rPr>
                <w:rFonts w:ascii="Arial" w:hAnsi="Arial"/>
                <w:color w:val="1E293B"/>
                <w:sz w:val="19"/>
              </w:rPr>
              <w:t>• Data Ingestion: Promiscuously captures SCADA packets via @mhiskall282/unesco-mine-sec-cli.</w:t>
            </w:r>
          </w:p>
          <w:p>
            <w:pPr>
              <w:spacing w:after="80" w:line="276" w:lineRule="auto"/>
            </w:pPr>
            <w:r>
              <w:rPr>
                <w:rFonts w:ascii="Arial" w:hAnsi="Arial"/>
                <w:color w:val="1E293B"/>
                <w:sz w:val="19"/>
              </w:rPr>
              <w:t>• BWOA Feature Pruning: Prunes 41 features down to 10 vital signals (75.61% reduction) with 75% accuracy floor.</w:t>
            </w:r>
          </w:p>
          <w:p>
            <w:pPr>
              <w:spacing w:after="80" w:line="276" w:lineRule="auto"/>
            </w:pPr>
            <w:r>
              <w:rPr>
                <w:rFonts w:ascii="Arial" w:hAnsi="Arial"/>
                <w:color w:val="1E293B"/>
                <w:sz w:val="19"/>
              </w:rPr>
              <w:t>• Spatial-Temporal Classifier: Conv1D spatial filters + LSTM temporal memory units.</w:t>
            </w:r>
          </w:p>
          <w:p>
            <w:pPr>
              <w:spacing w:after="80" w:line="276" w:lineRule="auto"/>
            </w:pPr>
            <w:r>
              <w:rPr>
                <w:rFonts w:ascii="Arial" w:hAnsi="Arial"/>
                <w:color w:val="1E293B"/>
                <w:sz w:val="19"/>
              </w:rPr>
              <w:t>• Float16 Quantization: Compresses model to 0.82 MB for sub-millisecond execution on 1GB RAM edge gateways.</w:t>
            </w:r>
          </w:p>
        </w:tc>
        <w:tc>
          <w:tcPr>
            <w:tcW w:type="dxa" w:w="7488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120" w:after="60"/>
            </w:pPr>
            <w:r>
              <w:rPr>
                <w:rFonts w:ascii="Arial" w:hAnsi="Arial"/>
                <w:b/>
                <w:color w:val="00529B"/>
                <w:sz w:val="28"/>
              </w:rPr>
              <w:t>Architecture &amp; Pipeline</w:t>
            </w:r>
          </w:p>
          <w:p>
            <w:pPr>
              <w:spacing w:after="80" w:line="276" w:lineRule="auto"/>
            </w:pPr>
            <w:r>
              <w:rPr>
                <w:rFonts w:ascii="Arial" w:hAnsi="Arial"/>
                <w:color w:val="1E293B"/>
                <w:sz w:val="19"/>
              </w:rPr>
              <w:t>• Decoupled 4-layer edge architecture ensures sub-millisecond real-time threat evaluation:</w:t>
            </w:r>
          </w:p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89120" cy="257496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stem_architectur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0" cy="25749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60"/>
            </w:pPr>
            <w:r>
              <w:rPr>
                <w:rFonts w:ascii="Arial" w:hAnsi="Arial"/>
                <w:b/>
                <w:color w:val="00529B"/>
                <w:sz w:val="28"/>
              </w:rPr>
              <w:t>Analysis &amp; Convergence</w:t>
            </w:r>
          </w:p>
          <w:p>
            <w:pPr>
              <w:spacing w:after="80" w:line="276" w:lineRule="auto"/>
            </w:pPr>
            <w:r>
              <w:rPr>
                <w:rFonts w:ascii="Arial" w:hAnsi="Arial"/>
                <w:color w:val="1E293B"/>
                <w:sz w:val="19"/>
              </w:rPr>
              <w:t>• BWOA convergence reached at iteration 23/100, maintaining 92.31% RF cross-validation accuracy.</w:t>
            </w:r>
          </w:p>
          <w:p>
            <w:pPr>
              <w:spacing w:after="80" w:line="276" w:lineRule="auto"/>
            </w:pPr>
            <w:r>
              <w:rPr>
                <w:rFonts w:ascii="Arial" w:hAnsi="Arial"/>
                <w:color w:val="1E293B"/>
                <w:sz w:val="19"/>
              </w:rPr>
              <w:t>• Selected features: protocol_type, service, flag, src_bytes, hot, su_attempted, serror_rate, same_srv_rate, diff_srv_rate, dst_host_diff_srv_rate.</w:t>
            </w:r>
          </w:p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89120" cy="27432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woa_convergenc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0" cy="274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88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120" w:after="60"/>
            </w:pPr>
            <w:r>
              <w:rPr>
                <w:rFonts w:ascii="Arial" w:hAnsi="Arial"/>
                <w:b/>
                <w:color w:val="00529B"/>
                <w:sz w:val="28"/>
              </w:rPr>
              <w:t>Evaluation &amp; Latency</w:t>
            </w:r>
          </w:p>
          <w:p>
            <w:pPr>
              <w:spacing w:after="80" w:line="276" w:lineRule="auto"/>
            </w:pPr>
            <w:r>
              <w:rPr>
                <w:rFonts w:ascii="Arial" w:hAnsi="Arial"/>
                <w:color w:val="1E293B"/>
                <w:sz w:val="19"/>
              </w:rPr>
              <w:t>• Single-sample inference latency benchmarked across hardware platforms vs 100ms SCADA ceiling:</w:t>
            </w:r>
          </w:p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89120" cy="2444573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atency_comparison_barchar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0" cy="244457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60"/>
            </w:pPr>
            <w:r>
              <w:rPr>
                <w:rFonts w:ascii="Arial" w:hAnsi="Arial"/>
                <w:b/>
                <w:color w:val="00529B"/>
                <w:sz w:val="28"/>
              </w:rPr>
              <w:t>Conclusions</w:t>
            </w:r>
          </w:p>
          <w:p>
            <w:pPr>
              <w:spacing w:after="80" w:line="276" w:lineRule="auto"/>
            </w:pPr>
            <w:r>
              <w:rPr>
                <w:rFonts w:ascii="Arial" w:hAnsi="Arial"/>
                <w:color w:val="1E293B"/>
                <w:sz w:val="19"/>
              </w:rPr>
              <w:t>• 0.76ms Edge Latency: 207x faster than baseline on Raspberry Pi 4B (1GB RAM), passing SCADA constraints.</w:t>
            </w:r>
          </w:p>
          <w:p>
            <w:pPr>
              <w:spacing w:after="80" w:line="276" w:lineRule="auto"/>
            </w:pPr>
            <w:r>
              <w:rPr>
                <w:rFonts w:ascii="Arial" w:hAnsi="Arial"/>
                <w:color w:val="1E293B"/>
                <w:sz w:val="19"/>
              </w:rPr>
              <w:t>• High Detection Fidelity: 70.56% multi-class accuracy, 96.89% benign precision, 89.04% DoS recall.</w:t>
            </w:r>
          </w:p>
          <w:p>
            <w:pPr>
              <w:spacing w:after="80" w:line="276" w:lineRule="auto"/>
            </w:pPr>
            <w:r>
              <w:rPr>
                <w:rFonts w:ascii="Arial" w:hAnsi="Arial"/>
                <w:color w:val="1E293B"/>
                <w:sz w:val="19"/>
              </w:rPr>
              <w:t>• Industrial ROI: 200x-300x return averting $50k-$500k/hr outages while protecting miner lives (SDG 8 &amp; 9).</w:t>
            </w:r>
          </w:p>
          <w:p>
            <w:pPr>
              <w:spacing w:after="80" w:line="276" w:lineRule="auto"/>
            </w:pPr>
            <w:r>
              <w:rPr>
                <w:rFonts w:ascii="Arial" w:hAnsi="Arial"/>
                <w:color w:val="1E293B"/>
                <w:sz w:val="19"/>
              </w:rPr>
              <w:t>• Open-Source CLI: Package @mhiskall282/unesco-mine-sec-cli published on GitHub Packages.</w:t>
            </w:r>
          </w:p>
          <w:p>
            <w:pPr>
              <w:spacing w:before="120" w:after="60"/>
            </w:pPr>
            <w:r>
              <w:rPr>
                <w:rFonts w:ascii="Arial" w:hAnsi="Arial"/>
                <w:b/>
                <w:color w:val="00529B"/>
                <w:sz w:val="28"/>
              </w:rPr>
              <w:t>References</w:t>
            </w:r>
          </w:p>
          <w:p>
            <w:pPr>
              <w:spacing w:after="80" w:line="276" w:lineRule="auto"/>
            </w:pPr>
            <w:r>
              <w:rPr>
                <w:rFonts w:ascii="Arial" w:hAnsi="Arial"/>
                <w:color w:val="1E293B"/>
                <w:sz w:val="19"/>
              </w:rPr>
              <w:t>• 1. Alanazi, M., et al. (2022). SCADA vulnerabilities &amp; attacks. Computers &amp; Security, 125, 103028.</w:t>
            </w:r>
          </w:p>
          <w:p>
            <w:pPr>
              <w:spacing w:after="80" w:line="276" w:lineRule="auto"/>
            </w:pPr>
            <w:r>
              <w:rPr>
                <w:rFonts w:ascii="Arial" w:hAnsi="Arial"/>
                <w:color w:val="1E293B"/>
                <w:sz w:val="19"/>
              </w:rPr>
              <w:t>• 2. Almomani, O., et al. (2025). SCADA intrusion detection in IIoT. Symmetry, 17(4), 480.</w:t>
            </w:r>
          </w:p>
          <w:p>
            <w:pPr>
              <w:spacing w:after="80" w:line="276" w:lineRule="auto"/>
            </w:pPr>
            <w:r>
              <w:rPr>
                <w:rFonts w:ascii="Arial" w:hAnsi="Arial"/>
                <w:color w:val="1E293B"/>
                <w:sz w:val="19"/>
              </w:rPr>
              <w:t>• 3. Mirjalili, S., &amp; Lewis, A. (2016). Whale optimization algorithm. Adv. Eng. Software, 95, 51-67.</w:t>
            </w:r>
          </w:p>
          <w:p>
            <w:pPr>
              <w:spacing w:after="80" w:line="276" w:lineRule="auto"/>
            </w:pPr>
            <w:r>
              <w:rPr>
                <w:rFonts w:ascii="Arial" w:hAnsi="Arial"/>
                <w:color w:val="1E293B"/>
                <w:sz w:val="19"/>
              </w:rPr>
              <w:t>• 4. Minerals Commission of Ghana. (2024). Digital telemetry &amp; cybersecurity compliance policy.</w:t>
            </w:r>
          </w:p>
        </w:tc>
      </w:tr>
    </w:tbl>
    <w:sectPr w:rsidR="00FC693F" w:rsidRPr="0006063C" w:rsidSect="00034616">
      <w:pgSz w:w="2448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