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Securing the Digital Mine: A Metaheuristic-Optimized Deep Learning Framework for Intrusion Detection in IoT-Enabled Mineral Resource Operations</w:t>
      </w:r>
    </w:p>
    <w:p>
      <w:pPr>
        <w:spacing w:after="240"/>
        <w:jc w:val="center"/>
      </w:pPr>
      <w:r>
        <w:rPr>
          <w:rFonts w:ascii="Arial" w:hAnsi="Arial"/>
          <w:i/>
          <w:color w:val="64748B"/>
          <w:sz w:val="22"/>
        </w:rPr>
        <w:t>A Design Science Research Project for the Russian-African Forum-Contest of Young Scientists</w:t>
        <w:br/>
        <w:t>Track 3: Smart Subsoil - Digital Transformation and Automation in Mineral Resources</w:t>
        <w:br/>
        <w:t>Under the Auspices of UNESCO | Empress Catherine II Saint Petersburg Mining University</w:t>
      </w:r>
    </w:p>
    <w:p>
      <w:pPr>
        <w:spacing w:after="40"/>
        <w:jc w:val="center"/>
      </w:pPr>
      <w:r>
        <w:rPr>
          <w:rFonts w:ascii="Times New Roman" w:hAnsi="Times New Roman"/>
          <w:b/>
          <w:sz w:val="22"/>
        </w:rPr>
        <w:t>John Okyere (Principal Author &amp; Team Lead), Ezekeil Baah, Clement Baffour, Parker Paa Annobil, George Akwesi Bonnah</w:t>
      </w:r>
    </w:p>
    <w:p>
      <w:pPr>
        <w:spacing w:after="280"/>
        <w:jc w:val="center"/>
      </w:pPr>
      <w:r>
        <w:rPr>
          <w:rFonts w:ascii="Times New Roman" w:hAnsi="Times New Roman"/>
          <w:i/>
          <w:color w:val="64748B"/>
          <w:sz w:val="19"/>
        </w:rPr>
        <w:t>Department of Information and Communication Technology, University of Education, Winneba (UEW), Ghana</w:t>
        <w:br/>
        <w:t>UEW Innovation Hub Cyber-Physical Systems Research Group</w:t>
        <w:br/>
        <w:t>Correspondence: hello@johnokyere.xyz | Repository: https://github.com/mhiskall282/Securing-the-Digital-Mine-UNESCO-Project</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ABSTRACT</w:t>
              <w:br/>
            </w:r>
            <w:r>
              <w:rPr>
                <w:rFonts w:ascii="Times New Roman" w:hAnsi="Times New Roman"/>
                <w:color w:val="1E293B"/>
                <w:sz w:val="22"/>
              </w:rPr>
              <w:t>The mineral extraction industries across Africa and the Russian Federation are undergoing extensive technological restructuring under the Smart Subsoil paradigm. Mineral processing complexes are deploying ubiquitous Industrial Internet of Things (IIoT) telemetry nodes, autonomous load-haul-dump fleets, and Supervisory Control and Data Acquisition (SCADA) networks to drive ore recovery, reduce energy intensity, and enhance worker safety. However, the convergence of operational technology (OT) with corporate IT networks has dismantled traditional physical air-gaps, exposing vulnerable industrial protocols (such as Modbus RTU/TCP, DNP3, and OPC-UA) to sophisticated cyber-physical intrusions. Traditional intrusion detection systems (IDS) validated solely on legacy enterprise IT benchmarks fail in mineral processing environments due to excessive feature dimensions, high false-alarm rates, and severe computational latencies exceeding 150 milliseconds, directly violating the 20 to 50 millisecond control loop deadlines of industrial safety systems. Furthermore, remote African extraction sites operate under strict power, bandwidth, and edge hardware constraints that preclude reliance on cloud-dependent security architectures.</w:t>
              <w:br/>
              <w:br/>
              <w:t>Following the Design Science Research (DSR) methodology, this paper designs, develops, demonstrates, and empirically evaluates an edge-deployable intrusion detection framework that combines a Binary Whale Optimization Algorithm (BWOA) with a spatial-temporal Convolutional Neural Network and Long Short-Term Memory (CNN-LSTM) classifier. BWOA reduces input dimensionality by 75.61% (selecting 10 vital features from 41) under an enforced 75% accuracy floor constraint. A post-training Float16 quantization pipeline compresses the neural network by 83.2% to 0.82 MB. Evaluated on the held-out NSL-KDD benchmark (22,544 samples) and validated on the SWaT industrial SCADA dataset, the framework achieves 70.56% multi-class accuracy, 0.7127 Macro F1-score, 96.89% precision on benign telemetry, 89.04% recall on denial-of-service intrusions, and executes single-sample inference in 0.76 milliseconds on a standard 1GB RAM Raspberry Pi 4B edge node. This delivers a 207x latency speedup over baseline models, operating well within the strict real-time deadlines of mining control loops. The complete open-source artifact, global CLI sniffer agent (@mhiskall282/unesco-mine-sec-cli), and automated test suites provide a verified foundation for industrial OT cyber-defense in mineral resource operations.</w:t>
              <w:br/>
              <w:br/>
              <w:t>Keywords: Design Science Research, Intrusion Detection, Whale Optimization Algorithm, CNN-LSTM, Industrial IoT, SCADA Cybersecurity, Mineral Resources, Edge Computing, UNESCO Sustainable Development Goals.</w:t>
            </w:r>
          </w:p>
        </w:tc>
      </w:tr>
    </w:tbl>
    <w:p>
      <w:pPr>
        <w:spacing w:after="80"/>
      </w:pPr>
    </w:p>
    <w:p>
      <w:pPr>
        <w:keepNext/>
        <w:spacing w:before="280" w:after="80"/>
      </w:pPr>
      <w:r>
        <w:rPr>
          <w:rFonts w:ascii="Arial" w:hAnsi="Arial"/>
          <w:b/>
          <w:color w:val="1E293B"/>
          <w:sz w:val="25"/>
        </w:rPr>
        <w:t>Mapping the Report to the Design Science Research Process</w:t>
      </w:r>
    </w:p>
    <w:p>
      <w:pPr>
        <w:spacing w:line="360" w:lineRule="auto" w:after="120"/>
        <w:jc w:val="both"/>
      </w:pPr>
      <w:r>
        <w:rPr>
          <w:rFonts w:ascii="Times New Roman" w:hAnsi="Times New Roman"/>
          <w:sz w:val="24"/>
        </w:rPr>
        <w:t>In accordance with established Design Science Research reporting guidelines (Peffers et al., 2007; Hevner et al., 2004), the structure of this research report maps directly to the six fundamental stages of the DSR lifecycle as summarized in Table 1.1.</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rPr>
          <w:cantSplit/>
          <w:tblHeader/>
        </w:trPr>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DSR Lifecycle Phase</w:t>
            </w:r>
          </w:p>
        </w:tc>
        <w:tc>
          <w:tcPr>
            <w:tcW w:type="dxa" w:w="2592"/>
            <w:tcW w:w="2592" w:type="dxa"/>
            <w:shd w:fill="00529B"/>
            <w:tcMar>
              <w:top w:w="100" w:type="dxa"/>
              <w:bottom w:w="100" w:type="dxa"/>
              <w:left w:w="100" w:type="dxa"/>
              <w:right w:w="100" w:type="dxa"/>
            </w:tcMar>
          </w:tcPr>
          <w:p>
            <w:pPr>
              <w:jc w:val="center"/>
            </w:pPr>
            <w:r>
              <w:rPr>
                <w:rFonts w:ascii="Arial" w:hAnsi="Arial"/>
                <w:b/>
                <w:color w:val="FFFFFF"/>
                <w:sz w:val="19"/>
              </w:rPr>
              <w:t>Report Chapter</w:t>
            </w:r>
          </w:p>
        </w:tc>
        <w:tc>
          <w:tcPr>
            <w:tcW w:type="dxa" w:w="4176"/>
            <w:tcW w:w="4176" w:type="dxa"/>
            <w:shd w:fill="00529B"/>
            <w:tcMar>
              <w:top w:w="100" w:type="dxa"/>
              <w:bottom w:w="100" w:type="dxa"/>
              <w:left w:w="100" w:type="dxa"/>
              <w:right w:w="100" w:type="dxa"/>
            </w:tcMar>
          </w:tcPr>
          <w:p>
            <w:pPr>
              <w:jc w:val="center"/>
            </w:pPr>
            <w:r>
              <w:rPr>
                <w:rFonts w:ascii="Arial" w:hAnsi="Arial"/>
                <w:b/>
                <w:color w:val="FFFFFF"/>
                <w:sz w:val="19"/>
              </w:rPr>
              <w:t>Core Activities &amp; DSR Artifact Outcomes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Problem Identification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Identification of the OT cybersecurity gap in African/Russian mining; air-gap loss; SCADA control loop deadlines.</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Define Objectives of a Solution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1: Introduction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Quantitative engineering goals: &lt; 1.0 ms latency, &lt; 1.0 MB model size, 1GB RAM edge readiness, multi-class threat recall.</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Knowledge Base / Literature Review</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2: Literature Review</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Analysis of existing signature, ML, and DL systems; metaheuristics; transfer learning; African mining policy.</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Design &amp; Architecture</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3: Research Methodology</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Requirements engineering; 4-layer architecture; database ER schema; UML models; BWOA mathematical equations.</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Development &amp; Implementation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Construction of Python/TensorFlow pipeline; Float16 quantization; Node.js CLI sniffer package (@mhiskall282).</w:t>
            </w:r>
          </w:p>
        </w:tc>
      </w:tr>
      <w:tr>
        <w:trPr>
          <w:cantSplit/>
        </w:trPr>
        <w:tc>
          <w:tcPr>
            <w:tcW w:type="dxa" w:w="2592"/>
            <w:tcW w:w="2592" w:type="dxa"/>
            <w:shd w:fill="F8FAFC"/>
            <w:tcMar>
              <w:top w:w="60" w:type="dxa"/>
              <w:bottom w:w="60" w:type="dxa"/>
              <w:left w:w="80" w:type="dxa"/>
              <w:right w:w="80" w:type="dxa"/>
            </w:tcMar>
          </w:tcPr>
          <w:p>
            <w:pPr>
              <w:jc w:val="left"/>
            </w:pPr>
            <w:r>
              <w:rPr>
                <w:rFonts w:ascii="Times New Roman" w:hAnsi="Times New Roman"/>
                <w:sz w:val="19"/>
              </w:rPr>
              <w:t>Demonstration</w:t>
            </w:r>
          </w:p>
        </w:tc>
        <w:tc>
          <w:tcPr>
            <w:tcW w:type="dxa" w:w="2592"/>
            <w:tcW w:w="2592" w:type="dxa"/>
            <w:shd w:fill="F8FAFC"/>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8FAFC"/>
            <w:tcMar>
              <w:top w:w="60" w:type="dxa"/>
              <w:bottom w:w="60" w:type="dxa"/>
              <w:left w:w="80" w:type="dxa"/>
              <w:right w:w="80" w:type="dxa"/>
            </w:tcMar>
          </w:tcPr>
          <w:p>
            <w:pPr>
              <w:jc w:val="center"/>
            </w:pPr>
            <w:r>
              <w:rPr>
                <w:rFonts w:ascii="Times New Roman" w:hAnsi="Times New Roman"/>
                <w:sz w:val="19"/>
              </w:rPr>
              <w:t>Demonstration of operator workflows; live packet capture; real-time alert dispatching on Raspberry Pi 4B.</w:t>
            </w:r>
          </w:p>
        </w:tc>
      </w:tr>
      <w:tr>
        <w:trPr>
          <w:cantSplit/>
        </w:trPr>
        <w:tc>
          <w:tcPr>
            <w:tcW w:type="dxa" w:w="2592"/>
            <w:tcW w:w="2592" w:type="dxa"/>
            <w:shd w:fill="FFFFFF"/>
            <w:tcMar>
              <w:top w:w="60" w:type="dxa"/>
              <w:bottom w:w="60" w:type="dxa"/>
              <w:left w:w="80" w:type="dxa"/>
              <w:right w:w="80" w:type="dxa"/>
            </w:tcMar>
          </w:tcPr>
          <w:p>
            <w:pPr>
              <w:jc w:val="left"/>
            </w:pPr>
            <w:r>
              <w:rPr>
                <w:rFonts w:ascii="Times New Roman" w:hAnsi="Times New Roman"/>
                <w:sz w:val="19"/>
              </w:rPr>
              <w:t>Empirical Evaluation</w:t>
            </w:r>
          </w:p>
        </w:tc>
        <w:tc>
          <w:tcPr>
            <w:tcW w:type="dxa" w:w="2592"/>
            <w:tcW w:w="2592" w:type="dxa"/>
            <w:shd w:fill="FFFFFF"/>
            <w:tcMar>
              <w:top w:w="60" w:type="dxa"/>
              <w:bottom w:w="60" w:type="dxa"/>
              <w:left w:w="80" w:type="dxa"/>
              <w:right w:w="80" w:type="dxa"/>
            </w:tcMar>
          </w:tcPr>
          <w:p>
            <w:pPr>
              <w:jc w:val="center"/>
            </w:pPr>
            <w:r>
              <w:rPr>
                <w:rFonts w:ascii="Times New Roman" w:hAnsi="Times New Roman"/>
                <w:sz w:val="19"/>
              </w:rPr>
              <w:t>Chapter 4: Development &amp; Evaluation</w:t>
            </w:r>
          </w:p>
        </w:tc>
        <w:tc>
          <w:tcPr>
            <w:tcW w:type="dxa" w:w="4176"/>
            <w:tcW w:w="4176" w:type="dxa"/>
            <w:shd w:fill="FFFFFF"/>
            <w:tcMar>
              <w:top w:w="60" w:type="dxa"/>
              <w:bottom w:w="60" w:type="dxa"/>
              <w:left w:w="80" w:type="dxa"/>
              <w:right w:w="80" w:type="dxa"/>
            </w:tcMar>
          </w:tcPr>
          <w:p>
            <w:pPr>
              <w:jc w:val="center"/>
            </w:pPr>
            <w:r>
              <w:rPr>
                <w:rFonts w:ascii="Times New Roman" w:hAnsi="Times New Roman"/>
                <w:sz w:val="19"/>
              </w:rPr>
              <w:t>Benchmarking on NSL-KDD and SWaT; latency profiling; expert review; user testing; usability testing; UAT.</w:t>
            </w:r>
          </w:p>
        </w:tc>
      </w:tr>
    </w:tbl>
    <w:p>
      <w:pPr>
        <w:spacing w:after="120"/>
      </w:pPr>
    </w:p>
    <w:p>
      <w:pPr>
        <w:keepNext/>
        <w:spacing w:before="360" w:after="120"/>
      </w:pPr>
      <w:r>
        <w:rPr>
          <w:rFonts w:ascii="Arial" w:hAnsi="Arial"/>
          <w:b/>
          <w:color w:val="00529B"/>
          <w:sz w:val="28"/>
        </w:rPr>
        <w:t>CHAPTER 1: INTRODUCTION</w:t>
      </w:r>
    </w:p>
    <w:p>
      <w:pPr>
        <w:keepNext/>
        <w:spacing w:before="280" w:after="80"/>
      </w:pPr>
      <w:r>
        <w:rPr>
          <w:rFonts w:ascii="Arial" w:hAnsi="Arial"/>
          <w:b/>
          <w:color w:val="1E293B"/>
          <w:sz w:val="25"/>
        </w:rPr>
        <w:t>1.1 Problem Identification and Industrial Mining Context</w:t>
      </w:r>
    </w:p>
    <w:p>
      <w:pPr>
        <w:spacing w:line="360" w:lineRule="auto" w:after="120"/>
        <w:jc w:val="both"/>
      </w:pPr>
      <w:r>
        <w:rPr>
          <w:rFonts w:ascii="Times New Roman" w:hAnsi="Times New Roman"/>
          <w:sz w:val="24"/>
        </w:rPr>
        <w:t>The mineral extraction industries of the African continent and the Russian Federation constitute indispensable backbones of global technological and industrial supply chains. From the deep-level gold reefs of the Ashanti and Witwatersrand belts in Ghana and South Africa to the strategic platinum, nickel, diamond, and rare-earth complexes of the Russian Urals and Siberia, modern mining operations are undergoing fundamental digital transformation. Colloquially termed 'Mining 4.0' or the 'Smart Subsoil' paradigm, mineral complexes are integrating hundreds of thousands of Industrial Internet of Things (IIoT) telemetry nodes, autonomous blast-hole drill rigs, automated load-haul-dump (LHD) vehicles, and Supervisory Control and Data Acquisition (SCADA) infrastructures into centralized digital twins (Alanazi et al., 2022; African Mining Market, 2024).</w:t>
      </w:r>
    </w:p>
    <w:p>
      <w:pPr>
        <w:spacing w:line="360" w:lineRule="auto" w:after="120"/>
        <w:jc w:val="both"/>
      </w:pPr>
      <w:r>
        <w:rPr>
          <w:rFonts w:ascii="Times New Roman" w:hAnsi="Times New Roman"/>
          <w:sz w:val="24"/>
        </w:rPr>
        <w:t>These cyber-physical architectures optimize ore recovery in semi-autogenous grinding (SAG) mills, regulate underground ventilation-on-demand grids, monitor tailings storage facility (TSF) pore pressures via vibrating wire piezometers, and minimize human exposure to hazardous underground environments. However, the rapid integration of enterprise Information Technology (IT) networks with Operational Technology (OT) control systems has introduced severe systemic cybersecurity vulnerabilities. Historically, industrial control networks operated in strict physical and logical isolation (air-gapped environments). The necessity for remote equipment diagnostics, real-time cloud production analytics, and third-party vendor telemetry links has largely dismantled these air gaps, exposing legacy industrial protocols (such as Modbus RTU/TCP, DNP3, Ethernet/IP, and OPC-UA) to hostile cyber threat actors (Kheddar et al., 2023).</w:t>
      </w:r>
    </w:p>
    <w:p>
      <w:pPr>
        <w:keepNext/>
        <w:spacing w:before="280" w:after="80"/>
      </w:pPr>
      <w:r>
        <w:rPr>
          <w:rFonts w:ascii="Arial" w:hAnsi="Arial"/>
          <w:b/>
          <w:color w:val="1E293B"/>
          <w:sz w:val="25"/>
        </w:rPr>
        <w:t>1.2 The Industrial Cyber-Physical Security Dilemma</w:t>
      </w:r>
    </w:p>
    <w:p>
      <w:pPr>
        <w:spacing w:line="360" w:lineRule="auto" w:after="120"/>
        <w:jc w:val="both"/>
      </w:pPr>
      <w:r>
        <w:rPr>
          <w:rFonts w:ascii="Times New Roman" w:hAnsi="Times New Roman"/>
          <w:sz w:val="24"/>
        </w:rPr>
        <w:t>Industrial operational technology networks govern physical machinery where cyber intrusions directly translate into physical kinetic consequences. In gold and base-metal processing facilities (such as those in the Tarkwa and Obuasi mining districts of Ghana), automated control loops regulate slurry density in hydrocyclone batteries, cyanide dosing in carbon-in-leach (CIL) tanks, and high-pressure water pumps for underground shaft dewatering. Unlike traditional enterprise IT environments where confidentiality is the primary objective, industrial mining environments enforce the AIC triad (Availability, Integrity, Confidentiality), placing the highest priority on physical human safety and continuous operational availability (Minerals Commission of Ghana, 2024).</w:t>
      </w:r>
    </w:p>
    <w:p>
      <w:pPr>
        <w:spacing w:line="360" w:lineRule="auto" w:after="120"/>
        <w:jc w:val="both"/>
      </w:pPr>
      <w:r>
        <w:rPr>
          <w:rFonts w:ascii="Times New Roman" w:hAnsi="Times New Roman"/>
          <w:sz w:val="24"/>
        </w:rPr>
        <w:t>Legacy industrial protocols lack native cryptographic authentication, message integrity checks, or encryption. A malicious entity gaining ingress into a substation Ethernet network can inject forged Modbus commands (e.g., forcing coil setpoints to override emergency cooling valves on a 15-megawatt SAG mill motor). Such disruptions cause catastrophic mechanical breakdown, severe environmental contamination from tailings dam breaches, or fatal underground asphyxiation from ventilation failure (Alanazi et al., 2022).</w:t>
      </w:r>
    </w:p>
    <w:p>
      <w:pPr>
        <w:keepNext/>
        <w:spacing w:before="280" w:after="80"/>
      </w:pPr>
      <w:r>
        <w:rPr>
          <w:rFonts w:ascii="Arial" w:hAnsi="Arial"/>
          <w:b/>
          <w:color w:val="1E293B"/>
          <w:sz w:val="25"/>
        </w:rPr>
        <w:t>1.3 Problem Statement</w:t>
      </w:r>
    </w:p>
    <w:p>
      <w:pPr>
        <w:spacing w:line="360" w:lineRule="auto" w:after="120"/>
        <w:jc w:val="both"/>
      </w:pPr>
      <w:r>
        <w:rPr>
          <w:rFonts w:ascii="Times New Roman" w:hAnsi="Times New Roman"/>
          <w:b/>
          <w:sz w:val="24"/>
        </w:rPr>
        <w:t xml:space="preserve">Core Industrial Deficiencies: </w:t>
      </w:r>
      <w:r>
        <w:rPr>
          <w:rFonts w:ascii="Times New Roman" w:hAnsi="Times New Roman"/>
          <w:sz w:val="24"/>
        </w:rPr>
        <w:t>Current intrusion detection methodologies deployed in industrial mineral processing facilities suffer from four critical architectural mismatches when deployed in real-world extraction environments:</w:t>
      </w:r>
    </w:p>
    <w:p>
      <w:pPr>
        <w:pStyle w:val="ListBullet"/>
        <w:spacing w:line="312" w:lineRule="auto" w:after="80"/>
      </w:pPr>
      <w:r>
        <w:rPr>
          <w:rFonts w:ascii="Times New Roman" w:hAnsi="Times New Roman"/>
          <w:b/>
          <w:sz w:val="24"/>
        </w:rPr>
        <w:t xml:space="preserve">Signature Limitations: </w:t>
      </w:r>
      <w:r>
        <w:rPr>
          <w:rFonts w:ascii="Times New Roman" w:hAnsi="Times New Roman"/>
          <w:sz w:val="24"/>
        </w:rPr>
        <w:t>1. Signature-Based Brittleness: Signature-based Intrusion Detection Systems (such as Snort and Suricata) rely on static pattern databases. In mining OT environments, sophisticated attackers manipulate valid protocol function codes (e.g., Modbus Function Code 05: Write Single Coil or Function Code 06: Write Single Register) to inject unauthorized commands that match valid packet syntax, bypassing static signature checks entirely (Alanazi et al., 2022).</w:t>
      </w:r>
    </w:p>
    <w:p>
      <w:pPr>
        <w:pStyle w:val="ListBullet"/>
        <w:spacing w:line="312" w:lineRule="auto" w:after="80"/>
      </w:pPr>
      <w:r>
        <w:rPr>
          <w:rFonts w:ascii="Times New Roman" w:hAnsi="Times New Roman"/>
          <w:b/>
          <w:sz w:val="24"/>
        </w:rPr>
        <w:t xml:space="preserve">IT Benchmark Mismatch: </w:t>
      </w:r>
      <w:r>
        <w:rPr>
          <w:rFonts w:ascii="Times New Roman" w:hAnsi="Times New Roman"/>
          <w:sz w:val="24"/>
        </w:rPr>
        <w:t>2. High Dimensionality and IT-Centric Bias: Anomaly-based Machine Learning and Deep Learning IDS are predominantly trained on legacy enterprise IT benchmarks (e.g., KDD Cup 99, NSL-KDD) characterized by 41 to 80+ network features. These models fail to reflect the deterministic polling frequencies, fixed sensor topologies, and physical process constraints of mining telemetry, resulting in excessive computational overhead and high false-positive rates (Oyedotun et al., 2025).</w:t>
      </w:r>
    </w:p>
    <w:p>
      <w:pPr>
        <w:pStyle w:val="ListBullet"/>
        <w:spacing w:line="312" w:lineRule="auto" w:after="80"/>
      </w:pPr>
      <w:r>
        <w:rPr>
          <w:rFonts w:ascii="Times New Roman" w:hAnsi="Times New Roman"/>
          <w:b/>
          <w:sz w:val="24"/>
        </w:rPr>
        <w:t xml:space="preserve">Latency Violations: </w:t>
      </w:r>
      <w:r>
        <w:rPr>
          <w:rFonts w:ascii="Times New Roman" w:hAnsi="Times New Roman"/>
          <w:sz w:val="24"/>
        </w:rPr>
        <w:t>3. Real-Time Latency Violations: Unoptimized deep learning architectures incur inference latencies exceeding 150 milliseconds per connection flow. In mining SCADA networks governing SAG mills, jaw crushers, and cyanide leaching circuits, programmable logic controllers (PLCs) execute cyclic scan loops every 20 to 50 milliseconds. A security tool requiring 150 ms creates buffer bloat and violates industrial control loop safety margins.</w:t>
      </w:r>
    </w:p>
    <w:p>
      <w:pPr>
        <w:pStyle w:val="ListBullet"/>
        <w:spacing w:line="312" w:lineRule="auto" w:after="80"/>
      </w:pPr>
      <w:r>
        <w:rPr>
          <w:rFonts w:ascii="Times New Roman" w:hAnsi="Times New Roman"/>
          <w:b/>
          <w:sz w:val="24"/>
        </w:rPr>
        <w:t xml:space="preserve">Edge Constraints: </w:t>
      </w:r>
      <w:r>
        <w:rPr>
          <w:rFonts w:ascii="Times New Roman" w:hAnsi="Times New Roman"/>
          <w:sz w:val="24"/>
        </w:rPr>
        <w:t>4. African Mining Edge Hardware Constraints: Remote African mining concessions (such as open-pit gold operations in the Western Region of Ghana or copper-cobalt mines in the Katanga basin) operate in harsh environmental conditions characterized by solar-powered sensor nodes, intermittent satellite backhaul, and low-cost edge gateways (e.g., 1GB RAM Raspberry Pi units). Heavyweight cloud-dependent security architectures are technically and economically unviable in these environments (IT-Online, 2026).</w:t>
      </w:r>
    </w:p>
    <w:p>
      <w:pPr>
        <w:keepNext/>
        <w:spacing w:before="280" w:after="80"/>
      </w:pPr>
      <w:r>
        <w:rPr>
          <w:rFonts w:ascii="Arial" w:hAnsi="Arial"/>
          <w:b/>
          <w:color w:val="1E293B"/>
          <w:sz w:val="25"/>
        </w:rPr>
        <w:t>1.4 Define Objectives of a Solution</w:t>
      </w:r>
    </w:p>
    <w:p>
      <w:pPr>
        <w:spacing w:line="360" w:lineRule="auto" w:after="120"/>
        <w:jc w:val="both"/>
      </w:pPr>
      <w:r>
        <w:rPr>
          <w:rFonts w:ascii="Times New Roman" w:hAnsi="Times New Roman"/>
          <w:sz w:val="24"/>
        </w:rPr>
        <w:t>Following the second stage of the Design Science Research methodology, this research establishes four quantitative engineering objectives for the developed artifact:</w:t>
      </w:r>
    </w:p>
    <w:p>
      <w:pPr>
        <w:pStyle w:val="ListBullet"/>
        <w:spacing w:line="312" w:lineRule="auto" w:after="80"/>
      </w:pPr>
      <w:r>
        <w:rPr>
          <w:rFonts w:ascii="Times New Roman" w:hAnsi="Times New Roman"/>
          <w:b/>
          <w:sz w:val="24"/>
        </w:rPr>
        <w:t xml:space="preserve">1. Feature Optimization: </w:t>
      </w:r>
      <w:r>
        <w:rPr>
          <w:rFonts w:ascii="Times New Roman" w:hAnsi="Times New Roman"/>
          <w:sz w:val="24"/>
        </w:rPr>
        <w:t>Objective 1 (Dimensionality Reduction): Design and implement a Binary Whale Optimization Algorithm (BWOA) with an explicit accuracy floor constraint to prune redundant network telemetry features by over 70% while preserving multi-class threat discrimination.</w:t>
      </w:r>
    </w:p>
    <w:p>
      <w:pPr>
        <w:pStyle w:val="ListBullet"/>
        <w:spacing w:line="312" w:lineRule="auto" w:after="80"/>
      </w:pPr>
      <w:r>
        <w:rPr>
          <w:rFonts w:ascii="Times New Roman" w:hAnsi="Times New Roman"/>
          <w:b/>
          <w:sz w:val="24"/>
        </w:rPr>
        <w:t xml:space="preserve">2. Neural Architecture: </w:t>
      </w:r>
      <w:r>
        <w:rPr>
          <w:rFonts w:ascii="Times New Roman" w:hAnsi="Times New Roman"/>
          <w:sz w:val="24"/>
        </w:rPr>
        <w:t>Objective 2 (Hybrid Neural Classification): Construct a spatial-temporal deep learning classifier combining 1D Convolutional Neural Networks (Conv1D) for packet-level spatial representation and Long Short-Term Memory (LSTM) networks for sequential connection state tracking.</w:t>
      </w:r>
    </w:p>
    <w:p>
      <w:pPr>
        <w:pStyle w:val="ListBullet"/>
        <w:spacing w:line="312" w:lineRule="auto" w:after="80"/>
      </w:pPr>
      <w:r>
        <w:rPr>
          <w:rFonts w:ascii="Times New Roman" w:hAnsi="Times New Roman"/>
          <w:b/>
          <w:sz w:val="24"/>
        </w:rPr>
        <w:t xml:space="preserve">3. Edge Quantization: </w:t>
      </w:r>
      <w:r>
        <w:rPr>
          <w:rFonts w:ascii="Times New Roman" w:hAnsi="Times New Roman"/>
          <w:sz w:val="24"/>
        </w:rPr>
        <w:t>Objective 3 (Edge Quantization &amp; Latency): Develop a post-training Float16 quantization pipeline to compress model memory size below 1.0 MB and achieve sub-millisecond (&lt;1.0 ms) inference latency on 1GB RAM ARM edge hardware.</w:t>
      </w:r>
    </w:p>
    <w:p>
      <w:pPr>
        <w:pStyle w:val="ListBullet"/>
        <w:spacing w:line="312" w:lineRule="auto" w:after="80"/>
      </w:pPr>
      <w:r>
        <w:rPr>
          <w:rFonts w:ascii="Times New Roman" w:hAnsi="Times New Roman"/>
          <w:b/>
          <w:sz w:val="24"/>
        </w:rPr>
        <w:t xml:space="preserve">4. Empirical Validation: </w:t>
      </w:r>
      <w:r>
        <w:rPr>
          <w:rFonts w:ascii="Times New Roman" w:hAnsi="Times New Roman"/>
          <w:sz w:val="24"/>
        </w:rPr>
        <w:t>Objective 4 (Empirical Validation &amp; Transfer Learning): Empirically evaluate the framework across the NSL-KDD benchmark and the SWaT industrial SCADA dataset, validating operational suitability for mineral resource operations.</w:t>
      </w:r>
    </w:p>
    <w:p>
      <w:pPr>
        <w:keepNext/>
        <w:spacing w:before="280" w:after="80"/>
      </w:pPr>
      <w:r>
        <w:rPr>
          <w:rFonts w:ascii="Arial" w:hAnsi="Arial"/>
          <w:b/>
          <w:color w:val="1E293B"/>
          <w:sz w:val="25"/>
        </w:rPr>
        <w:t>1.5 Scope and Socio-Economic Significance</w:t>
      </w:r>
    </w:p>
    <w:p>
      <w:pPr>
        <w:spacing w:line="360" w:lineRule="auto" w:after="120"/>
        <w:jc w:val="both"/>
      </w:pPr>
      <w:r>
        <w:rPr>
          <w:rFonts w:ascii="Times New Roman" w:hAnsi="Times New Roman"/>
          <w:sz w:val="24"/>
        </w:rPr>
        <w:t>The practical and economic significance of this research directly addresses the United Nations Sustainable Development Goals (UN SDGs), specifically SDG 9 (Industry, Innovation, and Infrastructure), SDG 8 (Decent Work and Economic Growth), and SDG 17 (Partnerships for the Goals):</w:t>
      </w:r>
    </w:p>
    <w:p>
      <w:pPr>
        <w:pStyle w:val="ListBullet"/>
        <w:spacing w:line="312" w:lineRule="auto" w:after="80"/>
      </w:pPr>
      <w:r>
        <w:rPr>
          <w:rFonts w:ascii="Times New Roman" w:hAnsi="Times New Roman"/>
          <w:b/>
          <w:sz w:val="24"/>
        </w:rPr>
        <w:t xml:space="preserve">Economic ROI: </w:t>
      </w:r>
      <w:r>
        <w:rPr>
          <w:rFonts w:ascii="Times New Roman" w:hAnsi="Times New Roman"/>
          <w:sz w:val="24"/>
        </w:rPr>
        <w:t>Financial Risk Mitigation: Unplanned industrial downtime in mineral processing complexes costs between USD $50,000 and $500,000 per hour in deferred production and equipment damage (IT-Online, 2026). Protecting critical milling, flotation, and smelting circuits against ransomware delivers an estimated return on investment (ROI) exceeding 200x.</w:t>
      </w:r>
    </w:p>
    <w:p>
      <w:pPr>
        <w:pStyle w:val="ListBullet"/>
        <w:spacing w:line="312" w:lineRule="auto" w:after="80"/>
      </w:pPr>
      <w:r>
        <w:rPr>
          <w:rFonts w:ascii="Times New Roman" w:hAnsi="Times New Roman"/>
          <w:b/>
          <w:sz w:val="24"/>
        </w:rPr>
        <w:t xml:space="preserve">Human Safety: </w:t>
      </w:r>
      <w:r>
        <w:rPr>
          <w:rFonts w:ascii="Times New Roman" w:hAnsi="Times New Roman"/>
          <w:sz w:val="24"/>
        </w:rPr>
        <w:t>Worker Safety &amp; Life Preservation: Cyber-physical manipulation of underground mine ventilation grids, toxic gas scrubbers, or dewatering pumps represents an immediate existential threat to human life. Intercepting attacks in real time prevents catastrophic workplace disasters.</w:t>
      </w:r>
    </w:p>
    <w:p>
      <w:pPr>
        <w:pStyle w:val="ListBullet"/>
        <w:spacing w:line="312" w:lineRule="auto" w:after="80"/>
      </w:pPr>
      <w:r>
        <w:rPr>
          <w:rFonts w:ascii="Times New Roman" w:hAnsi="Times New Roman"/>
          <w:b/>
          <w:sz w:val="24"/>
        </w:rPr>
        <w:t xml:space="preserve">UNESCO Alignment: </w:t>
      </w:r>
      <w:r>
        <w:rPr>
          <w:rFonts w:ascii="Times New Roman" w:hAnsi="Times New Roman"/>
          <w:sz w:val="24"/>
        </w:rPr>
        <w:t>Bilateral Scientific Collaboration: Presented at the Russian-African Forum of Young Scientists at Empress Catherine II Saint Petersburg Mining University, this project fosters collaborative knowledge exchange, open-source technology transfer, and local technical capacity building across African mining institutions.</w:t>
      </w:r>
    </w:p>
    <w:p>
      <w:pPr>
        <w:keepNext/>
        <w:spacing w:before="280" w:after="80"/>
      </w:pPr>
      <w:r>
        <w:rPr>
          <w:rFonts w:ascii="Arial" w:hAnsi="Arial"/>
          <w:b/>
          <w:color w:val="1E293B"/>
          <w:sz w:val="25"/>
        </w:rPr>
        <w:t>1.6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CORE RESEARCH QUESTIONS (RQ)</w:t>
              <w:br/>
            </w:r>
            <w:r>
              <w:rPr>
                <w:rFonts w:ascii="Times New Roman" w:hAnsi="Times New Roman"/>
                <w:color w:val="1E293B"/>
                <w:sz w:val="22"/>
              </w:rPr>
              <w:t>RQ1: How can metaheuristic feature optimization (BWOA) be mathematically adapted to select a minimal sufficient network feature subset that satisfies industrial real-time constraints without degrading minority attack classification accuracy?</w:t>
              <w:br/>
              <w:br/>
              <w:t>RQ2: What neural layer configurations and quantization strategies enable spatial-temporal deep learning models (CNN-LSTM) to achieve sub-millisecond inference execution on resource-constrained 1GB RAM edge hardware?</w:t>
              <w:br/>
              <w:br/>
              <w:t>RQ3: How does the proposed BWOA + CNN-LSTM edge framework compare against traditional signature-based and full-feature deep learning IDS solutions in terms of classification accuracy, false-alarm rates, latency, memory footprint, and economic deployment viability?</w:t>
            </w:r>
          </w:p>
        </w:tc>
      </w:tr>
    </w:tbl>
    <w:p>
      <w:pPr>
        <w:spacing w:after="80"/>
      </w:pPr>
    </w:p>
    <w:p>
      <w:pPr>
        <w:keepNext/>
        <w:spacing w:before="360" w:after="120"/>
      </w:pPr>
      <w:r>
        <w:rPr>
          <w:rFonts w:ascii="Arial" w:hAnsi="Arial"/>
          <w:b/>
          <w:color w:val="00529B"/>
          <w:sz w:val="28"/>
        </w:rPr>
        <w:t>CHAPTER 2: LITERATURE REVIEW &amp; TECHNOLOGICAL FOUNDATIONS</w:t>
      </w:r>
    </w:p>
    <w:p>
      <w:pPr>
        <w:keepNext/>
        <w:spacing w:before="280" w:after="80"/>
      </w:pPr>
      <w:r>
        <w:rPr>
          <w:rFonts w:ascii="Arial" w:hAnsi="Arial"/>
          <w:b/>
          <w:color w:val="1E293B"/>
          <w:sz w:val="25"/>
        </w:rPr>
        <w:t>2.1 Analysis of Existing Intrusion Detection Systems</w:t>
      </w:r>
    </w:p>
    <w:p>
      <w:pPr>
        <w:spacing w:line="360" w:lineRule="auto" w:after="120"/>
        <w:jc w:val="both"/>
      </w:pPr>
      <w:r>
        <w:rPr>
          <w:rFonts w:ascii="Times New Roman" w:hAnsi="Times New Roman"/>
          <w:sz w:val="24"/>
        </w:rPr>
        <w:t>In accordance with DSR literature review standards (Hevner et al., 2004), existing software solutions and academic approaches for intrusion detection in industrial control and SCADA environments were systematically analyzed to identify features, strengths, and weaknesses.</w:t>
      </w:r>
    </w:p>
    <w:p>
      <w:pPr>
        <w:spacing w:line="360" w:lineRule="auto" w:after="120"/>
        <w:jc w:val="both"/>
      </w:pPr>
      <w:r>
        <w:rPr>
          <w:rFonts w:ascii="Times New Roman" w:hAnsi="Times New Roman"/>
          <w:sz w:val="24"/>
        </w:rPr>
        <w:t>Signature-based systems (e.g., Snort, Suricata, Zeek) evaluate packet headers and application payloads against deterministic rule sets. While computationally efficient on general-purpose servers, signature engines cannot detect zero-day exploits and generate false negatives when malicious Modbus or DNP3 commands utilize legitimate protocol formatting. Furthermore, maintaining rule databases in remote, air-gapped or intermittently connected mining sites is logistically challenging (Alanazi et al., 2022).</w:t>
      </w:r>
    </w:p>
    <w:p>
      <w:pPr>
        <w:spacing w:line="360" w:lineRule="auto" w:after="120"/>
        <w:jc w:val="both"/>
      </w:pPr>
      <w:r>
        <w:rPr>
          <w:rFonts w:ascii="Times New Roman" w:hAnsi="Times New Roman"/>
          <w:sz w:val="24"/>
        </w:rPr>
        <w:t>Anomaly-based Machine Learning models (such as Support Vector Machines, Random Forests, and Multi-Layer Perceptrons) build statistical profiles of benign network behavior and flag statistical deviations (Oyedotun et al., 2025). While capable of identifying unknown traffic patterns, generic ML algorithms suffer from severe feature redundancy when fed high-dimensional flow statistics (e.g., 41 NSL-KDD features or 80+ CICFlowMeter features), resulting in prolonged inference delays and high false-positive rates that disrupt mission-critical SCADA operations.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IDS System / Paradigm</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Key Features &amp; Capabilities</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System Strengths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System Weaknesses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OT Suitability</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Snort / Suricata (Signature)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Rule matching, PCAP parsing, protocol decoders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Deterministic, low CPU on known patterns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Zero recall on zero-day attacks; misses semantic Modbus injection</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Low (Unsuited for dynamic OT)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Random Forest (Generic ML)</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Decision tree ensemble, 41 input features</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High accuracy on static IT data</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High memory footprint, redundant feature bloat, 48ms latency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Medium (Excessive feature set)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Full CNN-LSTM Baseline</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Conv1D spatial + LSTM temporal layers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Captures sequence patterns, 77.7% accuracy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Severe 157.66ms latency; exceeds 100ms SCADA control loop limit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Unacceptable (Violates real-time)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BWOA + CNN-LSTM (Ours)</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10 BWOA features, Float16 TFLite quantization</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0.76ms latency, 0.82MB size, 96.9% benign precision</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Minority class recall on extreme imbalance requires transfer tuning</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High (Production Edge Ready)</w:t>
            </w:r>
          </w:p>
        </w:tc>
      </w:tr>
    </w:tbl>
    <w:p>
      <w:pPr>
        <w:spacing w:after="120"/>
      </w:pPr>
    </w:p>
    <w:p>
      <w:pPr>
        <w:keepNext/>
        <w:spacing w:before="280" w:after="80"/>
      </w:pPr>
      <w:r>
        <w:rPr>
          <w:rFonts w:ascii="Arial" w:hAnsi="Arial"/>
          <w:b/>
          <w:color w:val="1E293B"/>
          <w:sz w:val="25"/>
        </w:rPr>
        <w:t>2.2 Relevant Technologies, Frameworks, and Tools Review</w:t>
      </w:r>
    </w:p>
    <w:p>
      <w:pPr>
        <w:spacing w:line="360" w:lineRule="auto" w:after="120"/>
        <w:jc w:val="both"/>
      </w:pPr>
      <w:r>
        <w:rPr>
          <w:rFonts w:ascii="Times New Roman" w:hAnsi="Times New Roman"/>
          <w:sz w:val="24"/>
        </w:rPr>
        <w:t>The development of modern industrial edge intrusion detection relies on a mature ecosystem of open-source frameworks, programming environments, and hardware platforms:</w:t>
      </w:r>
    </w:p>
    <w:p>
      <w:pPr>
        <w:pStyle w:val="ListBullet"/>
        <w:spacing w:line="312" w:lineRule="auto" w:after="80"/>
      </w:pPr>
      <w:r>
        <w:rPr>
          <w:rFonts w:ascii="Times New Roman" w:hAnsi="Times New Roman"/>
          <w:b/>
          <w:sz w:val="24"/>
        </w:rPr>
        <w:t xml:space="preserve">Deep Learning Engine: </w:t>
      </w:r>
      <w:r>
        <w:rPr>
          <w:rFonts w:ascii="Times New Roman" w:hAnsi="Times New Roman"/>
          <w:sz w:val="24"/>
        </w:rPr>
        <w:t>TensorFlow 2.15 &amp; TensorFlow Lite: Industry-standard deep learning framework providing robust support for 1D convolutions, recurrent layers, and post-training Float16/Int8 quantization for ARM architectures.</w:t>
      </w:r>
    </w:p>
    <w:p>
      <w:pPr>
        <w:pStyle w:val="ListBullet"/>
        <w:spacing w:line="312" w:lineRule="auto" w:after="80"/>
      </w:pPr>
      <w:r>
        <w:rPr>
          <w:rFonts w:ascii="Times New Roman" w:hAnsi="Times New Roman"/>
          <w:b/>
          <w:sz w:val="24"/>
        </w:rPr>
        <w:t xml:space="preserve">Edge Sniffing Agent: </w:t>
      </w:r>
      <w:r>
        <w:rPr>
          <w:rFonts w:ascii="Times New Roman" w:hAnsi="Times New Roman"/>
          <w:sz w:val="24"/>
        </w:rPr>
        <w:t>Node.js (v20) &amp; Libpcap: High-throughput asynchronous runtime enabling non-blocking raw packet capture and extraction of connection metrics from network interfaces at line speed.</w:t>
      </w:r>
    </w:p>
    <w:p>
      <w:pPr>
        <w:pStyle w:val="ListBullet"/>
        <w:spacing w:line="312" w:lineRule="auto" w:after="80"/>
      </w:pPr>
      <w:r>
        <w:rPr>
          <w:rFonts w:ascii="Times New Roman" w:hAnsi="Times New Roman"/>
          <w:b/>
          <w:sz w:val="24"/>
        </w:rPr>
        <w:t xml:space="preserve">Inference Server: </w:t>
      </w:r>
      <w:r>
        <w:rPr>
          <w:rFonts w:ascii="Times New Roman" w:hAnsi="Times New Roman"/>
          <w:sz w:val="24"/>
        </w:rPr>
        <w:t>FastAPI Microservice: High-performance Python ASGI web framework providing asynchronous endpoints for sub-millisecond JSON payload ingestion and thread-safe TFLite inference.</w:t>
      </w:r>
    </w:p>
    <w:p>
      <w:pPr>
        <w:pStyle w:val="ListBullet"/>
        <w:spacing w:line="312" w:lineRule="auto" w:after="80"/>
      </w:pPr>
      <w:r>
        <w:rPr>
          <w:rFonts w:ascii="Times New Roman" w:hAnsi="Times New Roman"/>
          <w:b/>
          <w:sz w:val="24"/>
        </w:rPr>
        <w:t xml:space="preserve">Target Edge Gateway: </w:t>
      </w:r>
      <w:r>
        <w:rPr>
          <w:rFonts w:ascii="Times New Roman" w:hAnsi="Times New Roman"/>
          <w:sz w:val="24"/>
        </w:rPr>
        <w:t>Raspberry Pi 4 Model B: Quad-core ARM Cortex-A72 @ 1.5GHz single-board computer representing the target low-power, 1GB RAM industrial edge gateway deployed in mining concessions.</w:t>
      </w:r>
    </w:p>
    <w:p>
      <w:pPr>
        <w:pStyle w:val="ListBullet"/>
        <w:spacing w:line="312" w:lineRule="auto" w:after="80"/>
      </w:pPr>
      <w:r>
        <w:rPr>
          <w:rFonts w:ascii="Times New Roman" w:hAnsi="Times New Roman"/>
          <w:b/>
          <w:sz w:val="24"/>
        </w:rPr>
        <w:t xml:space="preserve">Persistence Layer: </w:t>
      </w:r>
      <w:r>
        <w:rPr>
          <w:rFonts w:ascii="Times New Roman" w:hAnsi="Times New Roman"/>
          <w:sz w:val="24"/>
        </w:rPr>
        <w:t>PostgreSQL &amp; SQLite: Relational database engines supporting multi-tenant telemetry indexing and immutable incident audit logs.</w:t>
      </w:r>
    </w:p>
    <w:p>
      <w:pPr>
        <w:keepNext/>
        <w:spacing w:before="280" w:after="80"/>
      </w:pPr>
      <w:r>
        <w:rPr>
          <w:rFonts w:ascii="Arial" w:hAnsi="Arial"/>
          <w:b/>
          <w:color w:val="1E293B"/>
          <w:sz w:val="25"/>
        </w:rPr>
        <w:t>2.3 Metaheuristic Feature Optimization and the Whale Optimization Algorithm</w:t>
      </w:r>
    </w:p>
    <w:p>
      <w:pPr>
        <w:spacing w:line="360" w:lineRule="auto" w:after="120"/>
        <w:jc w:val="both"/>
      </w:pPr>
      <w:r>
        <w:rPr>
          <w:rFonts w:ascii="Times New Roman" w:hAnsi="Times New Roman"/>
          <w:sz w:val="24"/>
        </w:rPr>
        <w:t>Metaheuristic algorithms have emerged as powerful techniques for high-dimensional feature selection, avoiding local optima that trap traditional gradient-based search algorithms. The Whale Optimization Algorithm (WOA), introduced by Mirjalili and Lewis (2016), models the social foraging behavior of humpback whales (*Megaptera novaeangliae*). WOA mathematically balances exploration (random global search) and exploitation (bubble-net spiral foraging) via adaptive coefficient vectors.</w:t>
      </w:r>
    </w:p>
    <w:p>
      <w:pPr>
        <w:spacing w:line="360" w:lineRule="auto" w:after="120"/>
        <w:jc w:val="both"/>
      </w:pPr>
      <w:r>
        <w:rPr>
          <w:rFonts w:ascii="Times New Roman" w:hAnsi="Times New Roman"/>
          <w:sz w:val="24"/>
        </w:rPr>
        <w:t>To adapt continuous WOA to discrete binary feature spaces, Binary Whale Optimization (BWOA) maps continuous positional velocities to discrete bit-flipping probabilities using transfer functions (Krishnaveni et al., 2025; Anand &amp; Arul, 2024). In this research, BWOA is formulated with a V-shaped transfer function and a constrained multi-objective fitness function that enforces an accuracy floor, ensuring that aggressive dimensionality reduction does not collapse classification accuracy on safety-critical attack classes.</w:t>
      </w:r>
    </w:p>
    <w:p>
      <w:pPr>
        <w:keepNext/>
        <w:spacing w:before="280" w:after="80"/>
      </w:pPr>
      <w:r>
        <w:rPr>
          <w:rFonts w:ascii="Arial" w:hAnsi="Arial"/>
          <w:b/>
          <w:color w:val="1E293B"/>
          <w:sz w:val="25"/>
        </w:rPr>
        <w:t>2.4 Deep Learning and Transfer Learning for Industrial IoT</w:t>
      </w:r>
    </w:p>
    <w:p>
      <w:pPr>
        <w:spacing w:line="360" w:lineRule="auto" w:after="120"/>
        <w:jc w:val="both"/>
      </w:pPr>
      <w:r>
        <w:rPr>
          <w:rFonts w:ascii="Times New Roman" w:hAnsi="Times New Roman"/>
          <w:sz w:val="24"/>
        </w:rPr>
        <w:t>Recent literature confirms that hybrid deep learning models outperform monolithic neural networks in cyber-physical security (Almomani et al., 2025). 1D Convolutional Neural Networks (Conv1D) extract localized spatial patterns and inter-feature dependencies across normalized flow attributes. Concurrently, Recurrent Neural Networks equipped with Long Short-Term Memory (LSTM) cells capture long-term temporal dependencies and connection state transitions across sequential polling intervals.</w:t>
      </w:r>
    </w:p>
    <w:p>
      <w:pPr>
        <w:spacing w:line="360" w:lineRule="auto" w:after="120"/>
        <w:jc w:val="both"/>
      </w:pPr>
      <w:r>
        <w:rPr>
          <w:rFonts w:ascii="Times New Roman" w:hAnsi="Times New Roman"/>
          <w:sz w:val="24"/>
        </w:rPr>
        <w:t>In industrial operational technology, labeled attack data is exceptionally scarce due to safety restrictions and proprietary confidentiality. Transfer learning provides a proven methodology: models pre-trained on large-scale network benchmarks (NSL-KDD) can transfer generalized spatial feature extraction representations to target industrial datasets (e.g., SWaT, BATADAL, custom Modbus logs), fine-tuning only the recurrent sequence and classification layers (Kheddar et al., 2023).</w:t>
      </w:r>
    </w:p>
    <w:p>
      <w:pPr>
        <w:keepNext/>
        <w:spacing w:before="280" w:after="80"/>
      </w:pPr>
      <w:r>
        <w:rPr>
          <w:rFonts w:ascii="Arial" w:hAnsi="Arial"/>
          <w:b/>
          <w:color w:val="1E293B"/>
          <w:sz w:val="25"/>
        </w:rPr>
        <w:t>2.5 African Mining Digitalization and Policy Context</w:t>
      </w:r>
    </w:p>
    <w:p>
      <w:pPr>
        <w:spacing w:line="360" w:lineRule="auto" w:after="120"/>
        <w:jc w:val="both"/>
      </w:pPr>
      <w:r>
        <w:rPr>
          <w:rFonts w:ascii="Times New Roman" w:hAnsi="Times New Roman"/>
          <w:sz w:val="24"/>
        </w:rPr>
        <w:t>Across major African mineral producing nations, such as Ghana (gold, bauxite, manganese), South Africa (platinum, gold, coal), and the Democratic Republic of Congo (copper, cobalt), mining operators are aggressively deploying digital telemetry. The Minerals Commission of Ghana has instituted regulatory frameworks mandating digital production tracking, automated explosive magazine monitoring, and environmental telemetry reporting across large-scale concessions (Minerals Commission of Ghana, 2024).</w:t>
      </w:r>
    </w:p>
    <w:p>
      <w:pPr>
        <w:spacing w:line="360" w:lineRule="auto" w:after="120"/>
        <w:jc w:val="both"/>
      </w:pPr>
      <w:r>
        <w:rPr>
          <w:rFonts w:ascii="Times New Roman" w:hAnsi="Times New Roman"/>
          <w:sz w:val="24"/>
        </w:rPr>
        <w:t>However, industrial cybersecurity investments have lagged behind digital instrumentation. Remote substations, conveyor drives, and tailings dams frequently operate over unencrypted wireless bridges. A targeted cyber-physical attack modifying PLC setpoints can induce catastrophic tailings dam overtopping or chemical pump failures, causing irreparable environmental and human devastation (African Mining Market, 2024; IT-Online, 2026).</w:t>
      </w:r>
    </w:p>
    <w:p>
      <w:pPr>
        <w:keepNext/>
        <w:spacing w:before="280" w:after="80"/>
      </w:pPr>
      <w:r>
        <w:rPr>
          <w:rFonts w:ascii="Arial" w:hAnsi="Arial"/>
          <w:b/>
          <w:color w:val="1E293B"/>
          <w:sz w:val="25"/>
        </w:rPr>
        <w:t>2.6 Research Gap Summary</w:t>
      </w:r>
    </w:p>
    <w:p>
      <w:pPr>
        <w:spacing w:line="360" w:lineRule="auto" w:after="120"/>
        <w:jc w:val="both"/>
      </w:pPr>
      <w:r>
        <w:rPr>
          <w:rFonts w:ascii="Times New Roman" w:hAnsi="Times New Roman"/>
          <w:sz w:val="24"/>
        </w:rPr>
        <w:t>Despite expanding academic literature on deep learning intrusion detection, no prior work combines metaheuristic feature optimization (BWOA) with a spatial-temporal hybrid classifier (CNN-LSTM) specifically designed, quantized, and empirically validated for the low-power, intermittent-connectivity, and sub-100ms real-time constraints of African mineral extraction operations. This research directly bridges that gap.</w:t>
      </w:r>
    </w:p>
    <w:p>
      <w:pPr>
        <w:keepNext/>
        <w:spacing w:before="360" w:after="120"/>
      </w:pPr>
      <w:r>
        <w:rPr>
          <w:rFonts w:ascii="Arial" w:hAnsi="Arial"/>
          <w:b/>
          <w:color w:val="00529B"/>
          <w:sz w:val="28"/>
        </w:rPr>
        <w:t>CHAPTER 3: RESEARCH METHODOLOGY</w:t>
      </w:r>
    </w:p>
    <w:p>
      <w:pPr>
        <w:keepNext/>
        <w:spacing w:before="280" w:after="80"/>
      </w:pPr>
      <w:r>
        <w:rPr>
          <w:rFonts w:ascii="Arial" w:hAnsi="Arial"/>
          <w:b/>
          <w:color w:val="1E293B"/>
          <w:sz w:val="25"/>
        </w:rPr>
        <w:t>3.1 Design Science Research (DSR) Framework</w:t>
      </w:r>
    </w:p>
    <w:p>
      <w:pPr>
        <w:spacing w:line="360" w:lineRule="auto" w:after="120"/>
        <w:jc w:val="both"/>
      </w:pPr>
      <w:r>
        <w:rPr>
          <w:rFonts w:ascii="Times New Roman" w:hAnsi="Times New Roman"/>
          <w:sz w:val="24"/>
        </w:rPr>
        <w:t>This investigation is grounded in the Design Science Research (DSR) paradigm as formulated by Hevner et al. (2004) and Peffers et al. (2007). DSR emphasizes the iterative construction and empirical evaluation of innovative technological artifacts designed to solve real-world industrial problems.</w:t>
      </w:r>
    </w:p>
    <w:p>
      <w:pPr>
        <w:spacing w:before="160" w:after="40"/>
        <w:jc w:val="center"/>
      </w:pPr>
      <w:r>
        <w:drawing>
          <wp:inline xmlns:a="http://schemas.openxmlformats.org/drawingml/2006/main" xmlns:pic="http://schemas.openxmlformats.org/drawingml/2006/picture">
            <wp:extent cx="5669280" cy="2334409"/>
            <wp:docPr id="1" name="Picture 1"/>
            <wp:cNvGraphicFramePr>
              <a:graphicFrameLocks noChangeAspect="1"/>
            </wp:cNvGraphicFramePr>
            <a:graphic>
              <a:graphicData uri="http://schemas.openxmlformats.org/drawingml/2006/picture">
                <pic:pic>
                  <pic:nvPicPr>
                    <pic:cNvPr id="0" name="dsr_framework.png"/>
                    <pic:cNvPicPr/>
                  </pic:nvPicPr>
                  <pic:blipFill>
                    <a:blip r:embed="rId9"/>
                    <a:stretch>
                      <a:fillRect/>
                    </a:stretch>
                  </pic:blipFill>
                  <pic:spPr>
                    <a:xfrm>
                      <a:off x="0" y="0"/>
                      <a:ext cx="5669280" cy="2334409"/>
                    </a:xfrm>
                    <a:prstGeom prst="rect"/>
                  </pic:spPr>
                </pic:pic>
              </a:graphicData>
            </a:graphic>
          </wp:inline>
        </w:drawing>
      </w:r>
    </w:p>
    <w:p>
      <w:pPr>
        <w:spacing w:after="200"/>
        <w:jc w:val="center"/>
      </w:pPr>
      <w:r>
        <w:rPr>
          <w:rFonts w:ascii="Times New Roman" w:hAnsi="Times New Roman"/>
          <w:i/>
          <w:color w:val="64748B"/>
          <w:sz w:val="20"/>
        </w:rPr>
        <w:t>Figure 3.1: Six-Stage Design Science Research Process Framework</w:t>
      </w:r>
    </w:p>
    <w:p>
      <w:pPr>
        <w:spacing w:line="360" w:lineRule="auto" w:after="120"/>
        <w:jc w:val="both"/>
      </w:pPr>
      <w:r>
        <w:rPr>
          <w:rFonts w:ascii="Times New Roman" w:hAnsi="Times New Roman"/>
          <w:sz w:val="24"/>
        </w:rPr>
        <w:t>The research lifecycle executes across six systematic stages:</w:t>
        <w:br/>
        <w:t>1. Problem Identification: Quantify the cybersecurity vulnerability gap in mineral resource SCADA networks.</w:t>
        <w:br/>
        <w:t>2. Define Objectives: Establish engineering targets: &lt; 1.0 ms latency, &lt; 1.0 MB model size, and 1GB RAM edge support.</w:t>
        <w:br/>
        <w:t>3. Design and Development: Formulate BWOA feature selection, hybrid Conv1D-LSTM architecture, and Float16 quantization.</w:t>
        <w:br/>
        <w:t>4. Demonstration: Package the solution into a global CLI sniffer agent (@mhiskall282/unesco-mine-sec-cli) and deploy on Raspberry Pi 4B edge hardware.</w:t>
        <w:br/>
        <w:t>5. Empirical Evaluation: Benchmark multi-class accuracy, F1-score, latency profiles, and conduct User Acceptance Testing (UAT).</w:t>
        <w:br/>
        <w:t>6. Scholarly Communication: Disseminate findings, technical specifications, and open-source artifacts at the UNESCO Russian-African Forum 2026.</w:t>
      </w:r>
    </w:p>
    <w:p>
      <w:pPr>
        <w:keepNext/>
        <w:spacing w:before="280" w:after="80"/>
      </w:pPr>
      <w:r>
        <w:rPr>
          <w:rFonts w:ascii="Arial" w:hAnsi="Arial"/>
          <w:b/>
          <w:color w:val="1E293B"/>
          <w:sz w:val="25"/>
        </w:rPr>
        <w:t>3.2 Requirements Gathering Methods</w:t>
      </w:r>
    </w:p>
    <w:p>
      <w:pPr>
        <w:spacing w:line="360" w:lineRule="auto" w:after="120"/>
        <w:jc w:val="both"/>
      </w:pPr>
      <w:r>
        <w:rPr>
          <w:rFonts w:ascii="Times New Roman" w:hAnsi="Times New Roman"/>
          <w:sz w:val="24"/>
        </w:rPr>
        <w:t>In accordance with DSR guidelines, requirements gathering utilized a triangulated multi-method approach combining four distinct techniques:</w:t>
      </w:r>
    </w:p>
    <w:p>
      <w:pPr>
        <w:pStyle w:val="ListBullet"/>
        <w:spacing w:line="312" w:lineRule="auto" w:after="80"/>
      </w:pPr>
      <w:r>
        <w:rPr>
          <w:rFonts w:ascii="Times New Roman" w:hAnsi="Times New Roman"/>
          <w:b/>
          <w:sz w:val="24"/>
        </w:rPr>
        <w:t xml:space="preserve">Interviews: </w:t>
      </w:r>
      <w:r>
        <w:rPr>
          <w:rFonts w:ascii="Times New Roman" w:hAnsi="Times New Roman"/>
          <w:sz w:val="24"/>
        </w:rPr>
        <w:t>1. Semi-Structured Practitioner Interviews: Conducted in-depth interviews with 3 senior industrial cybersecurity analysts and 2 mining OT automation engineers from Ghanaian extraction operations, focusing on SCADA polling intervals, acceptable false-alarm thresholds, and edge hardware realities.</w:t>
      </w:r>
    </w:p>
    <w:p>
      <w:pPr>
        <w:pStyle w:val="ListBullet"/>
        <w:spacing w:line="312" w:lineRule="auto" w:after="80"/>
      </w:pPr>
      <w:r>
        <w:rPr>
          <w:rFonts w:ascii="Times New Roman" w:hAnsi="Times New Roman"/>
          <w:b/>
          <w:sz w:val="24"/>
        </w:rPr>
        <w:t xml:space="preserve">Observation: </w:t>
      </w:r>
      <w:r>
        <w:rPr>
          <w:rFonts w:ascii="Times New Roman" w:hAnsi="Times New Roman"/>
          <w:sz w:val="24"/>
        </w:rPr>
        <w:t>2. Direct Operational Observation: Analyzed telemetry logs and PLC cyclic execution behavior in simulated mineral processing and water distribution testbeds (SWaT and BATADAL), quantifying normal baseline traffic characteristics.</w:t>
      </w:r>
    </w:p>
    <w:p>
      <w:pPr>
        <w:pStyle w:val="ListBullet"/>
        <w:spacing w:line="312" w:lineRule="auto" w:after="80"/>
      </w:pPr>
      <w:r>
        <w:rPr>
          <w:rFonts w:ascii="Times New Roman" w:hAnsi="Times New Roman"/>
          <w:b/>
          <w:sz w:val="24"/>
        </w:rPr>
        <w:t xml:space="preserve">Questionnaires: </w:t>
      </w:r>
      <w:r>
        <w:rPr>
          <w:rFonts w:ascii="Times New Roman" w:hAnsi="Times New Roman"/>
          <w:sz w:val="24"/>
        </w:rPr>
        <w:t>3. Structured Questionnaires: Administered structured Likert-scale questionnaires to industrial domain specialists to rank the criticality of human-readable alert labels, confidence metrics, and rapid local deployment.</w:t>
      </w:r>
    </w:p>
    <w:p>
      <w:pPr>
        <w:pStyle w:val="ListBullet"/>
        <w:spacing w:line="312" w:lineRule="auto" w:after="80"/>
      </w:pPr>
      <w:r>
        <w:rPr>
          <w:rFonts w:ascii="Times New Roman" w:hAnsi="Times New Roman"/>
          <w:b/>
          <w:sz w:val="24"/>
        </w:rPr>
        <w:t xml:space="preserve">Document Analysis: </w:t>
      </w:r>
      <w:r>
        <w:rPr>
          <w:rFonts w:ascii="Times New Roman" w:hAnsi="Times New Roman"/>
          <w:sz w:val="24"/>
        </w:rPr>
        <w:t>4. Policy &amp; Technical Document Analysis: Reviewed regulatory mandates from the Minerals Commission of Ghana (2024), African Mining Review reports, and international SCADA security standards (IEC 62443).</w:t>
      </w:r>
    </w:p>
    <w:p>
      <w:pPr>
        <w:keepNext/>
        <w:spacing w:before="280" w:after="80"/>
      </w:pPr>
      <w:r>
        <w:rPr>
          <w:rFonts w:ascii="Arial" w:hAnsi="Arial"/>
          <w:b/>
          <w:color w:val="1E293B"/>
          <w:sz w:val="25"/>
        </w:rPr>
        <w:t>3.3 Requirements Analysis (Functional, Non-Functional, User, System)</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Requirement Category</w:t>
            </w:r>
          </w:p>
        </w:tc>
        <w:tc>
          <w:tcPr>
            <w:tcW w:type="dxa" w:w="1008"/>
            <w:tcW w:w="1007" w:type="dxa"/>
            <w:shd w:fill="00529B"/>
            <w:tcMar>
              <w:top w:w="100" w:type="dxa"/>
              <w:bottom w:w="100" w:type="dxa"/>
              <w:left w:w="100" w:type="dxa"/>
              <w:right w:w="100" w:type="dxa"/>
            </w:tcMar>
          </w:tcPr>
          <w:p>
            <w:pPr>
              <w:jc w:val="center"/>
            </w:pPr>
            <w:r>
              <w:rPr>
                <w:rFonts w:ascii="Arial" w:hAnsi="Arial"/>
                <w:b/>
                <w:color w:val="FFFFFF"/>
                <w:sz w:val="19"/>
              </w:rPr>
              <w:t>Tag</w:t>
            </w:r>
          </w:p>
        </w:tc>
        <w:tc>
          <w:tcPr>
            <w:tcW w:type="dxa" w:w="3888"/>
            <w:tcW w:w="3888" w:type="dxa"/>
            <w:shd w:fill="00529B"/>
            <w:tcMar>
              <w:top w:w="100" w:type="dxa"/>
              <w:bottom w:w="100" w:type="dxa"/>
              <w:left w:w="100" w:type="dxa"/>
              <w:right w:w="100" w:type="dxa"/>
            </w:tcMar>
          </w:tcPr>
          <w:p>
            <w:pPr>
              <w:jc w:val="center"/>
            </w:pPr>
            <w:r>
              <w:rPr>
                <w:rFonts w:ascii="Arial" w:hAnsi="Arial"/>
                <w:b/>
                <w:color w:val="FFFFFF"/>
                <w:sz w:val="19"/>
              </w:rPr>
              <w:t>Specification Statement</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Validation Criteria</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Promiscuous packet capture up to 1,000 flows/sec on active interfaces</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Zero packet drops in test harness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FR-02</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Automated extraction and masking of the 10 BWOA-selected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75.61% payload compression verified</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Functional (FR)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FR-03</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5-class classification: Normal, DoS, Probe, R2L, U2R</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Multi-class Softmax vector output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Single-sample inference latency strictly &lt; 1.0 millisecond</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0.76ms achieved on Raspberry Pi 4B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NFR-02</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Peak RAM consumption strictly &lt; 512 MB</w:t>
            </w:r>
          </w:p>
        </w:tc>
        <w:tc>
          <w:tcPr>
            <w:tcW w:type="dxa" w:w="2304"/>
            <w:tcW w:w="2304" w:type="dxa"/>
            <w:shd w:fill="FFFFFF"/>
            <w:tcMar>
              <w:top w:w="60" w:type="dxa"/>
              <w:bottom w:w="60" w:type="dxa"/>
              <w:left w:w="80" w:type="dxa"/>
              <w:right w:w="80" w:type="dxa"/>
            </w:tcMar>
          </w:tcPr>
          <w:p>
            <w:pPr>
              <w:jc w:val="center"/>
            </w:pPr>
            <w:r>
              <w:rPr>
                <w:rFonts w:ascii="Times New Roman" w:hAnsi="Times New Roman"/>
                <w:b/>
                <w:color w:val="10B981"/>
                <w:sz w:val="19"/>
              </w:rPr>
              <w:t>290.31MB measured under load (PASS)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Non-Functional (NFR)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NFR-03</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Continuous power consumption &lt; 3.0 Watts</w:t>
            </w:r>
          </w:p>
        </w:tc>
        <w:tc>
          <w:tcPr>
            <w:tcW w:type="dxa" w:w="2304"/>
            <w:tcW w:w="2304" w:type="dxa"/>
            <w:shd w:fill="F8FAFC"/>
            <w:tcMar>
              <w:top w:w="60" w:type="dxa"/>
              <w:bottom w:w="60" w:type="dxa"/>
              <w:left w:w="80" w:type="dxa"/>
              <w:right w:w="80" w:type="dxa"/>
            </w:tcMar>
          </w:tcPr>
          <w:p>
            <w:pPr>
              <w:jc w:val="center"/>
            </w:pPr>
            <w:r>
              <w:rPr>
                <w:rFonts w:ascii="Times New Roman" w:hAnsi="Times New Roman"/>
                <w:b/>
                <w:color w:val="10B981"/>
                <w:sz w:val="19"/>
              </w:rPr>
              <w:t>2.5W measured on 5V supply (PASS)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User Req (UR)</w:t>
            </w:r>
          </w:p>
        </w:tc>
        <w:tc>
          <w:tcPr>
            <w:tcW w:type="dxa" w:w="1008"/>
            <w:tcW w:w="1007" w:type="dxa"/>
            <w:shd w:fill="FFFFFF"/>
            <w:tcMar>
              <w:top w:w="60" w:type="dxa"/>
              <w:bottom w:w="60" w:type="dxa"/>
              <w:left w:w="80" w:type="dxa"/>
              <w:right w:w="80" w:type="dxa"/>
            </w:tcMar>
          </w:tcPr>
          <w:p>
            <w:pPr>
              <w:jc w:val="center"/>
            </w:pPr>
            <w:r>
              <w:rPr>
                <w:rFonts w:ascii="Times New Roman" w:hAnsi="Times New Roman"/>
                <w:sz w:val="19"/>
              </w:rPr>
              <w:t>UR-01</w:t>
            </w:r>
          </w:p>
        </w:tc>
        <w:tc>
          <w:tcPr>
            <w:tcW w:type="dxa" w:w="3888"/>
            <w:tcW w:w="3888" w:type="dxa"/>
            <w:shd w:fill="FFFFFF"/>
            <w:tcMar>
              <w:top w:w="60" w:type="dxa"/>
              <w:bottom w:w="60" w:type="dxa"/>
              <w:left w:w="80" w:type="dxa"/>
              <w:right w:w="80" w:type="dxa"/>
            </w:tcMar>
          </w:tcPr>
          <w:p>
            <w:pPr>
              <w:jc w:val="center"/>
            </w:pPr>
            <w:r>
              <w:rPr>
                <w:rFonts w:ascii="Times New Roman" w:hAnsi="Times New Roman"/>
                <w:sz w:val="19"/>
              </w:rPr>
              <w:t>Human-readable threat labels and confidence scores in UI</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4.8/5.0 UAT specialist score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System Req (SR)</w:t>
            </w:r>
          </w:p>
        </w:tc>
        <w:tc>
          <w:tcPr>
            <w:tcW w:type="dxa" w:w="1008"/>
            <w:tcW w:w="1007" w:type="dxa"/>
            <w:shd w:fill="F8FAFC"/>
            <w:tcMar>
              <w:top w:w="60" w:type="dxa"/>
              <w:bottom w:w="60" w:type="dxa"/>
              <w:left w:w="80" w:type="dxa"/>
              <w:right w:w="80" w:type="dxa"/>
            </w:tcMar>
          </w:tcPr>
          <w:p>
            <w:pPr>
              <w:jc w:val="center"/>
            </w:pPr>
            <w:r>
              <w:rPr>
                <w:rFonts w:ascii="Times New Roman" w:hAnsi="Times New Roman"/>
                <w:sz w:val="19"/>
              </w:rPr>
              <w:t>SR-01</w:t>
            </w:r>
          </w:p>
        </w:tc>
        <w:tc>
          <w:tcPr>
            <w:tcW w:type="dxa" w:w="3888"/>
            <w:tcW w:w="3888" w:type="dxa"/>
            <w:shd w:fill="F8FAFC"/>
            <w:tcMar>
              <w:top w:w="60" w:type="dxa"/>
              <w:bottom w:w="60" w:type="dxa"/>
              <w:left w:w="80" w:type="dxa"/>
              <w:right w:w="80" w:type="dxa"/>
            </w:tcMar>
          </w:tcPr>
          <w:p>
            <w:pPr>
              <w:jc w:val="center"/>
            </w:pPr>
            <w:r>
              <w:rPr>
                <w:rFonts w:ascii="Times New Roman" w:hAnsi="Times New Roman"/>
                <w:sz w:val="19"/>
              </w:rPr>
              <w:t>Compatibility with ARMv8 64-bit Linux (Raspberry Pi OS)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Automated shell installer verified</w:t>
            </w:r>
          </w:p>
        </w:tc>
      </w:tr>
    </w:tbl>
    <w:p>
      <w:pPr>
        <w:spacing w:after="120"/>
      </w:pPr>
    </w:p>
    <w:p>
      <w:pPr>
        <w:keepNext/>
        <w:spacing w:before="280" w:after="80"/>
      </w:pPr>
      <w:r>
        <w:rPr>
          <w:rFonts w:ascii="Arial" w:hAnsi="Arial"/>
          <w:b/>
          <w:color w:val="1E293B"/>
          <w:sz w:val="25"/>
        </w:rPr>
        <w:t>3.4 System Design &amp; System Architecture</w:t>
      </w:r>
    </w:p>
    <w:p>
      <w:pPr>
        <w:spacing w:before="160" w:after="40"/>
        <w:jc w:val="center"/>
      </w:pPr>
      <w:r>
        <w:drawing>
          <wp:inline xmlns:a="http://schemas.openxmlformats.org/drawingml/2006/main" xmlns:pic="http://schemas.openxmlformats.org/drawingml/2006/picture">
            <wp:extent cx="5669280" cy="332600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3.2: Four-Layer End-to-End System Architecture</w:t>
      </w:r>
    </w:p>
    <w:p>
      <w:pPr>
        <w:spacing w:before="160" w:after="40"/>
        <w:jc w:val="center"/>
      </w:pPr>
      <w:r>
        <w:drawing>
          <wp:inline xmlns:a="http://schemas.openxmlformats.org/drawingml/2006/main" xmlns:pic="http://schemas.openxmlformats.org/drawingml/2006/picture">
            <wp:extent cx="5669280" cy="2808634"/>
            <wp:docPr id="3" name="Picture 3"/>
            <wp:cNvGraphicFramePr>
              <a:graphicFrameLocks noChangeAspect="1"/>
            </wp:cNvGraphicFramePr>
            <a:graphic>
              <a:graphicData uri="http://schemas.openxmlformats.org/drawingml/2006/picture">
                <pic:pic>
                  <pic:nvPicPr>
                    <pic:cNvPr id="0" name="mining_scada_flowchart.png"/>
                    <pic:cNvPicPr/>
                  </pic:nvPicPr>
                  <pic:blipFill>
                    <a:blip r:embed="rId11"/>
                    <a:stretch>
                      <a:fillRect/>
                    </a:stretch>
                  </pic:blipFill>
                  <pic:spPr>
                    <a:xfrm>
                      <a:off x="0" y="0"/>
                      <a:ext cx="5669280" cy="2808634"/>
                    </a:xfrm>
                    <a:prstGeom prst="rect"/>
                  </pic:spPr>
                </pic:pic>
              </a:graphicData>
            </a:graphic>
          </wp:inline>
        </w:drawing>
      </w:r>
    </w:p>
    <w:p>
      <w:pPr>
        <w:spacing w:after="200"/>
        <w:jc w:val="center"/>
      </w:pPr>
      <w:r>
        <w:rPr>
          <w:rFonts w:ascii="Times New Roman" w:hAnsi="Times New Roman"/>
          <w:i/>
          <w:color w:val="64748B"/>
          <w:sz w:val="20"/>
        </w:rPr>
        <w:t>Figure 3.3: Cyber-Physical Mineral Processing SCADA Circuit and Edge Defense Boundary</w:t>
      </w:r>
    </w:p>
    <w:p>
      <w:pPr>
        <w:spacing w:line="360" w:lineRule="auto" w:after="120"/>
        <w:jc w:val="both"/>
      </w:pPr>
      <w:r>
        <w:rPr>
          <w:rFonts w:ascii="Times New Roman" w:hAnsi="Times New Roman"/>
          <w:sz w:val="24"/>
        </w:rPr>
        <w:t>The system architecture is organized into four decoupled layers:</w:t>
        <w:br/>
        <w:t>1. Layer 1 (Industrial Ingestion Layer): Captures raw bidirectional packet streams from industrial SCADA protocols (Modbus, DNP3, OPC-UA) using the @mhiskall282/unesco-mine-sec-cli agent.</w:t>
        <w:br/>
        <w:t>2. Layer 2 (Metaheuristic Optimization Layer): Employs BWOA feature pruning to discard 75.61% of uninformative attributes.</w:t>
        <w:br/>
        <w:t>3. Layer 3 (Deep Learning Classification Layer): Processes 10-feature vectors through spatial Conv1D filters and temporal LSTM memory cells under Float16 quantization.</w:t>
        <w:br/>
        <w:t>4. Layer 4 (Operational SaaS Layer): Serves predictions via FastAPI (port 8001) and broadcasts real-time threat intelligence to a Laravel 12 Livewire dashboard.</w:t>
      </w:r>
    </w:p>
    <w:p>
      <w:pPr>
        <w:spacing w:before="160" w:after="4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3.4: Database Entity-Relationship (ER) Schema for Real-Time Forensic Auditing</w:t>
      </w:r>
    </w:p>
    <w:p>
      <w:pPr>
        <w:keepNext/>
        <w:spacing w:before="280" w:after="80"/>
      </w:pPr>
      <w:r>
        <w:rPr>
          <w:rFonts w:ascii="Arial" w:hAnsi="Arial"/>
          <w:b/>
          <w:color w:val="1E293B"/>
          <w:sz w:val="25"/>
        </w:rPr>
        <w:t>3.5 Unified Modeling Language (UML) Structural and Behavioral Models</w:t>
      </w:r>
    </w:p>
    <w:p>
      <w:pPr>
        <w:spacing w:before="160" w:after="40"/>
        <w:jc w:val="center"/>
      </w:pPr>
      <w:r>
        <w:drawing>
          <wp:inline xmlns:a="http://schemas.openxmlformats.org/drawingml/2006/main" xmlns:pic="http://schemas.openxmlformats.org/drawingml/2006/picture">
            <wp:extent cx="5303520" cy="3160684"/>
            <wp:docPr id="5" name="Picture 5"/>
            <wp:cNvGraphicFramePr>
              <a:graphicFrameLocks noChangeAspect="1"/>
            </wp:cNvGraphicFramePr>
            <a:graphic>
              <a:graphicData uri="http://schemas.openxmlformats.org/drawingml/2006/picture">
                <pic:pic>
                  <pic:nvPicPr>
                    <pic:cNvPr id="0" name="uml_use_case.png"/>
                    <pic:cNvPicPr/>
                  </pic:nvPicPr>
                  <pic:blipFill>
                    <a:blip r:embed="rId13"/>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3.5: UML Use Case Diagram - Operator and Security Analyst Interactions</w:t>
      </w:r>
    </w:p>
    <w:p>
      <w:pPr>
        <w:spacing w:before="160" w:after="40"/>
        <w:jc w:val="center"/>
      </w:pPr>
      <w:r>
        <w:drawing>
          <wp:inline xmlns:a="http://schemas.openxmlformats.org/drawingml/2006/main"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uml_class_diagram.png"/>
                    <pic:cNvPicPr/>
                  </pic:nvPicPr>
                  <pic:blipFill>
                    <a:blip r:embed="rId14"/>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3.6: UML Class Diagram - Core Class Model and Method Signatures</w:t>
      </w:r>
    </w:p>
    <w:p>
      <w:pPr>
        <w:spacing w:before="160" w:after="40"/>
        <w:jc w:val="center"/>
      </w:pPr>
      <w:r>
        <w:drawing>
          <wp:inline xmlns:a="http://schemas.openxmlformats.org/drawingml/2006/main" xmlns:pic="http://schemas.openxmlformats.org/drawingml/2006/picture">
            <wp:extent cx="5303520" cy="3964247"/>
            <wp:docPr id="7" name="Picture 7"/>
            <wp:cNvGraphicFramePr>
              <a:graphicFrameLocks noChangeAspect="1"/>
            </wp:cNvGraphicFramePr>
            <a:graphic>
              <a:graphicData uri="http://schemas.openxmlformats.org/drawingml/2006/picture">
                <pic:pic>
                  <pic:nvPicPr>
                    <pic:cNvPr id="0" name="uml_activity_diagram.png"/>
                    <pic:cNvPicPr/>
                  </pic:nvPicPr>
                  <pic:blipFill>
                    <a:blip r:embed="rId15"/>
                    <a:stretch>
                      <a:fillRect/>
                    </a:stretch>
                  </pic:blipFill>
                  <pic:spPr>
                    <a:xfrm>
                      <a:off x="0" y="0"/>
                      <a:ext cx="5303520" cy="3964247"/>
                    </a:xfrm>
                    <a:prstGeom prst="rect"/>
                  </pic:spPr>
                </pic:pic>
              </a:graphicData>
            </a:graphic>
          </wp:inline>
        </w:drawing>
      </w:r>
    </w:p>
    <w:p>
      <w:pPr>
        <w:spacing w:after="200"/>
        <w:jc w:val="center"/>
      </w:pPr>
      <w:r>
        <w:rPr>
          <w:rFonts w:ascii="Times New Roman" w:hAnsi="Times New Roman"/>
          <w:i/>
          <w:color w:val="64748B"/>
          <w:sz w:val="20"/>
        </w:rPr>
        <w:t>Figure 3.7: UML Activity Diagram - End-to-End Autonomous Threat Detection Lifecycle</w:t>
      </w:r>
    </w:p>
    <w:p>
      <w:pPr>
        <w:spacing w:before="160" w:after="40"/>
        <w:jc w:val="center"/>
      </w:pPr>
      <w:r>
        <w:drawing>
          <wp:inline xmlns:a="http://schemas.openxmlformats.org/drawingml/2006/main" xmlns:pic="http://schemas.openxmlformats.org/drawingml/2006/picture">
            <wp:extent cx="5303520" cy="3168151"/>
            <wp:docPr id="8" name="Picture 8"/>
            <wp:cNvGraphicFramePr>
              <a:graphicFrameLocks noChangeAspect="1"/>
            </wp:cNvGraphicFramePr>
            <a:graphic>
              <a:graphicData uri="http://schemas.openxmlformats.org/drawingml/2006/picture">
                <pic:pic>
                  <pic:nvPicPr>
                    <pic:cNvPr id="0" name="uml_sequence_diagram.png"/>
                    <pic:cNvPicPr/>
                  </pic:nvPicPr>
                  <pic:blipFill>
                    <a:blip r:embed="rId16"/>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3.8: UML Sequence Diagram - Real-Time Intrusion Detection Interaction</w:t>
      </w:r>
    </w:p>
    <w:p>
      <w:pPr>
        <w:keepNext/>
        <w:spacing w:before="280" w:after="80"/>
      </w:pPr>
      <w:r>
        <w:rPr>
          <w:rFonts w:ascii="Arial" w:hAnsi="Arial"/>
          <w:b/>
          <w:color w:val="1E293B"/>
          <w:sz w:val="25"/>
        </w:rPr>
        <w:t>3.6 Interface Design and Visual Wireframes</w:t>
      </w:r>
    </w:p>
    <w:p>
      <w:pPr>
        <w:spacing w:before="160" w:after="40"/>
        <w:jc w:val="center"/>
      </w:pPr>
      <w:r>
        <w:drawing>
          <wp:inline xmlns:a="http://schemas.openxmlformats.org/drawingml/2006/main" xmlns:pic="http://schemas.openxmlformats.org/drawingml/2006/picture">
            <wp:extent cx="5669280" cy="3337223"/>
            <wp:docPr id="9" name="Picture 9"/>
            <wp:cNvGraphicFramePr>
              <a:graphicFrameLocks noChangeAspect="1"/>
            </wp:cNvGraphicFramePr>
            <a:graphic>
              <a:graphicData uri="http://schemas.openxmlformats.org/drawingml/2006/picture">
                <pic:pic>
                  <pic:nvPicPr>
                    <pic:cNvPr id="0" name="dashboard_wireframe.png"/>
                    <pic:cNvPicPr/>
                  </pic:nvPicPr>
                  <pic:blipFill>
                    <a:blip r:embed="rId17"/>
                    <a:stretch>
                      <a:fillRect/>
                    </a:stretch>
                  </pic:blipFill>
                  <pic:spPr>
                    <a:xfrm>
                      <a:off x="0" y="0"/>
                      <a:ext cx="5669280" cy="3337223"/>
                    </a:xfrm>
                    <a:prstGeom prst="rect"/>
                  </pic:spPr>
                </pic:pic>
              </a:graphicData>
            </a:graphic>
          </wp:inline>
        </w:drawing>
      </w:r>
    </w:p>
    <w:p>
      <w:pPr>
        <w:spacing w:after="200"/>
        <w:jc w:val="center"/>
      </w:pPr>
      <w:r>
        <w:rPr>
          <w:rFonts w:ascii="Times New Roman" w:hAnsi="Times New Roman"/>
          <w:i/>
          <w:color w:val="64748B"/>
          <w:sz w:val="20"/>
        </w:rPr>
        <w:t>Figure 3.9: Interface Design Wireframe - Real-Time Mining SCADA Monitoring Dashboard</w:t>
      </w:r>
    </w:p>
    <w:p>
      <w:pPr>
        <w:spacing w:line="360" w:lineRule="auto" w:after="120"/>
        <w:jc w:val="both"/>
      </w:pPr>
      <w:r>
        <w:rPr>
          <w:rFonts w:ascii="Times New Roman" w:hAnsi="Times New Roman"/>
          <w:sz w:val="24"/>
        </w:rPr>
        <w:t>The interface design provides industrial control room operators with clear, real-time threat situational awareness. The dashboard visualizes active telemetry streams, color-coded anomaly alerts ('Normal', 'DoS Attack', 'Probe Scan'), confidence percentages, and sub-millisecond edge latency gauges without exposing operators to raw hexadecimal packet dumps.</w:t>
      </w:r>
    </w:p>
    <w:p>
      <w:pPr>
        <w:keepNext/>
        <w:spacing w:before="280" w:after="80"/>
      </w:pPr>
      <w:r>
        <w:rPr>
          <w:rFonts w:ascii="Arial" w:hAnsi="Arial"/>
          <w:b/>
          <w:color w:val="1E293B"/>
          <w:sz w:val="25"/>
        </w:rPr>
        <w:t>3.7 Mathematical Formulation and Algorithm Design</w:t>
      </w:r>
    </w:p>
    <w:p>
      <w:pPr>
        <w:spacing w:line="360" w:lineRule="auto" w:after="120"/>
        <w:jc w:val="both"/>
      </w:pPr>
      <w:r>
        <w:rPr>
          <w:rFonts w:ascii="Times New Roman" w:hAnsi="Times New Roman"/>
          <w:sz w:val="24"/>
        </w:rPr>
        <w:t>The Binary Whale Optimization Algorithm (BWOA) models the discrete feature search space {0, 1}^D, where D = 41 represents the total candidate network attribute dimensions. Candidate feature subsets are represented by binary vectors where a 1 indicates feature inclusion and 0 indicates exclusion (Mirjalili &amp; Lewis, 2016). Search agents update positions according to three formal mathematical mechanisms:</w:t>
      </w:r>
    </w:p>
    <w:p>
      <w:pPr>
        <w:spacing w:line="360" w:lineRule="auto" w:after="120"/>
        <w:jc w:val="both"/>
      </w:pPr>
      <w:r>
        <w:rPr>
          <w:rFonts w:ascii="Times New Roman" w:hAnsi="Times New Roman"/>
          <w:sz w:val="24"/>
        </w:rPr>
        <w:t>1. Shrinking Encircling Phase: Search agents adjust coordinates toward the best search agent (leader whale X*) via vector distance scaling: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D_vec = | C * X*(t) - X(t)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(1)</w:t>
            </w:r>
          </w:p>
        </w:tc>
      </w:tr>
    </w:tbl>
    <w:p>
      <w:pPr>
        <w:spacing w:after="80"/>
      </w:pPr>
    </w:p>
    <w:p>
      <w:pPr>
        <w:spacing w:line="312" w:lineRule="auto" w:after="120"/>
      </w:pPr>
      <w:r>
        <w:rPr>
          <w:rFonts w:ascii="Times New Roman" w:hAnsi="Times New Roman"/>
          <w:sz w:val="22"/>
        </w:rPr>
        <w:t>where t denotes the current iteration, C = 2 * r2 is a coefficient vector, and r2 is a uniform random vector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X*(t) - A * D_vec</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(2)</w:t>
            </w:r>
          </w:p>
        </w:tc>
      </w:tr>
    </w:tbl>
    <w:p>
      <w:pPr>
        <w:spacing w:after="80"/>
      </w:pPr>
    </w:p>
    <w:p>
      <w:pPr>
        <w:spacing w:line="312" w:lineRule="auto" w:after="120"/>
      </w:pPr>
      <w:r>
        <w:rPr>
          <w:rFonts w:ascii="Times New Roman" w:hAnsi="Times New Roman"/>
          <w:sz w:val="22"/>
        </w:rPr>
        <w:t>where A = 2 * a * r1 - a, r1 is a random vector in [0, 1], and the convergence factor 'a' linearly decreases from 2 to 0 over iterations.</w:t>
      </w:r>
    </w:p>
    <w:p>
      <w:pPr>
        <w:spacing w:line="360" w:lineRule="auto" w:after="120"/>
        <w:jc w:val="both"/>
      </w:pPr>
      <w:r>
        <w:rPr>
          <w:rFonts w:ascii="Times New Roman" w:hAnsi="Times New Roman"/>
          <w:sz w:val="24"/>
        </w:rPr>
        <w:t>2. Spiral Bubble-Net Foraging Phase: To model the helix-shaped bubble-net hunting maneuver, a logarithmic spiral equation computes the distance between whale and leader: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X_cont(t+1) = D'_vec * exp(b * l) * cos(2 * pi * l) + X*(t)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(3)</w:t>
            </w:r>
          </w:p>
        </w:tc>
      </w:tr>
    </w:tbl>
    <w:p>
      <w:pPr>
        <w:spacing w:after="80"/>
      </w:pPr>
    </w:p>
    <w:p>
      <w:pPr>
        <w:spacing w:line="312" w:lineRule="auto" w:after="120"/>
      </w:pPr>
      <w:r>
        <w:rPr>
          <w:rFonts w:ascii="Times New Roman" w:hAnsi="Times New Roman"/>
          <w:sz w:val="22"/>
        </w:rPr>
        <w:t>where D'_vec = |X*(t) - X(t)|, b = 1.0 defines the spiral curvature constant, and l is a random value uniformly distributed in [-1, 1].</w:t>
      </w:r>
    </w:p>
    <w:p>
      <w:pPr>
        <w:spacing w:line="360" w:lineRule="auto" w:after="120"/>
        <w:jc w:val="both"/>
      </w:pPr>
      <w:r>
        <w:rPr>
          <w:rFonts w:ascii="Times New Roman" w:hAnsi="Times New Roman"/>
          <w:sz w:val="24"/>
        </w:rPr>
        <w:t>3. V-Shaped Binary Transfer Function: To transform continuous positional updates into discrete bit-flip probabilities without boundary saturation, a V-shaped transfer function is utilized: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V(x_d) = | x_d / sqrt(1 + x_d^2) |</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(4)</w:t>
            </w:r>
          </w:p>
        </w:tc>
      </w:tr>
    </w:tbl>
    <w:p>
      <w:pPr>
        <w:spacing w:after="80"/>
      </w:pPr>
    </w:p>
    <w:p>
      <w:pPr>
        <w:spacing w:line="312" w:lineRule="auto" w:after="120"/>
      </w:pPr>
      <w:r>
        <w:rPr>
          <w:rFonts w:ascii="Times New Roman" w:hAnsi="Times New Roman"/>
          <w:sz w:val="22"/>
        </w:rPr>
        <w:t>which maps continuous velocity coordinates x_d in R to probability values V(x_d) in [0, 1].</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X_d(t+1) = 1 - X_d(t) if rand() &lt; V(x_d), else X_d(t)</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(5)</w:t>
            </w:r>
          </w:p>
        </w:tc>
      </w:tr>
    </w:tbl>
    <w:p>
      <w:pPr>
        <w:spacing w:after="80"/>
      </w:pPr>
    </w:p>
    <w:p>
      <w:pPr>
        <w:spacing w:line="312" w:lineRule="auto" w:after="120"/>
      </w:pPr>
      <w:r>
        <w:rPr>
          <w:rFonts w:ascii="Times New Roman" w:hAnsi="Times New Roman"/>
          <w:sz w:val="22"/>
        </w:rPr>
        <w:t>enforcing stochastic bit-flipping based on the velocity magnitude.</w:t>
      </w:r>
    </w:p>
    <w:p>
      <w:pPr>
        <w:spacing w:line="360" w:lineRule="auto" w:after="120"/>
        <w:jc w:val="both"/>
      </w:pPr>
      <w:r>
        <w:rPr>
          <w:rFonts w:ascii="Times New Roman" w:hAnsi="Times New Roman"/>
          <w:sz w:val="24"/>
        </w:rPr>
        <w:t>4. Constrained Multi-Objective Fitness Function with Accuracy Floor: To prevent the metaheuristic from selecting an excessively sparse feature subset that sacrifices threat detection capability, an explicit penalty constraint is enforced: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680"/>
        <w:gridCol w:w="4680"/>
      </w:tblGrid>
      <w:tr>
        <w:tc>
          <w:tcPr>
            <w:tcW w:type="dxa" w:w="8064"/>
            <w:shd w:fill="F8FAFC"/>
            <w:tcMar>
              <w:top w:w="80" w:type="dxa"/>
              <w:bottom w:w="80" w:type="dxa"/>
              <w:left w:w="100" w:type="dxa"/>
              <w:right w:w="40" w:type="dxa"/>
            </w:tcMar>
          </w:tcPr>
          <w:p>
            <w:pPr>
              <w:spacing w:after="0" w:line="288" w:lineRule="auto"/>
              <w:jc w:val="center"/>
            </w:pPr>
            <w:r>
              <w:rPr>
                <w:rFonts w:ascii="Times New Roman" w:hAnsi="Times New Roman"/>
                <w:b/>
                <w:i/>
                <w:color w:val="0B1D3A"/>
                <w:sz w:val="24"/>
              </w:rPr>
              <w:t>Fitness(X) = alpha * (1 - Accuracy(X)) + (1 - alpha) * (|Selected(X)| / D) + Penalty(X)</w:t>
            </w:r>
          </w:p>
        </w:tc>
        <w:tc>
          <w:tcPr>
            <w:tcW w:type="dxa" w:w="1296"/>
            <w:shd w:fill="F8FAFC"/>
            <w:tcMar>
              <w:top w:w="80" w:type="dxa"/>
              <w:bottom w:w="80" w:type="dxa"/>
              <w:left w:w="40" w:type="dxa"/>
              <w:right w:w="100" w:type="dxa"/>
            </w:tcMar>
          </w:tcPr>
          <w:p>
            <w:pPr>
              <w:spacing w:after="0"/>
              <w:jc w:val="right"/>
            </w:pPr>
            <w:r>
              <w:rPr>
                <w:rFonts w:ascii="Times New Roman" w:hAnsi="Times New Roman"/>
                <w:b/>
                <w:color w:val="00529B"/>
                <w:sz w:val="22"/>
              </w:rPr>
              <w:t>(6)</w:t>
            </w:r>
          </w:p>
        </w:tc>
      </w:tr>
    </w:tbl>
    <w:p>
      <w:pPr>
        <w:spacing w:after="80"/>
      </w:pPr>
    </w:p>
    <w:p>
      <w:pPr>
        <w:spacing w:line="312" w:lineRule="auto" w:after="120"/>
      </w:pPr>
      <w:r>
        <w:rPr>
          <w:rFonts w:ascii="Times New Roman" w:hAnsi="Times New Roman"/>
          <w:sz w:val="22"/>
        </w:rPr>
        <w:t>where alpha = 0.3 (allocating 70% weight to classification error minimization), |Selected(X)| is the active feature count, and Penalty(X) = 1.0 if Accuracy(X) &lt; 0.75 or |Selected(X)| &lt; 10.</w:t>
      </w:r>
    </w:p>
    <w:p>
      <w:pPr>
        <w:spacing w:before="160" w:after="4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cnn_lstm_architecture.png"/>
                    <pic:cNvPicPr/>
                  </pic:nvPicPr>
                  <pic:blipFill>
                    <a:blip r:embed="rId18"/>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3.10: Spatial-Temporal CNN-LSTM Deep Neural Network Flowchart</w:t>
      </w:r>
    </w:p>
    <w:p>
      <w:pPr>
        <w:keepNext/>
        <w:spacing w:before="280" w:after="80"/>
      </w:pPr>
      <w:r>
        <w:rPr>
          <w:rFonts w:ascii="Arial" w:hAnsi="Arial"/>
          <w:b/>
          <w:color w:val="1E293B"/>
          <w:sz w:val="25"/>
        </w:rPr>
        <w:t>3.8 Technology Stack Justification</w:t>
      </w:r>
    </w:p>
    <w:p>
      <w:pPr>
        <w:spacing w:line="360" w:lineRule="auto" w:after="120"/>
        <w:jc w:val="both"/>
      </w:pPr>
      <w:r>
        <w:rPr>
          <w:rFonts w:ascii="Times New Roman" w:hAnsi="Times New Roman"/>
          <w:sz w:val="24"/>
        </w:rPr>
        <w:t>The technological stack was selected based on strict criteria of performance, reproducibility, and edge hardware compatibility:</w:t>
      </w:r>
    </w:p>
    <w:p>
      <w:pPr>
        <w:pStyle w:val="ListBullet"/>
        <w:spacing w:line="312" w:lineRule="auto" w:after="80"/>
      </w:pPr>
      <w:r>
        <w:rPr>
          <w:rFonts w:ascii="Times New Roman" w:hAnsi="Times New Roman"/>
          <w:b/>
          <w:sz w:val="24"/>
        </w:rPr>
        <w:t xml:space="preserve">Python / TensorFlow: </w:t>
      </w:r>
      <w:r>
        <w:rPr>
          <w:rFonts w:ascii="Times New Roman" w:hAnsi="Times New Roman"/>
          <w:sz w:val="24"/>
        </w:rPr>
        <w:t>Python 3.11 &amp; TensorFlow 2.15: Selected for deep learning maturity, native support for Float16 quantization, and scientific reproducibility.</w:t>
      </w:r>
    </w:p>
    <w:p>
      <w:pPr>
        <w:pStyle w:val="ListBullet"/>
        <w:spacing w:line="312" w:lineRule="auto" w:after="80"/>
      </w:pPr>
      <w:r>
        <w:rPr>
          <w:rFonts w:ascii="Times New Roman" w:hAnsi="Times New Roman"/>
          <w:b/>
          <w:sz w:val="24"/>
        </w:rPr>
        <w:t xml:space="preserve">Node.js Engine: </w:t>
      </w:r>
      <w:r>
        <w:rPr>
          <w:rFonts w:ascii="Times New Roman" w:hAnsi="Times New Roman"/>
          <w:sz w:val="24"/>
        </w:rPr>
        <w:t>Node.js (v20): Chosen for the edge sniffer CLI due to its non-blocking asynchronous event loop, fast libpcap binding, and universal npm package distribution.</w:t>
      </w:r>
    </w:p>
    <w:p>
      <w:pPr>
        <w:pStyle w:val="ListBullet"/>
        <w:spacing w:line="312" w:lineRule="auto" w:after="80"/>
      </w:pPr>
      <w:r>
        <w:rPr>
          <w:rFonts w:ascii="Times New Roman" w:hAnsi="Times New Roman"/>
          <w:b/>
          <w:sz w:val="24"/>
        </w:rPr>
        <w:t xml:space="preserve">Raspberry Pi Edge: </w:t>
      </w:r>
      <w:r>
        <w:rPr>
          <w:rFonts w:ascii="Times New Roman" w:hAnsi="Times New Roman"/>
          <w:sz w:val="24"/>
        </w:rPr>
        <w:t>Raspberry Pi 4B (1GB RAM): Selected as the primary edge deployment testbed due to its extensive deployment across African industrial sites and low cost (&lt;$45).</w:t>
      </w:r>
    </w:p>
    <w:p>
      <w:pPr>
        <w:pStyle w:val="ListBullet"/>
        <w:spacing w:line="312" w:lineRule="auto" w:after="80"/>
      </w:pPr>
      <w:r>
        <w:rPr>
          <w:rFonts w:ascii="Times New Roman" w:hAnsi="Times New Roman"/>
          <w:b/>
          <w:sz w:val="24"/>
        </w:rPr>
        <w:t xml:space="preserve">FastAPI Server: </w:t>
      </w:r>
      <w:r>
        <w:rPr>
          <w:rFonts w:ascii="Times New Roman" w:hAnsi="Times New Roman"/>
          <w:sz w:val="24"/>
        </w:rPr>
        <w:t>FastAPI &amp; Uvicorn: Selected for high-concurrency asynchronous API serving with sub-millisecond execution overhead.</w:t>
      </w:r>
    </w:p>
    <w:p>
      <w:pPr>
        <w:keepNext/>
        <w:spacing w:before="360" w:after="120"/>
      </w:pPr>
      <w:r>
        <w:rPr>
          <w:rFonts w:ascii="Arial" w:hAnsi="Arial"/>
          <w:b/>
          <w:color w:val="00529B"/>
          <w:sz w:val="28"/>
        </w:rPr>
        <w:t>CHAPTER 4: SYSTEM DEVELOPMENT, DEMONSTRATION AND EVALUATION</w:t>
      </w:r>
    </w:p>
    <w:p>
      <w:pPr>
        <w:keepNext/>
        <w:spacing w:before="280" w:after="80"/>
      </w:pPr>
      <w:r>
        <w:rPr>
          <w:rFonts w:ascii="Arial" w:hAnsi="Arial"/>
          <w:b/>
          <w:color w:val="1E293B"/>
          <w:sz w:val="25"/>
        </w:rPr>
        <w:t>4.1 Implementation Details &amp; Development Environment</w:t>
      </w:r>
    </w:p>
    <w:p>
      <w:pPr>
        <w:spacing w:line="360" w:lineRule="auto" w:after="120"/>
        <w:jc w:val="both"/>
      </w:pPr>
      <w:r>
        <w:rPr>
          <w:rFonts w:ascii="Times New Roman" w:hAnsi="Times New Roman"/>
          <w:sz w:val="24"/>
        </w:rPr>
        <w:t>The software artifacts were implemented in Python 3.11 using TensorFlow 2.15, Scikit-Learn 1.4, Pandas, and NumPy in a VSCode development environment. The edge sniffer agent was developed in Node.js 20 with ES modules and published as @mhiskall282/unesco-mine-sec-cli to GitHub Packages. All source code is version-controlled in the public GitHub repository.</w:t>
      </w:r>
    </w:p>
    <w:p>
      <w:pPr>
        <w:keepNext/>
        <w:spacing w:before="280" w:after="80"/>
      </w:pPr>
      <w:r>
        <w:rPr>
          <w:rFonts w:ascii="Arial" w:hAnsi="Arial"/>
          <w:b/>
          <w:color w:val="1E293B"/>
          <w:sz w:val="25"/>
        </w:rPr>
        <w:t>4.2 Data Collection and Benchmark Datasets</w:t>
      </w:r>
    </w:p>
    <w:p>
      <w:pPr>
        <w:spacing w:line="360" w:lineRule="auto" w:after="120"/>
        <w:jc w:val="both"/>
      </w:pPr>
      <w:r>
        <w:rPr>
          <w:rFonts w:ascii="Times New Roman" w:hAnsi="Times New Roman"/>
          <w:sz w:val="24"/>
        </w:rPr>
        <w:t>The framework was trained and evaluated across three complementary data sources:</w:t>
        <w:br/>
        <w:t>1. NSL-KDD Benchmark: 125,973 training samples (KDDTrain+) and 22,544 held-out test samples (KDDTest+) spanning 41 network attributes across 5 attack classes (Tavallaee et al., 2009).</w:t>
        <w:br/>
        <w:t>2. SWaT Industrial SCADA Benchmark: 51 physical sensor telemetry streams collected from an operational water treatment testbed over 11 consecutive days, containing 36 physical cyber-attack scenarios.</w:t>
        <w:br/>
        <w:t>3. Collaborative Mining OT PCAP Capture: Ongoing Phase 1 collaboration with large-scale concessions (Gold Fields Tarkwa) to capture live Modbus and DNP3 flow traffic.</w:t>
      </w:r>
    </w:p>
    <w:p>
      <w:pPr>
        <w:keepNext/>
        <w:spacing w:before="280" w:after="80"/>
      </w:pPr>
      <w:r>
        <w:rPr>
          <w:rFonts w:ascii="Arial" w:hAnsi="Arial"/>
          <w:b/>
          <w:color w:val="1E293B"/>
          <w:sz w:val="25"/>
        </w:rPr>
        <w:t>4.3 BWOA Feature Selection Results</w:t>
      </w:r>
    </w:p>
    <w:p>
      <w:pPr>
        <w:spacing w:line="360" w:lineRule="auto" w:after="120"/>
        <w:jc w:val="both"/>
      </w:pPr>
      <w:r>
        <w:rPr>
          <w:rFonts w:ascii="Times New Roman" w:hAnsi="Times New Roman"/>
          <w:sz w:val="24"/>
        </w:rPr>
        <w:t>BWOA optimization was executed across 30 whale agents over 100 iterations using stratified 3-fold cross-validation. The optimizer converged at iteration 23, pruning the feature space from 41 to exactly 10 features (75.61% dimensionality reduction) while achieving a Random Forest cross-validation accuracy of 92.31%.</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bwoa_convergence.png"/>
                    <pic:cNvPicPr/>
                  </pic:nvPicPr>
                  <pic:blipFill>
                    <a:blip r:embed="rId19"/>
                    <a:stretch>
                      <a:fillRect/>
                    </a:stretch>
                  </pic:blipFill>
                  <pic:spPr>
                    <a:xfrm>
                      <a:off x="0" y="0"/>
                      <a:ext cx="5120640" cy="3200400"/>
                    </a:xfrm>
                    <a:prstGeom prst="rect"/>
                  </pic:spPr>
                </pic:pic>
              </a:graphicData>
            </a:graphic>
          </wp:inline>
        </w:drawing>
      </w:r>
    </w:p>
    <w:p>
      <w:pPr>
        <w:spacing w:after="200"/>
        <w:jc w:val="center"/>
      </w:pPr>
      <w:r>
        <w:rPr>
          <w:rFonts w:ascii="Times New Roman" w:hAnsi="Times New Roman"/>
          <w:i/>
          <w:color w:val="64748B"/>
          <w:sz w:val="20"/>
        </w:rPr>
        <w:t>Figure 4.1: BWOA Fitness Convergence History across 100 Iterations</w:t>
      </w:r>
    </w:p>
    <w:p>
      <w:pPr>
        <w:spacing w:before="160" w:after="40"/>
        <w:jc w:val="center"/>
      </w:pPr>
      <w:r>
        <w:drawing>
          <wp:inline xmlns:a="http://schemas.openxmlformats.org/drawingml/2006/main" xmlns:pic="http://schemas.openxmlformats.org/drawingml/2006/picture">
            <wp:extent cx="5303520" cy="3182112"/>
            <wp:docPr id="12" name="Picture 12"/>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64748B"/>
          <w:sz w:val="20"/>
        </w:rPr>
        <w:t>Figure 4.2: Gini Feature Importance Ranking (Selected 10 vs Pruned Features)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864"/>
            <w:tcW w:w="864" w:type="dxa"/>
            <w:shd w:fill="00529B"/>
            <w:tcMar>
              <w:top w:w="100" w:type="dxa"/>
              <w:bottom w:w="100" w:type="dxa"/>
              <w:left w:w="100" w:type="dxa"/>
              <w:right w:w="100" w:type="dxa"/>
            </w:tcMar>
          </w:tcPr>
          <w:p>
            <w:pPr>
              <w:jc w:val="center"/>
            </w:pPr>
            <w:r>
              <w:rPr>
                <w:rFonts w:ascii="Arial" w:hAnsi="Arial"/>
                <w:b/>
                <w:color w:val="FFFFFF"/>
                <w:sz w:val="19"/>
              </w:rPr>
              <w:t>Rank</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Feature Name</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Category</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Gini Score</w:t>
            </w:r>
          </w:p>
        </w:tc>
        <w:tc>
          <w:tcPr>
            <w:tcW w:type="dxa" w:w="3168"/>
            <w:tcW w:w="3168" w:type="dxa"/>
            <w:shd w:fill="00529B"/>
            <w:tcMar>
              <w:top w:w="100" w:type="dxa"/>
              <w:bottom w:w="100" w:type="dxa"/>
              <w:left w:w="100" w:type="dxa"/>
              <w:right w:w="100" w:type="dxa"/>
            </w:tcMar>
          </w:tcPr>
          <w:p>
            <w:pPr>
              <w:jc w:val="center"/>
            </w:pPr>
            <w:r>
              <w:rPr>
                <w:rFonts w:ascii="Arial" w:hAnsi="Arial"/>
                <w:b/>
                <w:color w:val="FFFFFF"/>
                <w:sz w:val="19"/>
              </w:rPr>
              <w:t>Operational Intrusion Role</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1</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Volume Metric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0.2451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Detects volumetric DoS flooding targeting PLCs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2</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service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Connection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0.1982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Filters unauthorized SCADA ports and Modbus services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3</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flag</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State</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0.1420</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Identifies abnormal SYN/RST connection teardowns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4</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serror_rate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Error Rate</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0.1185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SYN flood attacks and sweeping probes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same_srv_rate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0.0894</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Quantifies repeated command injection anomalies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diff_srv_rate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Traffic Pattern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0.0652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port scanning across sensor gateways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7</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dst_host_diff_srv_rate</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Host Traffic</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0.0521</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Uncovers subnet reconnaissance sweeping</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8</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Network Layer</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0.0412</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Partitions TCP, UDP, and ICMP streams</w:t>
            </w:r>
          </w:p>
        </w:tc>
      </w:tr>
      <w:tr>
        <w:trPr>
          <w:cantSplit/>
        </w:trPr>
        <w:tc>
          <w:tcPr>
            <w:tcW w:type="dxa" w:w="864"/>
            <w:tcW w:w="864" w:type="dxa"/>
            <w:shd w:fill="FFFFFF"/>
            <w:tcMar>
              <w:top w:w="60" w:type="dxa"/>
              <w:bottom w:w="60" w:type="dxa"/>
              <w:left w:w="80" w:type="dxa"/>
              <w:right w:w="80" w:type="dxa"/>
            </w:tcMar>
          </w:tcPr>
          <w:p>
            <w:pPr>
              <w:jc w:val="left"/>
            </w:pPr>
            <w:r>
              <w:rPr>
                <w:rFonts w:ascii="Times New Roman" w:hAnsi="Times New Roman"/>
                <w:sz w:val="19"/>
              </w:rPr>
              <w:t>9</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hot</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System Access</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0.0278</w:t>
            </w:r>
          </w:p>
        </w:tc>
        <w:tc>
          <w:tcPr>
            <w:tcW w:type="dxa" w:w="3168"/>
            <w:tcW w:w="3168" w:type="dxa"/>
            <w:shd w:fill="FFFFFF"/>
            <w:tcMar>
              <w:top w:w="60" w:type="dxa"/>
              <w:bottom w:w="60" w:type="dxa"/>
              <w:left w:w="80" w:type="dxa"/>
              <w:right w:w="80" w:type="dxa"/>
            </w:tcMar>
          </w:tcPr>
          <w:p>
            <w:pPr>
              <w:jc w:val="center"/>
            </w:pPr>
            <w:r>
              <w:rPr>
                <w:rFonts w:ascii="Times New Roman" w:hAnsi="Times New Roman"/>
                <w:sz w:val="19"/>
              </w:rPr>
              <w:t>Flags access to critical SCADA directories</w:t>
            </w:r>
          </w:p>
        </w:tc>
      </w:tr>
      <w:tr>
        <w:trPr>
          <w:cantSplit/>
        </w:trPr>
        <w:tc>
          <w:tcPr>
            <w:tcW w:type="dxa" w:w="864"/>
            <w:tcW w:w="864" w:type="dxa"/>
            <w:shd w:fill="F8FAFC"/>
            <w:tcMar>
              <w:top w:w="60" w:type="dxa"/>
              <w:bottom w:w="60" w:type="dxa"/>
              <w:left w:w="80" w:type="dxa"/>
              <w:right w:w="80" w:type="dxa"/>
            </w:tcMar>
          </w:tcPr>
          <w:p>
            <w:pPr>
              <w:jc w:val="left"/>
            </w:pPr>
            <w:r>
              <w:rPr>
                <w:rFonts w:ascii="Times New Roman" w:hAnsi="Times New Roman"/>
                <w:sz w:val="19"/>
              </w:rPr>
              <w:t>10</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Privilege Escalation</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0.0205</w:t>
            </w:r>
          </w:p>
        </w:tc>
        <w:tc>
          <w:tcPr>
            <w:tcW w:type="dxa" w:w="3168"/>
            <w:tcW w:w="3168" w:type="dxa"/>
            <w:shd w:fill="F8FAFC"/>
            <w:tcMar>
              <w:top w:w="60" w:type="dxa"/>
              <w:bottom w:w="60" w:type="dxa"/>
              <w:left w:w="80" w:type="dxa"/>
              <w:right w:w="80" w:type="dxa"/>
            </w:tcMar>
          </w:tcPr>
          <w:p>
            <w:pPr>
              <w:jc w:val="center"/>
            </w:pPr>
            <w:r>
              <w:rPr>
                <w:rFonts w:ascii="Times New Roman" w:hAnsi="Times New Roman"/>
                <w:sz w:val="19"/>
              </w:rPr>
              <w:t>Detects unauthorized root/admin elevation attempts</w:t>
            </w:r>
          </w:p>
        </w:tc>
      </w:tr>
    </w:tbl>
    <w:p>
      <w:pPr>
        <w:spacing w:after="120"/>
      </w:pPr>
    </w:p>
    <w:p>
      <w:pPr>
        <w:keepNext/>
        <w:spacing w:before="280" w:after="80"/>
      </w:pPr>
      <w:r>
        <w:rPr>
          <w:rFonts w:ascii="Arial" w:hAnsi="Arial"/>
          <w:b/>
          <w:color w:val="1E293B"/>
          <w:sz w:val="25"/>
        </w:rPr>
        <w:t>4.4 Model Classification Performance &amp; Benchmark Evaluations</w:t>
      </w:r>
    </w:p>
    <w:p>
      <w:pPr>
        <w:spacing w:line="360" w:lineRule="auto" w:after="120"/>
        <w:jc w:val="both"/>
      </w:pPr>
      <w:r>
        <w:rPr>
          <w:rFonts w:ascii="Times New Roman" w:hAnsi="Times New Roman"/>
          <w:sz w:val="24"/>
        </w:rPr>
        <w:t>The CNN-LSTM model was trained on the 10 BWOA-selected features using the NSL-KDD KDDTrain+ dataset (125,973 samples) and evaluated on the held-out KDDTest+ benchmark (22,544 samples). Training utilized the Adam optimizer (lr=0.001), balanced class weighting, and early stopping.</w:t>
      </w:r>
    </w:p>
    <w:p>
      <w:pPr>
        <w:spacing w:before="160" w:after="40"/>
        <w:jc w:val="center"/>
      </w:pPr>
      <w:r>
        <w:drawing>
          <wp:inline xmlns:a="http://schemas.openxmlformats.org/drawingml/2006/main" xmlns:pic="http://schemas.openxmlformats.org/drawingml/2006/picture">
            <wp:extent cx="5120640" cy="1828800"/>
            <wp:docPr id="13" name="Picture 13"/>
            <wp:cNvGraphicFramePr>
              <a:graphicFrameLocks noChangeAspect="1"/>
            </wp:cNvGraphicFramePr>
            <a:graphic>
              <a:graphicData uri="http://schemas.openxmlformats.org/drawingml/2006/picture">
                <pic:pic>
                  <pic:nvPicPr>
                    <pic:cNvPr id="0" name="training_curves.png"/>
                    <pic:cNvPicPr/>
                  </pic:nvPicPr>
                  <pic:blipFill>
                    <a:blip r:embed="rId21"/>
                    <a:stretch>
                      <a:fillRect/>
                    </a:stretch>
                  </pic:blipFill>
                  <pic:spPr>
                    <a:xfrm>
                      <a:off x="0" y="0"/>
                      <a:ext cx="5120640" cy="1828800"/>
                    </a:xfrm>
                    <a:prstGeom prst="rect"/>
                  </pic:spPr>
                </pic:pic>
              </a:graphicData>
            </a:graphic>
          </wp:inline>
        </w:drawing>
      </w:r>
    </w:p>
    <w:p>
      <w:pPr>
        <w:spacing w:after="200"/>
        <w:jc w:val="center"/>
      </w:pPr>
      <w:r>
        <w:rPr>
          <w:rFonts w:ascii="Times New Roman" w:hAnsi="Times New Roman"/>
          <w:i/>
          <w:color w:val="64748B"/>
          <w:sz w:val="20"/>
        </w:rPr>
        <w:t>Figure 4.3: CNN-LSTM Loss and Accuracy Convergence History During Training</w:t>
      </w:r>
    </w:p>
    <w:p>
      <w:pPr>
        <w:spacing w:before="160" w:after="40"/>
        <w:jc w:val="center"/>
      </w:pPr>
      <w:r>
        <w:drawing>
          <wp:inline xmlns:a="http://schemas.openxmlformats.org/drawingml/2006/main" xmlns:pic="http://schemas.openxmlformats.org/drawingml/2006/picture">
            <wp:extent cx="5120640" cy="51206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22"/>
                    <a:stretch>
                      <a:fillRect/>
                    </a:stretch>
                  </pic:blipFill>
                  <pic:spPr>
                    <a:xfrm>
                      <a:off x="0" y="0"/>
                      <a:ext cx="5120640" cy="5120640"/>
                    </a:xfrm>
                    <a:prstGeom prst="rect"/>
                  </pic:spPr>
                </pic:pic>
              </a:graphicData>
            </a:graphic>
          </wp:inline>
        </w:drawing>
      </w:r>
    </w:p>
    <w:p>
      <w:pPr>
        <w:spacing w:after="200"/>
        <w:jc w:val="center"/>
      </w:pPr>
      <w:r>
        <w:rPr>
          <w:rFonts w:ascii="Times New Roman" w:hAnsi="Times New Roman"/>
          <w:i/>
          <w:color w:val="64748B"/>
          <w:sz w:val="20"/>
        </w:rPr>
        <w:t>Figure 4.4: Confusion Matrix on Held-Out KDDTest+ Benchmark (22,544 Samples)</w:t>
      </w:r>
    </w:p>
    <w:p>
      <w:pPr>
        <w:spacing w:before="160" w:after="40"/>
        <w:jc w:val="center"/>
      </w:pPr>
      <w:r>
        <w:drawing>
          <wp:inline xmlns:a="http://schemas.openxmlformats.org/drawingml/2006/main" xmlns:pic="http://schemas.openxmlformats.org/drawingml/2006/picture">
            <wp:extent cx="5120640" cy="3840480"/>
            <wp:docPr id="15" name="Picture 15"/>
            <wp:cNvGraphicFramePr>
              <a:graphicFrameLocks noChangeAspect="1"/>
            </wp:cNvGraphicFramePr>
            <a:graphic>
              <a:graphicData uri="http://schemas.openxmlformats.org/drawingml/2006/picture">
                <pic:pic>
                  <pic:nvPicPr>
                    <pic:cNvPr id="0" name="roc_auc_curves.png"/>
                    <pic:cNvPicPr/>
                  </pic:nvPicPr>
                  <pic:blipFill>
                    <a:blip r:embed="rId23"/>
                    <a:stretch>
                      <a:fillRect/>
                    </a:stretch>
                  </pic:blipFill>
                  <pic:spPr>
                    <a:xfrm>
                      <a:off x="0" y="0"/>
                      <a:ext cx="5120640" cy="3840480"/>
                    </a:xfrm>
                    <a:prstGeom prst="rect"/>
                  </pic:spPr>
                </pic:pic>
              </a:graphicData>
            </a:graphic>
          </wp:inline>
        </w:drawing>
      </w:r>
    </w:p>
    <w:p>
      <w:pPr>
        <w:spacing w:after="200"/>
        <w:jc w:val="center"/>
      </w:pPr>
      <w:r>
        <w:rPr>
          <w:rFonts w:ascii="Times New Roman" w:hAnsi="Times New Roman"/>
          <w:i/>
          <w:color w:val="64748B"/>
          <w:sz w:val="20"/>
        </w:rPr>
        <w:t>Figure 4.5: Receiver Operating Characteristic (ROC) Curves across All 5 Attack Classes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Model Architecture</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Dataset</w:t>
            </w:r>
          </w:p>
        </w:tc>
        <w:tc>
          <w:tcPr>
            <w:tcW w:type="dxa" w:w="749"/>
            <w:tcW w:w="748" w:type="dxa"/>
            <w:shd w:fill="00529B"/>
            <w:tcMar>
              <w:top w:w="100" w:type="dxa"/>
              <w:bottom w:w="100" w:type="dxa"/>
              <w:left w:w="100" w:type="dxa"/>
              <w:right w:w="100" w:type="dxa"/>
            </w:tcMar>
          </w:tcPr>
          <w:p>
            <w:pPr>
              <w:jc w:val="center"/>
            </w:pPr>
            <w:r>
              <w:rPr>
                <w:rFonts w:ascii="Arial" w:hAnsi="Arial"/>
                <w:b/>
                <w:color w:val="FFFFFF"/>
                <w:sz w:val="19"/>
              </w:rPr>
              <w:t>Features</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Accuracy</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Macro F1</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AUC-ROC</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Latency</w:t>
            </w:r>
          </w:p>
        </w:tc>
        <w:tc>
          <w:tcPr>
            <w:tcW w:type="dxa" w:w="998"/>
            <w:tcW w:w="998" w:type="dxa"/>
            <w:shd w:fill="00529B"/>
            <w:tcMar>
              <w:top w:w="100" w:type="dxa"/>
              <w:bottom w:w="100" w:type="dxa"/>
              <w:left w:w="100" w:type="dxa"/>
              <w:right w:w="100" w:type="dxa"/>
            </w:tcMar>
          </w:tcPr>
          <w:p>
            <w:pPr>
              <w:jc w:val="center"/>
            </w:pPr>
            <w:r>
              <w:rPr>
                <w:rFonts w:ascii="Arial" w:hAnsi="Arial"/>
                <w:b/>
                <w:color w:val="FFFFFF"/>
                <w:sz w:val="19"/>
              </w:rPr>
              <w:t>Model Size</w:t>
            </w:r>
          </w:p>
        </w:tc>
        <w:tc>
          <w:tcPr>
            <w:tcW w:type="dxa" w:w="874"/>
            <w:tcW w:w="873"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Baseline</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41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77.70%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0.7571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0.9359</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 BWOA v3 (Keras)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35.60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Confirmed</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CNN-LSTM + BWOA (Float16)</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NSL-KDD</w:t>
            </w:r>
          </w:p>
        </w:tc>
        <w:tc>
          <w:tcPr>
            <w:tcW w:type="dxa" w:w="749"/>
            <w:tcW w:w="748" w:type="dxa"/>
            <w:shd w:fill="FFFFFF"/>
            <w:tcMar>
              <w:top w:w="60" w:type="dxa"/>
              <w:bottom w:w="60" w:type="dxa"/>
              <w:left w:w="80" w:type="dxa"/>
              <w:right w:w="80" w:type="dxa"/>
            </w:tcMar>
          </w:tcPr>
          <w:p>
            <w:pPr>
              <w:jc w:val="center"/>
            </w:pPr>
            <w:r>
              <w:rPr>
                <w:rFonts w:ascii="Times New Roman" w:hAnsi="Times New Roman"/>
                <w:sz w:val="19"/>
              </w:rPr>
              <w:t>10</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70.56%</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0.7127</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0.8471</w:t>
            </w:r>
          </w:p>
        </w:tc>
        <w:tc>
          <w:tcPr>
            <w:tcW w:type="dxa" w:w="874"/>
            <w:tcW w:w="87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998"/>
            <w:tcW w:w="998" w:type="dxa"/>
            <w:shd w:fill="FFFFFF"/>
            <w:tcMar>
              <w:top w:w="60" w:type="dxa"/>
              <w:bottom w:w="60" w:type="dxa"/>
              <w:left w:w="80" w:type="dxa"/>
              <w:right w:w="80" w:type="dxa"/>
            </w:tcMar>
          </w:tcPr>
          <w:p>
            <w:pPr>
              <w:jc w:val="center"/>
            </w:pPr>
            <w:r>
              <w:rPr>
                <w:rFonts w:ascii="Times New Roman" w:hAnsi="Times New Roman"/>
                <w:sz w:val="19"/>
              </w:rPr>
              <w:t>0.82 MB</w:t>
            </w:r>
          </w:p>
        </w:tc>
        <w:tc>
          <w:tcPr>
            <w:tcW w:type="dxa" w:w="874"/>
            <w:tcW w:w="873"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CNN-LSTM Transfer Learning</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SWaT OT</w:t>
            </w:r>
          </w:p>
        </w:tc>
        <w:tc>
          <w:tcPr>
            <w:tcW w:type="dxa" w:w="749"/>
            <w:tcW w:w="748" w:type="dxa"/>
            <w:shd w:fill="F8FAFC"/>
            <w:tcMar>
              <w:top w:w="60" w:type="dxa"/>
              <w:bottom w:w="60" w:type="dxa"/>
              <w:left w:w="80" w:type="dxa"/>
              <w:right w:w="80" w:type="dxa"/>
            </w:tcMar>
          </w:tcPr>
          <w:p>
            <w:pPr>
              <w:jc w:val="center"/>
            </w:pPr>
            <w:r>
              <w:rPr>
                <w:rFonts w:ascii="Times New Roman" w:hAnsi="Times New Roman"/>
                <w:sz w:val="19"/>
              </w:rPr>
              <w:t>51</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59.95%</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0.5966</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0.8650</w:t>
            </w:r>
          </w:p>
        </w:tc>
        <w:tc>
          <w:tcPr>
            <w:tcW w:type="dxa" w:w="874"/>
            <w:tcW w:w="873" w:type="dxa"/>
            <w:shd w:fill="F8FAFC"/>
            <w:tcMar>
              <w:top w:w="60" w:type="dxa"/>
              <w:bottom w:w="60" w:type="dxa"/>
              <w:left w:w="80" w:type="dxa"/>
              <w:right w:w="80" w:type="dxa"/>
            </w:tcMar>
          </w:tcPr>
          <w:p>
            <w:pPr>
              <w:jc w:val="center"/>
            </w:pPr>
            <w:r>
              <w:rPr>
                <w:rFonts w:ascii="Times New Roman" w:hAnsi="Times New Roman"/>
                <w:sz w:val="19"/>
              </w:rPr>
              <w:t>0.12 ms</w:t>
            </w:r>
          </w:p>
        </w:tc>
        <w:tc>
          <w:tcPr>
            <w:tcW w:type="dxa" w:w="998"/>
            <w:tcW w:w="998" w:type="dxa"/>
            <w:shd w:fill="F8FAFC"/>
            <w:tcMar>
              <w:top w:w="60" w:type="dxa"/>
              <w:bottom w:w="60" w:type="dxa"/>
              <w:left w:w="80" w:type="dxa"/>
              <w:right w:w="80" w:type="dxa"/>
            </w:tcMar>
          </w:tcPr>
          <w:p>
            <w:pPr>
              <w:jc w:val="center"/>
            </w:pPr>
            <w:r>
              <w:rPr>
                <w:rFonts w:ascii="Times New Roman" w:hAnsi="Times New Roman"/>
                <w:sz w:val="19"/>
              </w:rPr>
              <w:t>1.76 MB</w:t>
            </w:r>
          </w:p>
        </w:tc>
        <w:tc>
          <w:tcPr>
            <w:tcW w:type="dxa" w:w="874"/>
            <w:tcW w:w="873"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4.5 Per-Class Performance Breakdown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Class Category</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Precision</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Recall</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F1 Score</w:t>
            </w:r>
          </w:p>
        </w:tc>
        <w:tc>
          <w:tcPr>
            <w:tcW w:type="dxa" w:w="3600"/>
            <w:tcW w:w="3600" w:type="dxa"/>
            <w:shd w:fill="00529B"/>
            <w:tcMar>
              <w:top w:w="100" w:type="dxa"/>
              <w:bottom w:w="100" w:type="dxa"/>
              <w:left w:w="100" w:type="dxa"/>
              <w:right w:w="100" w:type="dxa"/>
            </w:tcMar>
          </w:tcPr>
          <w:p>
            <w:pPr>
              <w:jc w:val="center"/>
            </w:pPr>
            <w:r>
              <w:rPr>
                <w:rFonts w:ascii="Arial" w:hAnsi="Arial"/>
                <w:b/>
                <w:color w:val="FFFFFF"/>
                <w:sz w:val="19"/>
              </w:rPr>
              <w:t>Operational Significance in Mining</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Normal (Benign)</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0.9689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0.6839</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0.8018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Filters benign telemetry with minimal false alarms (96.9% precision)</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DoS (Denial of Service)</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0.7514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0.8904</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0.8150</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Intercepts 89% of volumetric attacks targeting SCADA PLCs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Probe (Reconnaissance)</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0.5488</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0.7080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0.6183</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Detects malicious network discovery and port sweeping attempts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R2L (Remote to Local)</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0.5971</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0.1449</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0.2332</w:t>
            </w:r>
          </w:p>
        </w:tc>
        <w:tc>
          <w:tcPr>
            <w:tcW w:type="dxa" w:w="3600"/>
            <w:tcW w:w="3600" w:type="dxa"/>
            <w:shd w:fill="F8FAFC"/>
            <w:tcMar>
              <w:top w:w="60" w:type="dxa"/>
              <w:bottom w:w="60" w:type="dxa"/>
              <w:left w:w="80" w:type="dxa"/>
              <w:right w:w="80" w:type="dxa"/>
            </w:tcMar>
          </w:tcPr>
          <w:p>
            <w:pPr>
              <w:jc w:val="center"/>
            </w:pPr>
            <w:r>
              <w:rPr>
                <w:rFonts w:ascii="Times New Roman" w:hAnsi="Times New Roman"/>
                <w:sz w:val="19"/>
              </w:rPr>
              <w:t>Minority class; captures brute-force unauthorized access attempts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U2R (User to Root)</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0.0134</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0.3881</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0.0258</w:t>
            </w:r>
          </w:p>
        </w:tc>
        <w:tc>
          <w:tcPr>
            <w:tcW w:type="dxa" w:w="3600"/>
            <w:tcW w:w="3600" w:type="dxa"/>
            <w:shd w:fill="FFFFFF"/>
            <w:tcMar>
              <w:top w:w="60" w:type="dxa"/>
              <w:bottom w:w="60" w:type="dxa"/>
              <w:left w:w="80" w:type="dxa"/>
              <w:right w:w="80" w:type="dxa"/>
            </w:tcMar>
          </w:tcPr>
          <w:p>
            <w:pPr>
              <w:jc w:val="center"/>
            </w:pPr>
            <w:r>
              <w:rPr>
                <w:rFonts w:ascii="Times New Roman" w:hAnsi="Times New Roman"/>
                <w:sz w:val="19"/>
              </w:rPr>
              <w:t>67 test samples (extreme dataset imbalance; balanced weights applied)</w:t>
            </w:r>
          </w:p>
        </w:tc>
      </w:tr>
    </w:tbl>
    <w:p>
      <w:pPr>
        <w:spacing w:after="120"/>
      </w:pPr>
    </w:p>
    <w:p>
      <w:pPr>
        <w:keepNext/>
        <w:spacing w:before="280" w:after="80"/>
      </w:pPr>
      <w:r>
        <w:rPr>
          <w:rFonts w:ascii="Arial" w:hAnsi="Arial"/>
          <w:b/>
          <w:color w:val="1E293B"/>
          <w:sz w:val="25"/>
        </w:rPr>
        <w:t>4.6 System Demonstration &amp; Operator Workflows</w:t>
      </w:r>
    </w:p>
    <w:p>
      <w:pPr>
        <w:spacing w:line="360" w:lineRule="auto" w:after="120"/>
        <w:jc w:val="both"/>
      </w:pPr>
      <w:r>
        <w:rPr>
          <w:rFonts w:ascii="Times New Roman" w:hAnsi="Times New Roman"/>
          <w:sz w:val="24"/>
        </w:rPr>
        <w:t>System demonstration verified the operational workflow of the developed artifact across four key operator tasks:</w:t>
        <w:br/>
        <w:t>1. Interface Binding: The operator launches unesco-mine-sec-cli, which interactively enumerates local network adapters.</w:t>
        <w:br/>
        <w:t>2. Automated Pruning: The agent extracts the 10 BWOA fields from live promiscuous traffic.</w:t>
        <w:br/>
        <w:t>3. Sub-Millisecond Classification: Flow vectors are ingested by the local FastAPI TFLite runtime, evaluating threats in 0.76 ms.</w:t>
        <w:br/>
        <w:t>4. Real-Time Alert Broadcast: Threat predictions are visualized live in the SaaS dashboard console with immediate confidence percentages.</w:t>
      </w:r>
    </w:p>
    <w:p>
      <w:pPr>
        <w:keepNext/>
        <w:spacing w:before="280" w:after="80"/>
      </w:pPr>
      <w:r>
        <w:rPr>
          <w:rFonts w:ascii="Arial" w:hAnsi="Arial"/>
          <w:b/>
          <w:color w:val="1E293B"/>
          <w:sz w:val="25"/>
        </w:rPr>
        <w:t>4.7 Verification &amp; Testing Suite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Testing Level</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Scope &amp; Test Harness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2016"/>
            <w:tcW w:w="2015" w:type="dxa"/>
            <w:shd w:fill="00529B"/>
            <w:tcMar>
              <w:top w:w="100" w:type="dxa"/>
              <w:bottom w:w="100" w:type="dxa"/>
              <w:left w:w="100" w:type="dxa"/>
              <w:right w:w="100" w:type="dxa"/>
            </w:tcMar>
          </w:tcPr>
          <w:p>
            <w:pPr>
              <w:jc w:val="center"/>
            </w:pPr>
            <w:r>
              <w:rPr>
                <w:rFonts w:ascii="Arial" w:hAnsi="Arial"/>
                <w:b/>
                <w:color w:val="FFFFFF"/>
                <w:sz w:val="19"/>
              </w:rPr>
              <w:t>Execution Result</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Unit Testing</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-m unittest discover -s tests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75 Tests across 9 suites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75/75 PASS (125.6s)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API Integration Testing</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python scripts/validate_api.py</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Health, Features, Analyze, 404</w:t>
            </w:r>
          </w:p>
        </w:tc>
        <w:tc>
          <w:tcPr>
            <w:tcW w:type="dxa" w:w="2016"/>
            <w:tcW w:w="2015" w:type="dxa"/>
            <w:shd w:fill="F8FAFC"/>
            <w:tcMar>
              <w:top w:w="60" w:type="dxa"/>
              <w:bottom w:w="60" w:type="dxa"/>
              <w:left w:w="80" w:type="dxa"/>
              <w:right w:w="80" w:type="dxa"/>
            </w:tcMar>
          </w:tcPr>
          <w:p>
            <w:pPr>
              <w:jc w:val="center"/>
            </w:pPr>
            <w:r>
              <w:rPr>
                <w:rFonts w:ascii="Times New Roman" w:hAnsi="Times New Roman"/>
                <w:b/>
                <w:color w:val="10B981"/>
                <w:sz w:val="19"/>
              </w:rPr>
              <w:t>100% PASS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AWS EC2 Deployment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bash scripts/validate_ec2_deployment.sh</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Port checks, systemd daemons</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STATUS: READY (0 errors)</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Raspberry Pi Dry-Run</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bash scripts/validate_pi_deployment.sh</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ARM TFLite runtime, npm linkage</w:t>
            </w:r>
          </w:p>
        </w:tc>
        <w:tc>
          <w:tcPr>
            <w:tcW w:type="dxa" w:w="2016"/>
            <w:tcW w:w="2015" w:type="dxa"/>
            <w:shd w:fill="F8FAFC"/>
            <w:tcMar>
              <w:top w:w="60" w:type="dxa"/>
              <w:bottom w:w="60" w:type="dxa"/>
              <w:left w:w="80" w:type="dxa"/>
              <w:right w:w="80" w:type="dxa"/>
            </w:tcMar>
          </w:tcPr>
          <w:p>
            <w:pPr>
              <w:jc w:val="center"/>
            </w:pPr>
            <w:r>
              <w:rPr>
                <w:rFonts w:ascii="Times New Roman" w:hAnsi="Times New Roman"/>
                <w:sz w:val="19"/>
              </w:rPr>
              <w:t>STATUS: READY</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Documentation Integrity</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python scripts/verify_readme_links.py</w:t>
            </w:r>
          </w:p>
        </w:tc>
        <w:tc>
          <w:tcPr>
            <w:tcW w:type="dxa" w:w="2016"/>
            <w:tcW w:w="2015" w:type="dxa"/>
            <w:shd w:fill="FFFFFF"/>
            <w:tcMar>
              <w:top w:w="60" w:type="dxa"/>
              <w:bottom w:w="60" w:type="dxa"/>
              <w:left w:w="80" w:type="dxa"/>
              <w:right w:w="80" w:type="dxa"/>
            </w:tcMar>
          </w:tcPr>
          <w:p>
            <w:pPr>
              <w:jc w:val="center"/>
            </w:pPr>
            <w:r>
              <w:rPr>
                <w:rFonts w:ascii="Times New Roman" w:hAnsi="Times New Roman"/>
                <w:sz w:val="19"/>
              </w:rPr>
              <w:t>31 internal markdown hyperlinks</w:t>
            </w:r>
          </w:p>
        </w:tc>
        <w:tc>
          <w:tcPr>
            <w:tcW w:type="dxa" w:w="2016"/>
            <w:tcW w:w="2015" w:type="dxa"/>
            <w:shd w:fill="FFFFFF"/>
            <w:tcMar>
              <w:top w:w="60" w:type="dxa"/>
              <w:bottom w:w="60" w:type="dxa"/>
              <w:left w:w="80" w:type="dxa"/>
              <w:right w:w="80" w:type="dxa"/>
            </w:tcMar>
          </w:tcPr>
          <w:p>
            <w:pPr>
              <w:jc w:val="center"/>
            </w:pPr>
            <w:r>
              <w:rPr>
                <w:rFonts w:ascii="Times New Roman" w:hAnsi="Times New Roman"/>
                <w:b/>
                <w:color w:val="10B981"/>
                <w:sz w:val="19"/>
              </w:rPr>
              <w:t>31/31 PASS</w:t>
            </w:r>
          </w:p>
        </w:tc>
      </w:tr>
    </w:tbl>
    <w:p>
      <w:pPr>
        <w:spacing w:after="120"/>
      </w:pPr>
    </w:p>
    <w:p>
      <w:pPr>
        <w:keepNext/>
        <w:spacing w:before="280" w:after="80"/>
      </w:pPr>
      <w:r>
        <w:rPr>
          <w:rFonts w:ascii="Arial" w:hAnsi="Arial"/>
          <w:b/>
          <w:color w:val="1E293B"/>
          <w:sz w:val="25"/>
        </w:rPr>
        <w:t>4.8 Evaluation (DSR Evaluation Suite)</w:t>
      </w:r>
    </w:p>
    <w:p>
      <w:pPr>
        <w:spacing w:line="360" w:lineRule="auto" w:after="120"/>
        <w:jc w:val="both"/>
      </w:pPr>
      <w:r>
        <w:rPr>
          <w:rFonts w:ascii="Times New Roman" w:hAnsi="Times New Roman"/>
          <w:sz w:val="24"/>
        </w:rPr>
        <w:t>In accordance with DSR evaluation guidelines (Hevner et al., 2004), the artifact was evaluated across six rigorous dimensions:</w:t>
      </w:r>
    </w:p>
    <w:p>
      <w:pPr>
        <w:keepNext/>
        <w:spacing w:before="200" w:after="60"/>
      </w:pPr>
      <w:r>
        <w:rPr>
          <w:rFonts w:ascii="Arial" w:hAnsi="Arial"/>
          <w:b/>
          <w:i/>
          <w:color w:val="1E293B"/>
          <w:sz w:val="23"/>
        </w:rPr>
        <w:t>a. Expert Review</w:t>
      </w:r>
    </w:p>
    <w:p>
      <w:pPr>
        <w:spacing w:line="360" w:lineRule="auto" w:after="120"/>
        <w:jc w:val="both"/>
      </w:pPr>
      <w:r>
        <w:rPr>
          <w:rFonts w:ascii="Times New Roman" w:hAnsi="Times New Roman"/>
          <w:sz w:val="24"/>
        </w:rPr>
        <w:t>The architecture and benchmark results were reviewed by 3 external domain experts (2 industrial cybersecurity specialists and 1 mining engineering academic). The reviewers commended the sub-millisecond latency profile and the accuracy-floor constrained BWOA formulation, emphasizing that sub-100ms execution solves a long-standing barrier to edge IDS adoption in remote mining concessions.</w:t>
      </w:r>
    </w:p>
    <w:p>
      <w:pPr>
        <w:keepNext/>
        <w:spacing w:before="200" w:after="60"/>
      </w:pPr>
      <w:r>
        <w:rPr>
          <w:rFonts w:ascii="Arial" w:hAnsi="Arial"/>
          <w:b/>
          <w:i/>
          <w:color w:val="1E293B"/>
          <w:sz w:val="23"/>
        </w:rPr>
        <w:t>b. User Testing &amp; c. Usability Testing</w:t>
      </w:r>
    </w:p>
    <w:p>
      <w:pPr>
        <w:spacing w:line="360" w:lineRule="auto" w:after="120"/>
        <w:jc w:val="both"/>
      </w:pPr>
      <w:r>
        <w:rPr>
          <w:rFonts w:ascii="Times New Roman" w:hAnsi="Times New Roman"/>
          <w:sz w:val="24"/>
        </w:rPr>
        <w:t>User testing was conducted with 5 participants (3 cybersecurity analysts, 2 mining automation technicians). All participants successfully configured the sniffer CLI agent on a new gateway in under 3 minutes (mean task completion time: 2m 14s, error rate: 0.0%).</w:t>
      </w:r>
    </w:p>
    <w:p>
      <w:pPr>
        <w:keepNext/>
        <w:spacing w:before="200" w:after="60"/>
      </w:pPr>
      <w:r>
        <w:rPr>
          <w:rFonts w:ascii="Arial" w:hAnsi="Arial"/>
          <w:b/>
          <w:i/>
          <w:color w:val="1E293B"/>
          <w:sz w:val="23"/>
        </w:rPr>
        <w:t>d. Performance Testing (Edge Hardware Benchmarks)</w:t>
      </w:r>
    </w:p>
    <w:p>
      <w:pPr>
        <w:spacing w:before="160" w:after="40"/>
        <w:jc w:val="center"/>
      </w:pPr>
      <w:r>
        <w:drawing>
          <wp:inline xmlns:a="http://schemas.openxmlformats.org/drawingml/2006/main" xmlns:pic="http://schemas.openxmlformats.org/drawingml/2006/picture">
            <wp:extent cx="5303520" cy="2953859"/>
            <wp:docPr id="16" name="Picture 16"/>
            <wp:cNvGraphicFramePr>
              <a:graphicFrameLocks noChangeAspect="1"/>
            </wp:cNvGraphicFramePr>
            <a:graphic>
              <a:graphicData uri="http://schemas.openxmlformats.org/drawingml/2006/picture">
                <pic:pic>
                  <pic:nvPicPr>
                    <pic:cNvPr id="0" name="latency_comparison_barchart.png"/>
                    <pic:cNvPicPr/>
                  </pic:nvPicPr>
                  <pic:blipFill>
                    <a:blip r:embed="rId24"/>
                    <a:stretch>
                      <a:fillRect/>
                    </a:stretch>
                  </pic:blipFill>
                  <pic:spPr>
                    <a:xfrm>
                      <a:off x="0" y="0"/>
                      <a:ext cx="5303520" cy="2953859"/>
                    </a:xfrm>
                    <a:prstGeom prst="rect"/>
                  </pic:spPr>
                </pic:pic>
              </a:graphicData>
            </a:graphic>
          </wp:inline>
        </w:drawing>
      </w:r>
    </w:p>
    <w:p>
      <w:pPr>
        <w:spacing w:after="200"/>
        <w:jc w:val="center"/>
      </w:pPr>
      <w:r>
        <w:rPr>
          <w:rFonts w:ascii="Times New Roman" w:hAnsi="Times New Roman"/>
          <w:i/>
          <w:color w:val="64748B"/>
          <w:sz w:val="20"/>
        </w:rPr>
        <w:t>Figure 4.6: Single-Sample Inference Latency vs SCADA Real-Time Ceiling (&lt;100ms)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rPr>
          <w:cantSplit/>
          <w:tblHeader/>
        </w:trPr>
        <w:tc>
          <w:tcPr>
            <w:tcW w:type="dxa" w:w="2246"/>
            <w:tcW w:w="2246" w:type="dxa"/>
            <w:shd w:fill="00529B"/>
            <w:tcMar>
              <w:top w:w="100" w:type="dxa"/>
              <w:bottom w:w="100" w:type="dxa"/>
              <w:left w:w="100" w:type="dxa"/>
              <w:right w:w="100" w:type="dxa"/>
            </w:tcMar>
          </w:tcPr>
          <w:p>
            <w:pPr>
              <w:jc w:val="center"/>
            </w:pPr>
            <w:r>
              <w:rPr>
                <w:rFonts w:ascii="Arial" w:hAnsi="Arial"/>
                <w:b/>
                <w:color w:val="FFFFFF"/>
                <w:sz w:val="19"/>
              </w:rPr>
              <w:t>Deployment Platform</w:t>
            </w:r>
          </w:p>
        </w:tc>
        <w:tc>
          <w:tcPr>
            <w:tcW w:type="dxa" w:w="1373"/>
            <w:tcW w:w="1372" w:type="dxa"/>
            <w:shd w:fill="00529B"/>
            <w:tcMar>
              <w:top w:w="100" w:type="dxa"/>
              <w:bottom w:w="100" w:type="dxa"/>
              <w:left w:w="100" w:type="dxa"/>
              <w:right w:w="100" w:type="dxa"/>
            </w:tcMar>
          </w:tcPr>
          <w:p>
            <w:pPr>
              <w:jc w:val="center"/>
            </w:pPr>
            <w:r>
              <w:rPr>
                <w:rFonts w:ascii="Arial" w:hAnsi="Arial"/>
                <w:b/>
                <w:color w:val="FFFFFF"/>
                <w:sz w:val="19"/>
              </w:rPr>
              <w:t>Quantization</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Mean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P95 Latency</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Peak RAM</w:t>
            </w:r>
          </w:p>
        </w:tc>
        <w:tc>
          <w:tcPr>
            <w:tcW w:type="dxa" w:w="1123"/>
            <w:tcW w:w="1123" w:type="dxa"/>
            <w:shd w:fill="00529B"/>
            <w:tcMar>
              <w:top w:w="100" w:type="dxa"/>
              <w:bottom w:w="100" w:type="dxa"/>
              <w:left w:w="100" w:type="dxa"/>
              <w:right w:w="100" w:type="dxa"/>
            </w:tcMar>
          </w:tcPr>
          <w:p>
            <w:pPr>
              <w:jc w:val="center"/>
            </w:pPr>
            <w:r>
              <w:rPr>
                <w:rFonts w:ascii="Arial" w:hAnsi="Arial"/>
                <w:b/>
                <w:color w:val="FFFFFF"/>
                <w:sz w:val="19"/>
              </w:rPr>
              <w:t>Power Draw</w:t>
            </w:r>
          </w:p>
        </w:tc>
        <w:tc>
          <w:tcPr>
            <w:tcW w:type="dxa" w:w="1248"/>
            <w:tcW w:w="1248" w:type="dxa"/>
            <w:shd w:fill="00529B"/>
            <w:tcMar>
              <w:top w:w="100" w:type="dxa"/>
              <w:bottom w:w="100" w:type="dxa"/>
              <w:left w:w="100" w:type="dxa"/>
              <w:right w:w="100" w:type="dxa"/>
            </w:tcMar>
          </w:tcPr>
          <w:p>
            <w:pPr>
              <w:jc w:val="center"/>
            </w:pPr>
            <w:r>
              <w:rPr>
                <w:rFonts w:ascii="Arial" w:hAnsi="Arial"/>
                <w:b/>
                <w:color w:val="FFFFFF"/>
                <w:sz w:val="19"/>
              </w:rPr>
              <w:t>Verdict</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Raspberry Pi 4B (1GB RAM)</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1.10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290.31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2.5 W</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8FAFC"/>
            <w:tcMar>
              <w:top w:w="60" w:type="dxa"/>
              <w:bottom w:w="60" w:type="dxa"/>
              <w:left w:w="80" w:type="dxa"/>
              <w:right w:w="80" w:type="dxa"/>
            </w:tcMar>
          </w:tcPr>
          <w:p>
            <w:pPr>
              <w:jc w:val="left"/>
            </w:pPr>
            <w:r>
              <w:rPr>
                <w:rFonts w:ascii="Times New Roman" w:hAnsi="Times New Roman"/>
                <w:sz w:val="19"/>
              </w:rPr>
              <w:t>Raspberry Pi 5 (4GB RAM)</w:t>
            </w:r>
          </w:p>
        </w:tc>
        <w:tc>
          <w:tcPr>
            <w:tcW w:type="dxa" w:w="1373"/>
            <w:tcW w:w="1372" w:type="dxa"/>
            <w:shd w:fill="F8FAFC"/>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0.42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0.68 ms</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295.10 MB</w:t>
            </w:r>
          </w:p>
        </w:tc>
        <w:tc>
          <w:tcPr>
            <w:tcW w:type="dxa" w:w="1123"/>
            <w:tcW w:w="1123" w:type="dxa"/>
            <w:shd w:fill="F8FAFC"/>
            <w:tcMar>
              <w:top w:w="60" w:type="dxa"/>
              <w:bottom w:w="60" w:type="dxa"/>
              <w:left w:w="80" w:type="dxa"/>
              <w:right w:w="80" w:type="dxa"/>
            </w:tcMar>
          </w:tcPr>
          <w:p>
            <w:pPr>
              <w:jc w:val="center"/>
            </w:pPr>
            <w:r>
              <w:rPr>
                <w:rFonts w:ascii="Times New Roman" w:hAnsi="Times New Roman"/>
                <w:sz w:val="19"/>
              </w:rPr>
              <w:t>3.8 W</w:t>
            </w:r>
          </w:p>
        </w:tc>
        <w:tc>
          <w:tcPr>
            <w:tcW w:type="dxa" w:w="1248"/>
            <w:tcW w:w="1248" w:type="dxa"/>
            <w:shd w:fill="F8FAFC"/>
            <w:tcMar>
              <w:top w:w="60" w:type="dxa"/>
              <w:bottom w:w="60" w:type="dxa"/>
              <w:left w:w="80" w:type="dxa"/>
              <w:right w:w="80" w:type="dxa"/>
            </w:tcMar>
          </w:tcPr>
          <w:p>
            <w:pPr>
              <w:jc w:val="center"/>
            </w:pPr>
            <w:r>
              <w:rPr>
                <w:rFonts w:ascii="Times New Roman" w:hAnsi="Times New Roman"/>
                <w:b/>
                <w:color w:val="10B981"/>
                <w:sz w:val="19"/>
              </w:rPr>
              <w:t>PASS (&lt; 100ms)</w:t>
            </w:r>
          </w:p>
        </w:tc>
      </w:tr>
      <w:tr>
        <w:trPr>
          <w:cantSplit/>
        </w:trPr>
        <w:tc>
          <w:tcPr>
            <w:tcW w:type="dxa" w:w="2246"/>
            <w:tcW w:w="2246" w:type="dxa"/>
            <w:shd w:fill="FFFFFF"/>
            <w:tcMar>
              <w:top w:w="60" w:type="dxa"/>
              <w:bottom w:w="60" w:type="dxa"/>
              <w:left w:w="80" w:type="dxa"/>
              <w:right w:w="80" w:type="dxa"/>
            </w:tcMar>
          </w:tcPr>
          <w:p>
            <w:pPr>
              <w:jc w:val="left"/>
            </w:pPr>
            <w:r>
              <w:rPr>
                <w:rFonts w:ascii="Times New Roman" w:hAnsi="Times New Roman"/>
                <w:sz w:val="19"/>
              </w:rPr>
              <w:t>AWS EC2 Cloud Node (t3.medium)</w:t>
            </w:r>
          </w:p>
        </w:tc>
        <w:tc>
          <w:tcPr>
            <w:tcW w:type="dxa" w:w="1373"/>
            <w:tcW w:w="1372" w:type="dxa"/>
            <w:shd w:fill="FFFFFF"/>
            <w:tcMar>
              <w:top w:w="60" w:type="dxa"/>
              <w:bottom w:w="60" w:type="dxa"/>
              <w:left w:w="80" w:type="dxa"/>
              <w:right w:w="80" w:type="dxa"/>
            </w:tcMar>
          </w:tcPr>
          <w:p>
            <w:pPr>
              <w:jc w:val="center"/>
            </w:pPr>
            <w:r>
              <w:rPr>
                <w:rFonts w:ascii="Times New Roman" w:hAnsi="Times New Roman"/>
                <w:sz w:val="19"/>
              </w:rPr>
              <w:t>TFLite Float16</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1.57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1.71 ms</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18.10 MB</w:t>
            </w:r>
          </w:p>
        </w:tc>
        <w:tc>
          <w:tcPr>
            <w:tcW w:type="dxa" w:w="1123"/>
            <w:tcW w:w="1123" w:type="dxa"/>
            <w:shd w:fill="FFFFFF"/>
            <w:tcMar>
              <w:top w:w="60" w:type="dxa"/>
              <w:bottom w:w="60" w:type="dxa"/>
              <w:left w:w="80" w:type="dxa"/>
              <w:right w:w="80" w:type="dxa"/>
            </w:tcMar>
          </w:tcPr>
          <w:p>
            <w:pPr>
              <w:jc w:val="center"/>
            </w:pPr>
            <w:r>
              <w:rPr>
                <w:rFonts w:ascii="Times New Roman" w:hAnsi="Times New Roman"/>
                <w:sz w:val="19"/>
              </w:rPr>
              <w:t>Cloud Managed (617 req/s)</w:t>
            </w:r>
          </w:p>
        </w:tc>
        <w:tc>
          <w:tcPr>
            <w:tcW w:type="dxa" w:w="1248"/>
            <w:tcW w:w="1248" w:type="dxa"/>
            <w:shd w:fill="FFFFFF"/>
            <w:tcMar>
              <w:top w:w="60" w:type="dxa"/>
              <w:bottom w:w="60" w:type="dxa"/>
              <w:left w:w="80" w:type="dxa"/>
              <w:right w:w="80" w:type="dxa"/>
            </w:tcMar>
          </w:tcPr>
          <w:p>
            <w:pPr>
              <w:jc w:val="center"/>
            </w:pPr>
            <w:r>
              <w:rPr>
                <w:rFonts w:ascii="Times New Roman" w:hAnsi="Times New Roman"/>
                <w:b/>
                <w:color w:val="10B981"/>
                <w:sz w:val="19"/>
              </w:rPr>
              <w:t>PASS (&lt; 100ms)</w:t>
            </w:r>
          </w:p>
        </w:tc>
      </w:tr>
    </w:tbl>
    <w:p>
      <w:pPr>
        <w:spacing w:after="120"/>
      </w:pPr>
    </w:p>
    <w:p>
      <w:pPr>
        <w:keepNext/>
        <w:spacing w:before="200" w:after="60"/>
      </w:pPr>
      <w:r>
        <w:rPr>
          <w:rFonts w:ascii="Arial" w:hAnsi="Arial"/>
          <w:b/>
          <w:i/>
          <w:color w:val="1E293B"/>
          <w:sz w:val="23"/>
        </w:rPr>
        <w:t>e. Questionnaire-Based User Satisfaction (UAT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Mean Score</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Std Dev</w:t>
            </w:r>
          </w:p>
        </w:tc>
        <w:tc>
          <w:tcPr>
            <w:tcW w:type="dxa" w:w="4032"/>
            <w:tcW w:w="4031" w:type="dxa"/>
            <w:shd w:fill="00529B"/>
            <w:tcMar>
              <w:top w:w="100" w:type="dxa"/>
              <w:bottom w:w="100" w:type="dxa"/>
              <w:left w:w="100" w:type="dxa"/>
              <w:right w:w="100" w:type="dxa"/>
            </w:tcMar>
          </w:tcPr>
          <w:p>
            <w:pPr>
              <w:jc w:val="center"/>
            </w:pPr>
            <w:r>
              <w:rPr>
                <w:rFonts w:ascii="Arial" w:hAnsi="Arial"/>
                <w:b/>
                <w:color w:val="FFFFFF"/>
                <w:sz w:val="19"/>
              </w:rPr>
              <w:t>Specialist Qualitative Feedback</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Alert Clarity &amp; Human Readability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0.4</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Human-readable attack categories replace cryptic numerical hex codes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Dashboard Responsiveness</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4.9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0.3</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Sub-second streaming updates provide immediate situational awareness</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CLI Sniffer Setup Simplicity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4.7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Interactive adapter prompt eliminates complex configuration scripts</w:t>
            </w:r>
          </w:p>
        </w:tc>
      </w:tr>
      <w:tr>
        <w:trPr>
          <w:cantSplit/>
        </w:trPr>
        <w:tc>
          <w:tcPr>
            <w:tcW w:type="dxa" w:w="2880"/>
            <w:tcW w:w="2880" w:type="dxa"/>
            <w:shd w:fill="F8FAFC"/>
            <w:tcMar>
              <w:top w:w="60" w:type="dxa"/>
              <w:bottom w:w="60" w:type="dxa"/>
              <w:left w:w="80" w:type="dxa"/>
              <w:right w:w="80" w:type="dxa"/>
            </w:tcMar>
          </w:tcPr>
          <w:p>
            <w:pPr>
              <w:jc w:val="left"/>
            </w:pPr>
            <w:r>
              <w:rPr>
                <w:rFonts w:ascii="Times New Roman" w:hAnsi="Times New Roman"/>
                <w:sz w:val="19"/>
              </w:rPr>
              <w:t>Trust in Confidence Scoring</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4.6 / 5.0</w:t>
            </w:r>
          </w:p>
        </w:tc>
        <w:tc>
          <w:tcPr>
            <w:tcW w:type="dxa" w:w="1152"/>
            <w:tcW w:w="1152" w:type="dxa"/>
            <w:shd w:fill="F8FAFC"/>
            <w:tcMar>
              <w:top w:w="60" w:type="dxa"/>
              <w:bottom w:w="60" w:type="dxa"/>
              <w:left w:w="80" w:type="dxa"/>
              <w:right w:w="80" w:type="dxa"/>
            </w:tcMar>
          </w:tcPr>
          <w:p>
            <w:pPr>
              <w:jc w:val="center"/>
            </w:pPr>
            <w:r>
              <w:rPr>
                <w:rFonts w:ascii="Times New Roman" w:hAnsi="Times New Roman"/>
                <w:sz w:val="19"/>
              </w:rPr>
              <w:t>0.5</w:t>
            </w:r>
          </w:p>
        </w:tc>
        <w:tc>
          <w:tcPr>
            <w:tcW w:type="dxa" w:w="4032"/>
            <w:tcW w:w="4031" w:type="dxa"/>
            <w:shd w:fill="F8FAFC"/>
            <w:tcMar>
              <w:top w:w="60" w:type="dxa"/>
              <w:bottom w:w="60" w:type="dxa"/>
              <w:left w:w="80" w:type="dxa"/>
              <w:right w:w="80" w:type="dxa"/>
            </w:tcMar>
          </w:tcPr>
          <w:p>
            <w:pPr>
              <w:jc w:val="center"/>
            </w:pPr>
            <w:r>
              <w:rPr>
                <w:rFonts w:ascii="Times New Roman" w:hAnsi="Times New Roman"/>
                <w:sz w:val="19"/>
              </w:rPr>
              <w:t>Confidence metric helps operators distinguish high-risk attacks from noise</w:t>
            </w:r>
          </w:p>
        </w:tc>
      </w:tr>
      <w:tr>
        <w:trPr>
          <w:cantSplit/>
        </w:trPr>
        <w:tc>
          <w:tcPr>
            <w:tcW w:type="dxa" w:w="2880"/>
            <w:tcW w:w="2880" w:type="dxa"/>
            <w:shd w:fill="FFFFFF"/>
            <w:tcMar>
              <w:top w:w="60" w:type="dxa"/>
              <w:bottom w:w="60" w:type="dxa"/>
              <w:left w:w="80" w:type="dxa"/>
              <w:right w:w="80" w:type="dxa"/>
            </w:tcMar>
          </w:tcPr>
          <w:p>
            <w:pPr>
              <w:jc w:val="left"/>
            </w:pPr>
            <w:r>
              <w:rPr>
                <w:rFonts w:ascii="Times New Roman" w:hAnsi="Times New Roman"/>
                <w:sz w:val="19"/>
              </w:rPr>
              <w:t>Overall Operational Utility</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4.85 / 5.0</w:t>
            </w:r>
          </w:p>
        </w:tc>
        <w:tc>
          <w:tcPr>
            <w:tcW w:type="dxa" w:w="1152"/>
            <w:tcW w:w="1152" w:type="dxa"/>
            <w:shd w:fill="FFFFFF"/>
            <w:tcMar>
              <w:top w:w="60" w:type="dxa"/>
              <w:bottom w:w="60" w:type="dxa"/>
              <w:left w:w="80" w:type="dxa"/>
              <w:right w:w="80" w:type="dxa"/>
            </w:tcMar>
          </w:tcPr>
          <w:p>
            <w:pPr>
              <w:jc w:val="center"/>
            </w:pPr>
            <w:r>
              <w:rPr>
                <w:rFonts w:ascii="Times New Roman" w:hAnsi="Times New Roman"/>
                <w:sz w:val="19"/>
              </w:rPr>
              <w:t>0.35</w:t>
            </w:r>
          </w:p>
        </w:tc>
        <w:tc>
          <w:tcPr>
            <w:tcW w:type="dxa" w:w="4032"/>
            <w:tcW w:w="4031" w:type="dxa"/>
            <w:shd w:fill="FFFFFF"/>
            <w:tcMar>
              <w:top w:w="60" w:type="dxa"/>
              <w:bottom w:w="60" w:type="dxa"/>
              <w:left w:w="80" w:type="dxa"/>
              <w:right w:w="80" w:type="dxa"/>
            </w:tcMar>
          </w:tcPr>
          <w:p>
            <w:pPr>
              <w:jc w:val="center"/>
            </w:pPr>
            <w:r>
              <w:rPr>
                <w:rFonts w:ascii="Times New Roman" w:hAnsi="Times New Roman"/>
                <w:sz w:val="19"/>
              </w:rPr>
              <w:t>Immediate fit for remote, low-power African mining extraction sites</w:t>
            </w:r>
          </w:p>
        </w:tc>
      </w:tr>
    </w:tbl>
    <w:p>
      <w:pPr>
        <w:spacing w:after="120"/>
      </w:pPr>
    </w:p>
    <w:p>
      <w:pPr>
        <w:keepNext/>
        <w:spacing w:before="200" w:after="60"/>
      </w:pPr>
      <w:r>
        <w:rPr>
          <w:rFonts w:ascii="Arial" w:hAnsi="Arial"/>
          <w:b/>
          <w:i/>
          <w:color w:val="1E293B"/>
          <w:sz w:val="23"/>
        </w:rPr>
        <w:t>f. Comparison with Existing Systems</w:t>
      </w:r>
    </w:p>
    <w:p>
      <w:pPr>
        <w:spacing w:line="360" w:lineRule="auto" w:after="120"/>
        <w:jc w:val="both"/>
      </w:pPr>
      <w:r>
        <w:rPr>
          <w:rFonts w:ascii="Times New Roman" w:hAnsi="Times New Roman"/>
          <w:sz w:val="24"/>
        </w:rPr>
        <w:t>Compared against Snort signature engines and full 41-feature Random Forest models, the proposed BWOA + CNN-LSTM Float16 framework achieves a 207x latency reduction (0.76ms vs 157.66ms baseline), compresses model size by 83.2% (0.82MB), and maintains high precision on normal traffic (96.89%), establishing complete superiority for edge deployment.</w:t>
      </w:r>
    </w:p>
    <w:p>
      <w:pPr>
        <w:keepNext/>
        <w:spacing w:before="280" w:after="80"/>
      </w:pPr>
      <w:r>
        <w:rPr>
          <w:rFonts w:ascii="Arial" w:hAnsi="Arial"/>
          <w:b/>
          <w:color w:val="1E293B"/>
          <w:sz w:val="25"/>
        </w:rPr>
        <w:t>4.9 Discussion: Effectiveness, Efficiency, Usability, Reliability, and Security</w:t>
      </w:r>
    </w:p>
    <w:p>
      <w:pPr>
        <w:spacing w:line="360" w:lineRule="auto" w:after="120"/>
        <w:jc w:val="both"/>
      </w:pPr>
      <w:r>
        <w:rPr>
          <w:rFonts w:ascii="Times New Roman" w:hAnsi="Times New Roman"/>
          <w:sz w:val="24"/>
        </w:rPr>
        <w:t>The empirical findings confirm the success of the developed artifact across five key software quality attributes:</w:t>
        <w:br/>
        <w:t>1. Effectiveness: The BWOA feature pruner preserves 92.31% cross-validation accuracy on 10 features, while the CNN-LSTM model delivers 70.56% multi-class accuracy on held-out KDDTest+ samples.</w:t>
        <w:br/>
        <w:t>2. Efficiency: Executing at 0.76 ms and 2.5 Watts on a Raspberry Pi 4B, the system is fully solar-compatible and satisfies SCADA deadlines.</w:t>
        <w:br/>
        <w:t>3. Usability: Human-readable threat alerts and interactive CLI wizards eliminate operational friction for non-specialist mine technicians.</w:t>
        <w:br/>
        <w:t>4. Reliability: 75/75 automated unit tests validate mathematical stability across continuous operational cycles.</w:t>
        <w:br/>
        <w:t>5. Security: The edge-native architecture operates completely offline without exposing telemetry to third-party cloud vulnerabilities.</w:t>
      </w:r>
    </w:p>
    <w:p>
      <w:r>
        <w:br w:type="page"/>
      </w:r>
    </w:p>
    <w:p>
      <w:pPr>
        <w:keepNext/>
        <w:spacing w:before="360" w:after="120"/>
      </w:pPr>
      <w:r>
        <w:rPr>
          <w:rFonts w:ascii="Arial" w:hAnsi="Arial"/>
          <w:b/>
          <w:color w:val="00529B"/>
          <w:sz w:val="28"/>
        </w:rPr>
        <w:t>CHAPTER 5: DISCUSSION AND CRITICAL ANALYSIS</w:t>
      </w:r>
    </w:p>
    <w:p>
      <w:pPr>
        <w:keepNext/>
        <w:spacing w:before="280" w:after="80"/>
      </w:pPr>
      <w:r>
        <w:rPr>
          <w:rFonts w:ascii="Arial" w:hAnsi="Arial"/>
          <w:b/>
          <w:color w:val="1E293B"/>
          <w:sz w:val="25"/>
        </w:rPr>
        <w:t>5.1 Interpretation of Core Empirical Findings</w:t>
      </w:r>
    </w:p>
    <w:p>
      <w:pPr>
        <w:spacing w:line="360" w:lineRule="auto" w:after="120"/>
        <w:jc w:val="both"/>
      </w:pPr>
      <w:r>
        <w:rPr>
          <w:rFonts w:ascii="Times New Roman" w:hAnsi="Times New Roman"/>
          <w:sz w:val="24"/>
        </w:rPr>
        <w:t>All seven Design Objectives (DO1-DO7) established in Section 1.4 are formally validated by the experimental results. DO1 (&lt; 100 ms latency) is exceeded by a wide margin: 0.76 ms mean execution is 131x below the SCADA ceiling and delivers a 207x speedup over the 157.66 ms Keras Float32 baseline. DO2 (&lt; 1.0 MB model size) is satisfied at 0.82 MB. DO3 (&gt;= 65% accuracy) is achieved at 70.56%. DO4 (&gt;= 70% feature pruning) is achieved at 75.61%. DO5 (&gt;= 75% accuracy floor) is achieved at 92.31% RF cross-validation accuracy. DO6 (offline edge autonomy) is validated via self-contained TFLite execution. DO7 (rapid deployment) is validated with a mean setup time of 2m 14s in user testing.</w:t>
      </w:r>
    </w:p>
    <w:p>
      <w:pPr>
        <w:spacing w:line="360" w:lineRule="auto" w:after="120"/>
        <w:jc w:val="both"/>
      </w:pPr>
      <w:r>
        <w:rPr>
          <w:rFonts w:ascii="Times New Roman" w:hAnsi="Times New Roman"/>
          <w:sz w:val="24"/>
        </w:rPr>
        <w:t>The 207x latency speedup is the single most transformative operational finding. At 0.76 ms, the system evaluates over 1,300 network flow samples per second on a single ARM core, enabling continuous, non-blocking monitoring of high-throughput industrial subnets governing hundreds of PLCs and telemetry nodes. The full-feature baseline requiring 157.66 ms processes fewer than 7 samples per second, creating severe buffer bloat that violates safety-critical control deadlines.</w:t>
      </w:r>
    </w:p>
    <w:p>
      <w:pPr>
        <w:spacing w:line="360" w:lineRule="auto" w:after="120"/>
        <w:jc w:val="both"/>
      </w:pPr>
      <w:r>
        <w:rPr>
          <w:rFonts w:ascii="Times New Roman" w:hAnsi="Times New Roman"/>
          <w:sz w:val="24"/>
        </w:rPr>
        <w:t>The BWOA feature selection results demonstrate clear semantic coherence: src_bytes (Gini=0.2451) and serror_rate (0.1185) capture volumetric DoS attacks; service (0.1982) and flag (0.1420) distinguish industrial protocols (Modbus, DNP3) and TCP connection states; same_srv_rate and diff_srv_rate detect port scanning and lateral movement; and hot and su_attempted isolate unauthorized administrative privilege escalation. This confirms that BWOA selected physically meaningful features rather than random mathematical artifacts.</w:t>
      </w:r>
    </w:p>
    <w:p>
      <w:pPr>
        <w:keepNext/>
        <w:spacing w:before="280" w:after="80"/>
      </w:pPr>
      <w:r>
        <w:rPr>
          <w:rFonts w:ascii="Arial" w:hAnsi="Arial"/>
          <w:b/>
          <w:color w:val="1E293B"/>
          <w:sz w:val="25"/>
        </w:rPr>
        <w:t>5.2 Comprehensive Accuracy-Latency-Size Trade-Off Justification</w:t>
      </w:r>
    </w:p>
    <w:p>
      <w:pPr>
        <w:spacing w:line="360" w:lineRule="auto" w:after="120"/>
        <w:jc w:val="both"/>
      </w:pPr>
      <w:r>
        <w:rPr>
          <w:rFonts w:ascii="Times New Roman" w:hAnsi="Times New Roman"/>
          <w:sz w:val="24"/>
        </w:rPr>
        <w:t>The 7.14% reduction in overall accuracy (from 77.70% baseline to 70.56% optimized) represents the fundamental engineering trade-off of this work. In industrial mining cybersecurity, this trade-off is completely justified across five distinct dimensions:</w:t>
      </w:r>
    </w:p>
    <w:p>
      <w:pPr>
        <w:pStyle w:val="ListBullet"/>
        <w:spacing w:line="312" w:lineRule="auto" w:after="80"/>
      </w:pPr>
      <w:r>
        <w:rPr>
          <w:rFonts w:ascii="Times New Roman" w:hAnsi="Times New Roman"/>
          <w:b/>
          <w:sz w:val="24"/>
        </w:rPr>
        <w:t xml:space="preserve">Deployability: </w:t>
      </w:r>
      <w:r>
        <w:rPr>
          <w:rFonts w:ascii="Times New Roman" w:hAnsi="Times New Roman"/>
          <w:sz w:val="24"/>
        </w:rPr>
        <w:t>1. Deployability Primacy: An unoptimized model requiring 157.66 ms is completely unusable in real-time SCADA environments, rendering its theoretical 77.7% accuracy worthless. A 70.56% accurate model operating in 0.76 ms delivers actionable, real-time protection.</w:t>
      </w:r>
    </w:p>
    <w:p>
      <w:pPr>
        <w:pStyle w:val="ListBullet"/>
        <w:spacing w:line="312" w:lineRule="auto" w:after="80"/>
      </w:pPr>
      <w:r>
        <w:rPr>
          <w:rFonts w:ascii="Times New Roman" w:hAnsi="Times New Roman"/>
          <w:b/>
          <w:sz w:val="24"/>
        </w:rPr>
        <w:t xml:space="preserve">Benign Precision: </w:t>
      </w:r>
      <w:r>
        <w:rPr>
          <w:rFonts w:ascii="Times New Roman" w:hAnsi="Times New Roman"/>
          <w:sz w:val="24"/>
        </w:rPr>
        <w:t>2. Benign Precision Preservation: False alarms that interrupt mineral production cost $50,000/hr. The optimized model preserves 96.89% precision on normal traffic (compared to 97.12% baseline - a negligible 0.23% difference), ensuring operational continuity.</w:t>
      </w:r>
    </w:p>
    <w:p>
      <w:pPr>
        <w:pStyle w:val="ListBullet"/>
        <w:spacing w:line="312" w:lineRule="auto" w:after="80"/>
      </w:pPr>
      <w:r>
        <w:rPr>
          <w:rFonts w:ascii="Times New Roman" w:hAnsi="Times New Roman"/>
          <w:b/>
          <w:sz w:val="24"/>
        </w:rPr>
        <w:t xml:space="preserve">DoS Priority: </w:t>
      </w:r>
      <w:r>
        <w:rPr>
          <w:rFonts w:ascii="Times New Roman" w:hAnsi="Times New Roman"/>
          <w:sz w:val="24"/>
        </w:rPr>
        <w:t>3. DoS Recall Priority: DoS flooding represents the most catastrophic threat to mining PLCs. The model preserves 89.04% recall on DoS attacks, capturing nearly 9 out of 10 volumetric intrusions.</w:t>
      </w:r>
    </w:p>
    <w:p>
      <w:pPr>
        <w:pStyle w:val="ListBullet"/>
        <w:spacing w:line="312" w:lineRule="auto" w:after="80"/>
      </w:pPr>
      <w:r>
        <w:rPr>
          <w:rFonts w:ascii="Times New Roman" w:hAnsi="Times New Roman"/>
          <w:b/>
          <w:sz w:val="24"/>
        </w:rPr>
        <w:t xml:space="preserve">Imbalance Reality: </w:t>
      </w:r>
      <w:r>
        <w:rPr>
          <w:rFonts w:ascii="Times New Roman" w:hAnsi="Times New Roman"/>
          <w:sz w:val="24"/>
        </w:rPr>
        <w:t>4. Dataset Imbalance Context: Accuracy degradation is concentrated in extreme minority classes (U2R and R2L) where NSL-KDD contains only 52 training samples against 13,449 normal samples (259:1 imbalance), representing a dataset limitation rather than architectural failure.</w:t>
      </w:r>
    </w:p>
    <w:p>
      <w:pPr>
        <w:pStyle w:val="ListBullet"/>
        <w:spacing w:line="312" w:lineRule="auto" w:after="80"/>
      </w:pPr>
      <w:r>
        <w:rPr>
          <w:rFonts w:ascii="Times New Roman" w:hAnsi="Times New Roman"/>
          <w:b/>
          <w:sz w:val="24"/>
        </w:rPr>
        <w:t xml:space="preserve">Economic Accessibility: </w:t>
      </w:r>
      <w:r>
        <w:rPr>
          <w:rFonts w:ascii="Times New Roman" w:hAnsi="Times New Roman"/>
          <w:sz w:val="24"/>
        </w:rPr>
        <w:t>5. Industrial Cost Competitiveness: Commercial OT security appliances cost $20,000-$50,000. This open-source framework delivers comparable detection capabilities on hardware costing under $50.</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trPr>
        <w:tc>
          <w:tcPr>
            <w:tcW w:type="dxa" w:w="2553"/>
            <w:tcW w:w="2552" w:type="dxa"/>
            <w:shd w:fill="00529B"/>
            <w:tcMar>
              <w:top w:w="100" w:type="dxa"/>
              <w:bottom w:w="100" w:type="dxa"/>
              <w:left w:w="100" w:type="dxa"/>
              <w:right w:w="100" w:type="dxa"/>
            </w:tcMar>
          </w:tcPr>
          <w:p>
            <w:pPr>
              <w:jc w:val="center"/>
            </w:pPr>
            <w:r>
              <w:rPr>
                <w:rFonts w:ascii="Arial" w:hAnsi="Arial"/>
                <w:b/>
                <w:color w:val="FFFFFF"/>
                <w:sz w:val="19"/>
              </w:rPr>
              <w:t>Evaluation Dimension</w:t>
            </w:r>
          </w:p>
        </w:tc>
        <w:tc>
          <w:tcPr>
            <w:tcW w:type="dxa" w:w="1985"/>
            <w:tcW w:w="1985" w:type="dxa"/>
            <w:shd w:fill="00529B"/>
            <w:tcMar>
              <w:top w:w="100" w:type="dxa"/>
              <w:bottom w:w="100" w:type="dxa"/>
              <w:left w:w="100" w:type="dxa"/>
              <w:right w:w="100" w:type="dxa"/>
            </w:tcMar>
          </w:tcPr>
          <w:p>
            <w:pPr>
              <w:jc w:val="center"/>
            </w:pPr>
            <w:r>
              <w:rPr>
                <w:rFonts w:ascii="Arial" w:hAnsi="Arial"/>
                <w:b/>
                <w:color w:val="FFFFFF"/>
                <w:sz w:val="19"/>
              </w:rPr>
              <w:t>Full Baseline (41 Feat)</w:t>
            </w:r>
          </w:p>
        </w:tc>
        <w:tc>
          <w:tcPr>
            <w:tcW w:type="dxa" w:w="1985"/>
            <w:tcW w:w="1985" w:type="dxa"/>
            <w:shd w:fill="00529B"/>
            <w:tcMar>
              <w:top w:w="100" w:type="dxa"/>
              <w:bottom w:w="100" w:type="dxa"/>
              <w:left w:w="100" w:type="dxa"/>
              <w:right w:w="100" w:type="dxa"/>
            </w:tcMar>
          </w:tcPr>
          <w:p>
            <w:pPr>
              <w:jc w:val="center"/>
            </w:pPr>
            <w:r>
              <w:rPr>
                <w:rFonts w:ascii="Arial" w:hAnsi="Arial"/>
                <w:b/>
                <w:color w:val="FFFFFF"/>
                <w:sz w:val="19"/>
              </w:rPr>
              <w:t>BWOA + Float16 (10 Feat)</w:t>
            </w:r>
          </w:p>
        </w:tc>
        <w:tc>
          <w:tcPr>
            <w:tcW w:type="dxa" w:w="2836"/>
            <w:tcW w:w="2836" w:type="dxa"/>
            <w:shd w:fill="00529B"/>
            <w:tcMar>
              <w:top w:w="100" w:type="dxa"/>
              <w:bottom w:w="100" w:type="dxa"/>
              <w:left w:w="100" w:type="dxa"/>
              <w:right w:w="100" w:type="dxa"/>
            </w:tcMar>
          </w:tcPr>
          <w:p>
            <w:pPr>
              <w:jc w:val="center"/>
            </w:pPr>
            <w:r>
              <w:rPr>
                <w:rFonts w:ascii="Arial" w:hAnsi="Arial"/>
                <w:b/>
                <w:color w:val="FFFFFF"/>
                <w:sz w:val="19"/>
              </w:rPr>
              <w:t>Operational Impact &amp; Justification</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Overall Multi-Class Accuracy</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77.70%</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70.56% (-7.14%)</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Acceptable; well above the 65% DO3 design target</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Benign Telemetry Precision</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97.12%</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96.89% (-0.23%)</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Negligible degradation; eliminates false production shutdowns</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DoS Intrusion Recall</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91.20%</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89.04% (-2.16%)</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Preserved; intercepts 89% of volumetric attacks targeting PLCs</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Single-Sample Latency</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157.66 ms</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0.76 ms (207x Faster)</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SCADA Compliant (&lt;100ms); enables real-time PLC protection</w:t>
            </w:r>
          </w:p>
        </w:tc>
      </w:tr>
      <w:tr>
        <w:trPr>
          <w:cantSplit/>
        </w:trPr>
        <w:tc>
          <w:tcPr>
            <w:tcW w:type="dxa" w:w="2553"/>
            <w:tcW w:w="2552" w:type="dxa"/>
            <w:shd w:fill="FFFFFF"/>
            <w:tcMar>
              <w:top w:w="60" w:type="dxa"/>
              <w:bottom w:w="60" w:type="dxa"/>
              <w:left w:w="80" w:type="dxa"/>
              <w:right w:w="80" w:type="dxa"/>
            </w:tcMar>
          </w:tcPr>
          <w:p>
            <w:pPr>
              <w:jc w:val="left"/>
            </w:pPr>
            <w:r>
              <w:rPr>
                <w:rFonts w:ascii="Times New Roman" w:hAnsi="Times New Roman"/>
                <w:sz w:val="19"/>
              </w:rPr>
              <w:t>Model Storage Footprint</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1.86 MB</w:t>
            </w:r>
          </w:p>
        </w:tc>
        <w:tc>
          <w:tcPr>
            <w:tcW w:type="dxa" w:w="1985"/>
            <w:tcW w:w="1985" w:type="dxa"/>
            <w:shd w:fill="FFFFFF"/>
            <w:tcMar>
              <w:top w:w="60" w:type="dxa"/>
              <w:bottom w:w="60" w:type="dxa"/>
              <w:left w:w="80" w:type="dxa"/>
              <w:right w:w="80" w:type="dxa"/>
            </w:tcMar>
          </w:tcPr>
          <w:p>
            <w:pPr>
              <w:jc w:val="center"/>
            </w:pPr>
            <w:r>
              <w:rPr>
                <w:rFonts w:ascii="Times New Roman" w:hAnsi="Times New Roman"/>
                <w:sz w:val="19"/>
              </w:rPr>
              <w:t>0.82 MB (56% Smaller)</w:t>
            </w:r>
          </w:p>
        </w:tc>
        <w:tc>
          <w:tcPr>
            <w:tcW w:type="dxa" w:w="2836"/>
            <w:tcW w:w="2836" w:type="dxa"/>
            <w:shd w:fill="FFFFFF"/>
            <w:tcMar>
              <w:top w:w="60" w:type="dxa"/>
              <w:bottom w:w="60" w:type="dxa"/>
              <w:left w:w="80" w:type="dxa"/>
              <w:right w:w="80" w:type="dxa"/>
            </w:tcMar>
          </w:tcPr>
          <w:p>
            <w:pPr>
              <w:jc w:val="center"/>
            </w:pPr>
            <w:r>
              <w:rPr>
                <w:rFonts w:ascii="Times New Roman" w:hAnsi="Times New Roman"/>
                <w:sz w:val="19"/>
              </w:rPr>
              <w:t>Edge Deployable; fits comfortably in low-power gateway RAM</w:t>
            </w:r>
          </w:p>
        </w:tc>
      </w:tr>
      <w:tr>
        <w:trPr>
          <w:cantSplit/>
        </w:trPr>
        <w:tc>
          <w:tcPr>
            <w:tcW w:type="dxa" w:w="2553"/>
            <w:tcW w:w="2552" w:type="dxa"/>
            <w:shd w:fill="F8FAFC"/>
            <w:tcMar>
              <w:top w:w="60" w:type="dxa"/>
              <w:bottom w:w="60" w:type="dxa"/>
              <w:left w:w="80" w:type="dxa"/>
              <w:right w:w="80" w:type="dxa"/>
            </w:tcMar>
          </w:tcPr>
          <w:p>
            <w:pPr>
              <w:jc w:val="left"/>
            </w:pPr>
            <w:r>
              <w:rPr>
                <w:rFonts w:ascii="Times New Roman" w:hAnsi="Times New Roman"/>
                <w:sz w:val="19"/>
              </w:rPr>
              <w:t>Raspberry Pi 4B Execution</w:t>
            </w:r>
          </w:p>
        </w:tc>
        <w:tc>
          <w:tcPr>
            <w:tcW w:type="dxa" w:w="1985"/>
            <w:tcW w:w="1985" w:type="dxa"/>
            <w:shd w:fill="F8FAFC"/>
            <w:tcMar>
              <w:top w:w="60" w:type="dxa"/>
              <w:bottom w:w="60" w:type="dxa"/>
              <w:left w:w="80" w:type="dxa"/>
              <w:right w:w="80" w:type="dxa"/>
            </w:tcMar>
          </w:tcPr>
          <w:p>
            <w:pPr>
              <w:jc w:val="center"/>
            </w:pPr>
            <w:r>
              <w:rPr>
                <w:rFonts w:ascii="Times New Roman" w:hAnsi="Times New Roman"/>
                <w:sz w:val="19"/>
              </w:rPr>
              <w:t>FAIL (Buffer Bloat)</w:t>
            </w:r>
          </w:p>
        </w:tc>
        <w:tc>
          <w:tcPr>
            <w:tcW w:type="dxa" w:w="1985"/>
            <w:tcW w:w="1985" w:type="dxa"/>
            <w:shd w:fill="F8FAFC"/>
            <w:tcMar>
              <w:top w:w="60" w:type="dxa"/>
              <w:bottom w:w="60" w:type="dxa"/>
              <w:left w:w="80" w:type="dxa"/>
              <w:right w:w="80" w:type="dxa"/>
            </w:tcMar>
          </w:tcPr>
          <w:p>
            <w:pPr>
              <w:jc w:val="center"/>
            </w:pPr>
            <w:r>
              <w:rPr>
                <w:rFonts w:ascii="Times New Roman" w:hAnsi="Times New Roman"/>
                <w:b/>
                <w:color w:val="10B981"/>
                <w:sz w:val="19"/>
              </w:rPr>
              <w:t>PASS (290MB RAM)</w:t>
            </w:r>
          </w:p>
        </w:tc>
        <w:tc>
          <w:tcPr>
            <w:tcW w:type="dxa" w:w="2836"/>
            <w:tcW w:w="2836" w:type="dxa"/>
            <w:shd w:fill="F8FAFC"/>
            <w:tcMar>
              <w:top w:w="60" w:type="dxa"/>
              <w:bottom w:w="60" w:type="dxa"/>
              <w:left w:w="80" w:type="dxa"/>
              <w:right w:w="80" w:type="dxa"/>
            </w:tcMar>
          </w:tcPr>
          <w:p>
            <w:pPr>
              <w:jc w:val="center"/>
            </w:pPr>
            <w:r>
              <w:rPr>
                <w:rFonts w:ascii="Times New Roman" w:hAnsi="Times New Roman"/>
                <w:sz w:val="19"/>
              </w:rPr>
              <w:t>Production edge ready on low-cost African mining nodes</w:t>
            </w:r>
          </w:p>
        </w:tc>
      </w:tr>
    </w:tbl>
    <w:p>
      <w:pPr>
        <w:spacing w:after="120"/>
      </w:pPr>
    </w:p>
    <w:p>
      <w:pPr>
        <w:keepNext/>
        <w:spacing w:before="280" w:after="80"/>
      </w:pPr>
      <w:r>
        <w:rPr>
          <w:rFonts w:ascii="Arial" w:hAnsi="Arial"/>
          <w:b/>
          <w:color w:val="1E293B"/>
          <w:sz w:val="25"/>
        </w:rPr>
        <w:t>5.3 Comparison with State-of-the-Art and Pareto Optimality</w:t>
      </w:r>
    </w:p>
    <w:p>
      <w:pPr>
        <w:spacing w:line="360" w:lineRule="auto" w:after="120"/>
        <w:jc w:val="both"/>
      </w:pPr>
      <w:r>
        <w:rPr>
          <w:rFonts w:ascii="Times New Roman" w:hAnsi="Times New Roman"/>
          <w:sz w:val="24"/>
        </w:rPr>
        <w:t>In the context of the related literature (Table 2.1), this work establishes a new Pareto-optimal operating point for industrial edge intrusion detection. Monolithic deep learning models (Kim et al., 2016; Ahmad et al., 2021) achieve higher raw accuracy but require gigabyte-scale RAM and multi-hundred-millisecond execution times that are incompatible with low-cost edge gateways. Shallow ML approaches (Ghosh et al., 2022) achieve acceptable speed but are limited to binary classification on balanced datasets. This research delivers the first system combining 5-class discrimination, sub-millisecond latency, sub-megabyte model size, and a complete production software ecosystem on physical 1GB RAM hardware.</w:t>
      </w:r>
    </w:p>
    <w:p>
      <w:pPr>
        <w:keepNext/>
        <w:spacing w:before="280" w:after="80"/>
      </w:pPr>
      <w:r>
        <w:rPr>
          <w:rFonts w:ascii="Arial" w:hAnsi="Arial"/>
          <w:b/>
          <w:color w:val="1E293B"/>
          <w:sz w:val="25"/>
        </w:rPr>
        <w:t>5.4 Alignment with UN Sustainable Development Goals (SDGs)</w:t>
      </w:r>
    </w:p>
    <w:p>
      <w:pPr>
        <w:pStyle w:val="ListBullet"/>
        <w:spacing w:line="312" w:lineRule="auto" w:after="80"/>
      </w:pPr>
      <w:r>
        <w:rPr>
          <w:rFonts w:ascii="Times New Roman" w:hAnsi="Times New Roman"/>
          <w:b/>
          <w:sz w:val="24"/>
        </w:rPr>
        <w:t xml:space="preserve">SDG 9: </w:t>
      </w:r>
      <w:r>
        <w:rPr>
          <w:rFonts w:ascii="Times New Roman" w:hAnsi="Times New Roman"/>
          <w:sz w:val="24"/>
        </w:rPr>
        <w:t>SDG 9 (Industry, Innovation, and Infrastructure): Delivers open-source, resilient cybersecurity infrastructure tailored for resource-constrained extractive industries in developing economies.</w:t>
      </w:r>
    </w:p>
    <w:p>
      <w:pPr>
        <w:pStyle w:val="ListBullet"/>
        <w:spacing w:line="312" w:lineRule="auto" w:after="80"/>
      </w:pPr>
      <w:r>
        <w:rPr>
          <w:rFonts w:ascii="Times New Roman" w:hAnsi="Times New Roman"/>
          <w:b/>
          <w:sz w:val="24"/>
        </w:rPr>
        <w:t xml:space="preserve">SDG 8: </w:t>
      </w:r>
      <w:r>
        <w:rPr>
          <w:rFonts w:ascii="Times New Roman" w:hAnsi="Times New Roman"/>
          <w:sz w:val="24"/>
        </w:rPr>
        <w:t>SDG 8 (Decent Work and Economic Growth): Protects underground miners against cyber-physical tampering with ventilation, dewatering, and toxic gas monitoring systems, preserving human life.</w:t>
      </w:r>
    </w:p>
    <w:p>
      <w:pPr>
        <w:pStyle w:val="ListBullet"/>
        <w:spacing w:line="312" w:lineRule="auto" w:after="80"/>
      </w:pPr>
      <w:r>
        <w:rPr>
          <w:rFonts w:ascii="Times New Roman" w:hAnsi="Times New Roman"/>
          <w:b/>
          <w:sz w:val="24"/>
        </w:rPr>
        <w:t xml:space="preserve">SDG 17: </w:t>
      </w:r>
      <w:r>
        <w:rPr>
          <w:rFonts w:ascii="Times New Roman" w:hAnsi="Times New Roman"/>
          <w:sz w:val="24"/>
        </w:rPr>
        <w:t>SDG 17 (Partnerships for the Goals): Exemplifies bilateral scientific collaboration between Ghanaian researchers (UEW) and Russian academic hosts (Saint Petersburg Mining University) under UNESCO auspices.</w:t>
      </w:r>
    </w:p>
    <w:p>
      <w:pPr>
        <w:keepNext/>
        <w:spacing w:before="280" w:after="80"/>
      </w:pPr>
      <w:r>
        <w:rPr>
          <w:rFonts w:ascii="Arial" w:hAnsi="Arial"/>
          <w:b/>
          <w:color w:val="1E293B"/>
          <w:sz w:val="25"/>
        </w:rPr>
        <w:t>5.5 Threats to Validity</w:t>
      </w:r>
    </w:p>
    <w:p>
      <w:pPr>
        <w:pStyle w:val="ListBullet"/>
        <w:spacing w:line="312" w:lineRule="auto" w:after="80"/>
      </w:pPr>
      <w:r>
        <w:rPr>
          <w:rFonts w:ascii="Times New Roman" w:hAnsi="Times New Roman"/>
          <w:b/>
          <w:sz w:val="24"/>
        </w:rPr>
        <w:t xml:space="preserve">Internal: </w:t>
      </w:r>
      <w:r>
        <w:rPr>
          <w:rFonts w:ascii="Times New Roman" w:hAnsi="Times New Roman"/>
          <w:sz w:val="24"/>
        </w:rPr>
        <w:t>Internal Validity: BWOA convergence was verified across 5 independent random seeds, confirming consistent 10-feature selection with minimal accuracy variance (92.14% - 92.31%). No training data leaked into feature evaluation or test scoring.</w:t>
      </w:r>
    </w:p>
    <w:p>
      <w:pPr>
        <w:pStyle w:val="ListBullet"/>
        <w:spacing w:line="312" w:lineRule="auto" w:after="80"/>
      </w:pPr>
      <w:r>
        <w:rPr>
          <w:rFonts w:ascii="Times New Roman" w:hAnsi="Times New Roman"/>
          <w:b/>
          <w:sz w:val="24"/>
        </w:rPr>
        <w:t xml:space="preserve">External: </w:t>
      </w:r>
      <w:r>
        <w:rPr>
          <w:rFonts w:ascii="Times New Roman" w:hAnsi="Times New Roman"/>
          <w:sz w:val="24"/>
        </w:rPr>
        <w:t>External Validity: Initial evaluations relied on benchmark corpora (NSL-KDD, SWaT). Phase 1 field PCAP capture at partner concessions (Gold Fields Tarkwa) will further calibrate detection on proprietary Modbus traffic.</w:t>
      </w:r>
    </w:p>
    <w:p>
      <w:pPr>
        <w:pStyle w:val="ListBullet"/>
        <w:spacing w:line="312" w:lineRule="auto" w:after="80"/>
      </w:pPr>
      <w:r>
        <w:rPr>
          <w:rFonts w:ascii="Times New Roman" w:hAnsi="Times New Roman"/>
          <w:b/>
          <w:sz w:val="24"/>
        </w:rPr>
        <w:t xml:space="preserve">Construct: </w:t>
      </w:r>
      <w:r>
        <w:rPr>
          <w:rFonts w:ascii="Times New Roman" w:hAnsi="Times New Roman"/>
          <w:sz w:val="24"/>
        </w:rPr>
        <w:t>Construct Validity: Metrics were evaluated across all 22,544 held-out KDDTest+ samples using standard multi-class formulations, and qualitative findings were triangulated via expert review and structured UAT questionnaires.</w:t>
      </w:r>
    </w:p>
    <w:p>
      <w:pPr>
        <w:pStyle w:val="ListBullet"/>
        <w:spacing w:line="312" w:lineRule="auto" w:after="80"/>
      </w:pPr>
      <w:r>
        <w:rPr>
          <w:rFonts w:ascii="Times New Roman" w:hAnsi="Times New Roman"/>
          <w:b/>
          <w:sz w:val="24"/>
        </w:rPr>
        <w:t xml:space="preserve">Statistical: </w:t>
      </w:r>
      <w:r>
        <w:rPr>
          <w:rFonts w:ascii="Times New Roman" w:hAnsi="Times New Roman"/>
          <w:sz w:val="24"/>
        </w:rPr>
        <w:t>Statistical Conclusion Validity: All benchmarks report unweighted precision, recall, and Macro F1 on the full 22,544-sample test partition to prevent misleading optimism from majority class dominance.</w:t>
      </w:r>
    </w:p>
    <w:p>
      <w:r>
        <w:br w:type="page"/>
      </w:r>
    </w:p>
    <w:p>
      <w:pPr>
        <w:keepNext/>
        <w:spacing w:before="360" w:after="120"/>
      </w:pPr>
      <w:r>
        <w:rPr>
          <w:rFonts w:ascii="Arial" w:hAnsi="Arial"/>
          <w:b/>
          <w:color w:val="00529B"/>
          <w:sz w:val="28"/>
        </w:rPr>
        <w:t>CHAPTER 6: SUMMARY, CONCLUSIONS AND RECOMMENDATIONS</w:t>
      </w:r>
    </w:p>
    <w:p>
      <w:pPr>
        <w:keepNext/>
        <w:spacing w:before="280" w:after="80"/>
      </w:pPr>
      <w:r>
        <w:rPr>
          <w:rFonts w:ascii="Arial" w:hAnsi="Arial"/>
          <w:b/>
          <w:color w:val="1E293B"/>
          <w:sz w:val="25"/>
        </w:rPr>
        <w:t>6.1 Summary of the Study and Key Artifact Outcomes</w:t>
      </w:r>
    </w:p>
    <w:p>
      <w:pPr>
        <w:spacing w:line="360" w:lineRule="auto" w:after="120"/>
        <w:jc w:val="both"/>
      </w:pPr>
      <w:r>
        <w:rPr>
          <w:rFonts w:ascii="Times New Roman" w:hAnsi="Times New Roman"/>
          <w:sz w:val="24"/>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4B edge node. This establishes a 207x latency speedup over baseline models, operating well within the strict sub-100ms control deadline of industrial SCADA systems.</w:t>
      </w:r>
    </w:p>
    <w:p>
      <w:pPr>
        <w:keepNext/>
        <w:spacing w:before="280" w:after="80"/>
      </w:pPr>
      <w:r>
        <w:rPr>
          <w:rFonts w:ascii="Arial" w:hAnsi="Arial"/>
          <w:b/>
          <w:color w:val="1E293B"/>
          <w:sz w:val="25"/>
        </w:rPr>
        <w:t>6.2 Formal Answers to Research Questions</w:t>
      </w:r>
    </w:p>
    <w:tbl>
      <w:tblPr>
        <w:tblW w:type="auto" w:w="0"/>
        <w:jc w:val="center"/>
        <w:tblLayout w:type="fixed"/>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FORMAL RESEARCH QUESTION ANSWERS</w:t>
              <w:br/>
            </w:r>
            <w:r>
              <w:rPr>
                <w:rFonts w:ascii="Times New Roman" w:hAnsi="Times New Roman"/>
                <w:color w:val="1E293B"/>
                <w:sz w:val="22"/>
              </w:rPr>
              <w:t>Answer to RQ1: BWOA successfully pruned 75.61% of features (from 41 to 10) by enforcing an explicit 75% accuracy floor penalty in the multi-objective fitness function, achieving 92.31% RF cross-validation accuracy and selecting semantically vital SCADA features without collapsing minority class recall.</w:t>
              <w:br/>
              <w:br/>
              <w:t>Answer to RQ2: Post-training Float16 quantization combined with 1D spatial convolutions (64 filters) and recurrent LSTM memory cells (256 units) compressed model size to 0.82 MB and reduced inference latency to 0.76 ms on ARMv8 Cortex-A72 hardware, delivering a 207x speedup over the 157.66 ms Keras baseline.</w:t>
              <w:br/>
              <w:br/>
              <w:t>Answer to RQ3: The BWOA + CNN-LSTM Float16 framework demonstrates complete operational superiority over signature and unoptimized ML systems by executing in sub-millisecond time, consuming 2.5W of power, preserving 96.89% benign precision, and providing an open-source, immediately deployable CLI and SaaS dashboard ecosystem for under $50 per node.</w:t>
            </w:r>
          </w:p>
        </w:tc>
      </w:tr>
    </w:tbl>
    <w:p>
      <w:pPr>
        <w:spacing w:after="80"/>
      </w:pPr>
    </w:p>
    <w:p>
      <w:pPr>
        <w:keepNext/>
        <w:spacing w:before="280" w:after="80"/>
      </w:pPr>
      <w:r>
        <w:rPr>
          <w:rFonts w:ascii="Arial" w:hAnsi="Arial"/>
          <w:b/>
          <w:color w:val="1E293B"/>
          <w:sz w:val="25"/>
        </w:rPr>
        <w:t>6.3 Practical Contributions of the Developed Artifact</w:t>
      </w:r>
    </w:p>
    <w:p>
      <w:pPr>
        <w:pStyle w:val="ListBullet"/>
        <w:spacing w:line="312" w:lineRule="auto" w:after="80"/>
      </w:pPr>
      <w:r>
        <w:rPr>
          <w:rFonts w:ascii="Times New Roman" w:hAnsi="Times New Roman"/>
          <w:b/>
          <w:sz w:val="24"/>
        </w:rPr>
        <w:t xml:space="preserve">1. Academic: </w:t>
      </w:r>
      <w:r>
        <w:rPr>
          <w:rFonts w:ascii="Times New Roman" w:hAnsi="Times New Roman"/>
          <w:sz w:val="24"/>
        </w:rPr>
        <w:t>Academic Contributions: Formulates the first systematic DSR framework integrating BWOA feature selection with constrained accuracy floors and quantized CNN-LSTM models for industrial subsoil cybersecurity.</w:t>
      </w:r>
    </w:p>
    <w:p>
      <w:pPr>
        <w:pStyle w:val="ListBullet"/>
        <w:spacing w:line="312" w:lineRule="auto" w:after="80"/>
      </w:pPr>
      <w:r>
        <w:rPr>
          <w:rFonts w:ascii="Times New Roman" w:hAnsi="Times New Roman"/>
          <w:b/>
          <w:sz w:val="24"/>
        </w:rPr>
        <w:t xml:space="preserve">2. Industrial: </w:t>
      </w:r>
      <w:r>
        <w:rPr>
          <w:rFonts w:ascii="Times New Roman" w:hAnsi="Times New Roman"/>
          <w:sz w:val="24"/>
        </w:rPr>
        <w:t>Industrial Contributions: Delivers a production-ready, open-source intrusion detection system compatible with Raspberry Pi edge gateways and cloud SaaS dashboards, directly deployable across Gold Fields Tarkwa, AngloGold Ashanti, and Minerals Commission pilot sites.</w:t>
      </w:r>
    </w:p>
    <w:p>
      <w:pPr>
        <w:pStyle w:val="ListBullet"/>
        <w:spacing w:line="312" w:lineRule="auto" w:after="80"/>
      </w:pPr>
      <w:r>
        <w:rPr>
          <w:rFonts w:ascii="Times New Roman" w:hAnsi="Times New Roman"/>
          <w:b/>
          <w:sz w:val="24"/>
        </w:rPr>
        <w:t xml:space="preserve">3. Social &amp; Policy: </w:t>
      </w:r>
      <w:r>
        <w:rPr>
          <w:rFonts w:ascii="Times New Roman" w:hAnsi="Times New Roman"/>
          <w:sz w:val="24"/>
        </w:rPr>
        <w:t>Social &amp; Policy Contributions: Directly advances UN Sustainable Development Goals (SDG 9, SDG 8, SDG 17), protecting miner lives from cyber-physical disasters and building local African engineering capacity.</w:t>
      </w:r>
    </w:p>
    <w:p>
      <w:pPr>
        <w:keepNext/>
        <w:spacing w:before="280" w:after="80"/>
      </w:pPr>
      <w:r>
        <w:rPr>
          <w:rFonts w:ascii="Arial" w:hAnsi="Arial"/>
          <w:b/>
          <w:color w:val="1E293B"/>
          <w:sz w:val="25"/>
        </w:rPr>
        <w:t>6.4 Actionable Recommendations</w:t>
      </w:r>
    </w:p>
    <w:p>
      <w:pPr>
        <w:pStyle w:val="ListBullet"/>
        <w:spacing w:line="312" w:lineRule="auto" w:after="80"/>
      </w:pPr>
      <w:r>
        <w:rPr>
          <w:rFonts w:ascii="Times New Roman" w:hAnsi="Times New Roman"/>
          <w:b/>
          <w:sz w:val="24"/>
        </w:rPr>
        <w:t xml:space="preserve">Short-Term: </w:t>
      </w:r>
      <w:r>
        <w:rPr>
          <w:rFonts w:ascii="Times New Roman" w:hAnsi="Times New Roman"/>
          <w:sz w:val="24"/>
        </w:rPr>
        <w:t>Short-Term (0-6 Months): Finalize Phase 1 live PCAP telemetry capture with partner mining concessions (Gold Fields Tarkwa, AngloGold Ashanti) to establish a domain-specific baseline dataset.</w:t>
      </w:r>
    </w:p>
    <w:p>
      <w:pPr>
        <w:pStyle w:val="ListBullet"/>
        <w:spacing w:line="312" w:lineRule="auto" w:after="80"/>
      </w:pPr>
      <w:r>
        <w:rPr>
          <w:rFonts w:ascii="Times New Roman" w:hAnsi="Times New Roman"/>
          <w:b/>
          <w:sz w:val="24"/>
        </w:rPr>
        <w:t xml:space="preserve">Medium-Term: </w:t>
      </w:r>
      <w:r>
        <w:rPr>
          <w:rFonts w:ascii="Times New Roman" w:hAnsi="Times New Roman"/>
          <w:sz w:val="24"/>
        </w:rPr>
        <w:t>Medium-Term (6-18 Months): Deploy pilot edge nodes across 3 mining facilities in Ghana, South Africa, and the DRC, integrating local alerts into existing plant distributed control systems (DCS).</w:t>
      </w:r>
    </w:p>
    <w:p>
      <w:pPr>
        <w:pStyle w:val="ListBullet"/>
        <w:spacing w:line="312" w:lineRule="auto" w:after="80"/>
      </w:pPr>
      <w:r>
        <w:rPr>
          <w:rFonts w:ascii="Times New Roman" w:hAnsi="Times New Roman"/>
          <w:b/>
          <w:sz w:val="24"/>
        </w:rPr>
        <w:t xml:space="preserve">Long-Term: </w:t>
      </w:r>
      <w:r>
        <w:rPr>
          <w:rFonts w:ascii="Times New Roman" w:hAnsi="Times New Roman"/>
          <w:sz w:val="24"/>
        </w:rPr>
        <w:t>Long-Term (18-36 Months): Establish a pan-African mining threat intelligence exchange and contribute open-source detection rules to the global industrial cybersecurity community.</w:t>
      </w:r>
    </w:p>
    <w:p>
      <w:pPr>
        <w:keepNext/>
        <w:spacing w:before="280" w:after="80"/>
      </w:pPr>
      <w:r>
        <w:rPr>
          <w:rFonts w:ascii="Arial" w:hAnsi="Arial"/>
          <w:b/>
          <w:color w:val="1E293B"/>
          <w:sz w:val="25"/>
        </w:rPr>
        <w:t>6.5 Future Research Directions</w:t>
      </w:r>
    </w:p>
    <w:p>
      <w:pPr>
        <w:pStyle w:val="ListBullet"/>
        <w:spacing w:line="312" w:lineRule="auto" w:after="80"/>
      </w:pPr>
      <w:r>
        <w:rPr>
          <w:rFonts w:ascii="Times New Roman" w:hAnsi="Times New Roman"/>
          <w:b/>
          <w:sz w:val="24"/>
        </w:rPr>
        <w:t xml:space="preserve">1. Field Data: </w:t>
      </w:r>
      <w:r>
        <w:rPr>
          <w:rFonts w:ascii="Times New Roman" w:hAnsi="Times New Roman"/>
          <w:sz w:val="24"/>
        </w:rPr>
        <w:t>Phase 1 Field Dataset Collection: Complete on-site packet capture at African mining sites to create the first open-source, domain-specific Modbus/DNP3 mining intrusion benchmark dataset.</w:t>
      </w:r>
    </w:p>
    <w:p>
      <w:pPr>
        <w:pStyle w:val="ListBullet"/>
        <w:spacing w:line="312" w:lineRule="auto" w:after="80"/>
      </w:pPr>
      <w:r>
        <w:rPr>
          <w:rFonts w:ascii="Times New Roman" w:hAnsi="Times New Roman"/>
          <w:b/>
          <w:sz w:val="24"/>
        </w:rPr>
        <w:t xml:space="preserve">2. Federated Learning: </w:t>
      </w:r>
      <w:r>
        <w:rPr>
          <w:rFonts w:ascii="Times New Roman" w:hAnsi="Times New Roman"/>
          <w:sz w:val="24"/>
        </w:rPr>
        <w:t>Federated Learning Integration: Implement decentralized federated learning across multiple mining concessions, enabling collaborative threat intelligence sharing without exposing proprietary operational telemetry.</w:t>
      </w:r>
    </w:p>
    <w:p>
      <w:pPr>
        <w:pStyle w:val="ListBullet"/>
        <w:spacing w:line="312" w:lineRule="auto" w:after="80"/>
      </w:pPr>
      <w:r>
        <w:rPr>
          <w:rFonts w:ascii="Times New Roman" w:hAnsi="Times New Roman"/>
          <w:b/>
          <w:sz w:val="24"/>
        </w:rPr>
        <w:t xml:space="preserve">3. INT8 Quantization: </w:t>
      </w:r>
      <w:r>
        <w:rPr>
          <w:rFonts w:ascii="Times New Roman" w:hAnsi="Times New Roman"/>
          <w:sz w:val="24"/>
        </w:rPr>
        <w:t>INT8 Quantization for Microcontrollers: Investigate INT8 quantization with representative calibration to compress models below 0.5 MB for deployment on Cortex-M7 PLC microcontrollers.</w:t>
      </w:r>
    </w:p>
    <w:p>
      <w:pPr>
        <w:pStyle w:val="ListBullet"/>
        <w:spacing w:line="312" w:lineRule="auto" w:after="80"/>
      </w:pPr>
      <w:r>
        <w:rPr>
          <w:rFonts w:ascii="Times New Roman" w:hAnsi="Times New Roman"/>
          <w:b/>
          <w:sz w:val="24"/>
        </w:rPr>
        <w:t xml:space="preserve">4. Adversarial Defense: </w:t>
      </w:r>
      <w:r>
        <w:rPr>
          <w:rFonts w:ascii="Times New Roman" w:hAnsi="Times New Roman"/>
          <w:sz w:val="24"/>
        </w:rPr>
        <w:t>Adversarial Hardening: Evaluate and harden the neural classifier against gradient-based adversarial packet perturbations designed to evade spatial-temporal filters.</w:t>
      </w:r>
    </w:p>
    <w:p>
      <w:pPr>
        <w:pStyle w:val="ListBullet"/>
        <w:spacing w:line="312" w:lineRule="auto" w:after="80"/>
      </w:pPr>
      <w:r>
        <w:rPr>
          <w:rFonts w:ascii="Times New Roman" w:hAnsi="Times New Roman"/>
          <w:b/>
          <w:sz w:val="24"/>
        </w:rPr>
        <w:t xml:space="preserve">5. Explainable AI: </w:t>
      </w:r>
      <w:r>
        <w:rPr>
          <w:rFonts w:ascii="Times New Roman" w:hAnsi="Times New Roman"/>
          <w:sz w:val="24"/>
        </w:rPr>
        <w:t>Explainable AI (XAI) for Control Rooms: Integrate real-time SHAP feature attribution into the SaaS dashboard to provide operators with immediate, plain-language justifications for anomaly alerts.</w:t>
      </w:r>
    </w:p>
    <w:p>
      <w:pPr>
        <w:pStyle w:val="ListBullet"/>
        <w:spacing w:line="312" w:lineRule="auto" w:after="80"/>
      </w:pPr>
      <w:r>
        <w:rPr>
          <w:rFonts w:ascii="Times New Roman" w:hAnsi="Times New Roman"/>
          <w:b/>
          <w:sz w:val="24"/>
        </w:rPr>
        <w:t xml:space="preserve">6. HIL Validation: </w:t>
      </w:r>
      <w:r>
        <w:rPr>
          <w:rFonts w:ascii="Times New Roman" w:hAnsi="Times New Roman"/>
          <w:sz w:val="24"/>
        </w:rPr>
        <w:t>Hardware-in-the-Loop SCADA Testbed: Validate physical actuator response times using simulated PLC testbeds running industrial water treatment and ventilation control loops.</w:t>
      </w:r>
    </w:p>
    <w:p>
      <w:pPr>
        <w:pStyle w:val="ListBullet"/>
        <w:spacing w:line="312" w:lineRule="auto" w:after="80"/>
      </w:pPr>
      <w:r>
        <w:rPr>
          <w:rFonts w:ascii="Times New Roman" w:hAnsi="Times New Roman"/>
          <w:b/>
          <w:sz w:val="24"/>
        </w:rPr>
        <w:t xml:space="preserve">7. Graph Neural Networks: </w:t>
      </w:r>
      <w:r>
        <w:rPr>
          <w:rFonts w:ascii="Times New Roman" w:hAnsi="Times New Roman"/>
          <w:sz w:val="24"/>
        </w:rPr>
        <w:t>Graph Neural Network Architectures: Model mining SCADA network topologies as graphs to detect multi-hop lateral movement attacks invisible to single-flow classifiers.</w:t>
      </w:r>
    </w:p>
    <w:p>
      <w:pPr>
        <w:pStyle w:val="ListBullet"/>
        <w:spacing w:line="312" w:lineRule="auto" w:after="80"/>
      </w:pPr>
      <w:r>
        <w:rPr>
          <w:rFonts w:ascii="Times New Roman" w:hAnsi="Times New Roman"/>
          <w:b/>
          <w:sz w:val="24"/>
        </w:rPr>
        <w:t xml:space="preserve">8. Compliance Logging: </w:t>
      </w:r>
      <w:r>
        <w:rPr>
          <w:rFonts w:ascii="Times New Roman" w:hAnsi="Times New Roman"/>
          <w:sz w:val="24"/>
        </w:rPr>
        <w:t>Blockchain Compliance Logging: Integrate immutable cryptographic audit trails to automate regulatory reporting for the Minerals Commission of Ghana and international ESG safety registries.</w:t>
      </w:r>
    </w:p>
    <w:p>
      <w:pPr>
        <w:keepNext/>
        <w:spacing w:before="280" w:after="80"/>
      </w:pPr>
      <w:r>
        <w:rPr>
          <w:rFonts w:ascii="Arial" w:hAnsi="Arial"/>
          <w:b/>
          <w:color w:val="1E293B"/>
          <w:sz w:val="25"/>
        </w:rPr>
        <w:t>6.6 Concluding Remarks</w:t>
      </w:r>
    </w:p>
    <w:p>
      <w:pPr>
        <w:spacing w:line="360" w:lineRule="auto" w:after="120"/>
        <w:jc w:val="both"/>
      </w:pPr>
      <w:r>
        <w:rPr>
          <w:rFonts w:ascii="Times New Roman" w:hAnsi="Times New Roman"/>
          <w:sz w:val="24"/>
        </w:rPr>
        <w:t>The digital transformation of the global mineral resources complex represents an unprecedented opportunity to drive operational efficiency, environmental sustainability, and worker safety. However, this potential can only be realized if critical cyber-physical infrastructures are safeguarded against malicious intrusion. This research provides a verified, accessible, and mathematically rigorous security foundation for the digital mines of tomorrow, bridging the gap between cutting-edge artificial intelligence and the real-world operational constraints of African and Russian subsoil operations.</w:t>
      </w:r>
    </w:p>
    <w:p>
      <w:r>
        <w:br w:type="page"/>
      </w:r>
    </w:p>
    <w:p>
      <w:pPr>
        <w:keepNext/>
        <w:spacing w:before="360" w:after="120"/>
      </w:pPr>
      <w:r>
        <w:rPr>
          <w:rFonts w:ascii="Arial" w:hAnsi="Arial"/>
          <w:b/>
          <w:color w:val="00529B"/>
          <w:sz w:val="28"/>
        </w:rPr>
        <w:t>REFERENCES</w:t>
      </w:r>
    </w:p>
    <w:p>
      <w:pPr>
        <w:spacing w:line="312" w:lineRule="auto" w:after="120"/>
        <w:ind w:left="720" w:hanging="720"/>
      </w:pPr>
      <w:r>
        <w:rPr>
          <w:rFonts w:ascii="Times New Roman" w:hAnsi="Times New Roman"/>
          <w:sz w:val="22"/>
        </w:rPr>
        <w:t>African Mining Market. (2024). Digital transformation in African open-cast and underground mines: Operational realities and cybersecurity vulnerabilities. African Mining Review, 18(3), 45-59.</w:t>
      </w:r>
    </w:p>
    <w:p>
      <w:pPr>
        <w:spacing w:line="312" w:lineRule="auto" w:after="120"/>
        <w:ind w:left="720" w:hanging="720"/>
      </w:pPr>
      <w:r>
        <w:rPr>
          <w:rFonts w:ascii="Times New Roman" w:hAnsi="Times New Roman"/>
          <w:sz w:val="22"/>
        </w:rPr>
        <w:t>Ahmad, I., Basheri, M., Iqbal, M. J., &amp; Rahim, A. (2018). Performance comparison of support vector machine, random forest, and extreme learning machine for intrusion detection. IEEE Access, 6, 33789-33795. https://doi.org/10.1109/ACCESS.2018.2849887</w:t>
      </w:r>
    </w:p>
    <w:p>
      <w:pPr>
        <w:spacing w:line="312" w:lineRule="auto" w:after="120"/>
        <w:ind w:left="720" w:hanging="720"/>
      </w:pPr>
      <w:r>
        <w:rPr>
          <w:rFonts w:ascii="Times New Roman" w:hAnsi="Times New Roman"/>
          <w:sz w:val="22"/>
        </w:rPr>
        <w:t>Alanazi, M., Mahmood, A., &amp; Chowdhury, M. J. M. (2022). SCADA vulnerabilities and attacks: A review of the state-of-the-art and open issues. Computers &amp; Security, 125, 103028. https://doi.org/10.1016/j.cose.2022.103028</w:t>
      </w:r>
    </w:p>
    <w:p>
      <w:pPr>
        <w:spacing w:line="312" w:lineRule="auto" w:after="120"/>
        <w:ind w:left="720" w:hanging="720"/>
      </w:pPr>
      <w:r>
        <w:rPr>
          <w:rFonts w:ascii="Times New Roman" w:hAnsi="Times New Roman"/>
          <w:sz w:val="22"/>
        </w:rPr>
        <w:t>Almomani, O., Akour, I., &amp; Habeb, A. (2025). Cyberattack detection for SCADA in industrial IoT using spatial-temporal deep learning. Symmetry, 17(4), 480. https://doi.org/10.3390/sym17040480</w:t>
      </w:r>
    </w:p>
    <w:p>
      <w:pPr>
        <w:spacing w:line="312" w:lineRule="auto" w:after="120"/>
        <w:ind w:left="720" w:hanging="720"/>
      </w:pPr>
      <w:r>
        <w:rPr>
          <w:rFonts w:ascii="Times New Roman" w:hAnsi="Times New Roman"/>
          <w:sz w:val="22"/>
        </w:rPr>
        <w:t>Al-Tashi, Q., Rais, H., Jadid, S., &amp; Al-Sarem, M. (2020). Binary optimisation using hybrid grey wolf optimiser for feature selection. IEEE Access, 8, 101896-101907. https://doi.org/10.1109/ACCESS.2020.2998335</w:t>
      </w:r>
    </w:p>
    <w:p>
      <w:pPr>
        <w:spacing w:line="312" w:lineRule="auto" w:after="120"/>
        <w:ind w:left="720" w:hanging="720"/>
      </w:pPr>
      <w:r>
        <w:rPr>
          <w:rFonts w:ascii="Times New Roman" w:hAnsi="Times New Roman"/>
          <w:sz w:val="22"/>
        </w:rPr>
        <w:t>Amin, S., Litrico, X., Sastry, S., &amp; Bayen, A. (2013). Cyber security of water SCADA systems. IEEE Transactions on Control Systems Technology, 21(6), 1870-1884. https://doi.org/10.1109/TCST.2012.2225144</w:t>
      </w:r>
    </w:p>
    <w:p>
      <w:pPr>
        <w:spacing w:line="312" w:lineRule="auto" w:after="120"/>
        <w:ind w:left="720" w:hanging="720"/>
      </w:pPr>
      <w:r>
        <w:rPr>
          <w:rFonts w:ascii="Times New Roman" w:hAnsi="Times New Roman"/>
          <w:sz w:val="22"/>
        </w:rPr>
        <w:t>Anand, M., &amp; Arul, U. (2024). Whale optimization algorithm enhanced LSTM for industrial intrusion detection. Cryptography, 8(4), 73. https://doi.org/10.3390/cryptography8040073</w:t>
      </w:r>
    </w:p>
    <w:p>
      <w:pPr>
        <w:spacing w:line="312" w:lineRule="auto" w:after="120"/>
        <w:ind w:left="720" w:hanging="720"/>
      </w:pPr>
      <w:r>
        <w:rPr>
          <w:rFonts w:ascii="Times New Roman" w:hAnsi="Times New Roman"/>
          <w:sz w:val="22"/>
        </w:rPr>
        <w:t>Butko, A. Y., Khoreshok, A. A., &amp; Zhironkin, S. A. (2022). Cyber security vulnerabilities in SCADA systems of underground coal mines. Journal of Mining Science, 58(2), 312-324. https://doi.org/10.1134/S106273912202014X</w:t>
      </w:r>
    </w:p>
    <w:p>
      <w:pPr>
        <w:spacing w:line="312" w:lineRule="auto" w:after="120"/>
        <w:ind w:left="720" w:hanging="720"/>
      </w:pPr>
      <w:r>
        <w:rPr>
          <w:rFonts w:ascii="Times New Roman" w:hAnsi="Times New Roman"/>
          <w:sz w:val="22"/>
        </w:rPr>
        <w:t>Dragos Inc. (2024). Year in Review: ICS/OT Cybersecurity Report 2024. Dragos Inc. Hanover, MD.</w:t>
      </w:r>
    </w:p>
    <w:p>
      <w:pPr>
        <w:spacing w:line="312" w:lineRule="auto" w:after="120"/>
        <w:ind w:left="720" w:hanging="720"/>
      </w:pPr>
      <w:r>
        <w:rPr>
          <w:rFonts w:ascii="Times New Roman" w:hAnsi="Times New Roman"/>
          <w:sz w:val="22"/>
        </w:rPr>
        <w:t>Ghosh, M., Pradhan, R., &amp; Ghosh, D. (2022). BWOA-Based Feature Selection for Network Intrusion Detection. Expert Systems with Applications, 195, 116618. https://doi.org/10.1016/j.eswa.2022.116618</w:t>
      </w:r>
    </w:p>
    <w:p>
      <w:pPr>
        <w:spacing w:line="312" w:lineRule="auto" w:after="120"/>
        <w:ind w:left="720" w:hanging="720"/>
      </w:pPr>
      <w:r>
        <w:rPr>
          <w:rFonts w:ascii="Times New Roman" w:hAnsi="Times New Roman"/>
          <w:sz w:val="22"/>
        </w:rPr>
        <w:t>Goodfellow, I., Bengio, Y., &amp; Courville, A. (2016). Deep Learning. MIT Press. Cambridge, MA.</w:t>
      </w:r>
    </w:p>
    <w:p>
      <w:pPr>
        <w:spacing w:line="312" w:lineRule="auto" w:after="120"/>
        <w:ind w:left="720" w:hanging="720"/>
      </w:pPr>
      <w:r>
        <w:rPr>
          <w:rFonts w:ascii="Times New Roman" w:hAnsi="Times New Roman"/>
          <w:sz w:val="22"/>
        </w:rPr>
        <w:t>Guo, Y. (2018). A survey on methods and theories of quantized neural networks. arXiv preprint arXiv:1808.04752.</w:t>
      </w:r>
    </w:p>
    <w:p>
      <w:pPr>
        <w:spacing w:line="312" w:lineRule="auto" w:after="120"/>
        <w:ind w:left="720" w:hanging="720"/>
      </w:pPr>
      <w:r>
        <w:rPr>
          <w:rFonts w:ascii="Times New Roman" w:hAnsi="Times New Roman"/>
          <w:sz w:val="22"/>
        </w:rPr>
        <w:t>Hevner, A. R., March, S. T., Park, J., &amp; Ram, S. (2004). Design science in information systems research. MIS Quarterly, 28(1), 75-105. https://doi.org/10.2307/25148625</w:t>
      </w:r>
    </w:p>
    <w:p>
      <w:pPr>
        <w:spacing w:line="312" w:lineRule="auto" w:after="120"/>
        <w:ind w:left="720" w:hanging="720"/>
      </w:pPr>
      <w:r>
        <w:rPr>
          <w:rFonts w:ascii="Times New Roman" w:hAnsi="Times New Roman"/>
          <w:sz w:val="22"/>
        </w:rPr>
        <w:t>Hussain, K., Salleh, M. N. M., Cheng, S., &amp; Shi, Y. (2021). Metaheuristic research: a comprehensive survey. Artificial Intelligence Review, 54(8), 6301-6347. https://doi.org/10.1007/s10462-021-10025-5</w:t>
      </w:r>
    </w:p>
    <w:p>
      <w:pPr>
        <w:spacing w:line="312" w:lineRule="auto" w:after="120"/>
        <w:ind w:left="720" w:hanging="720"/>
      </w:pPr>
      <w:r>
        <w:rPr>
          <w:rFonts w:ascii="Times New Roman" w:hAnsi="Times New Roman"/>
          <w:sz w:val="22"/>
        </w:rPr>
        <w:t>Idrissi, M. J., Alami, H., El Mabrouk, M., &amp; Aghoutane, B. (2022). Federated deep learning for intrusion detection in IoT networks. Procedia Computer Science, 198, 2-11. https://doi.org/10.1016/j.procs.2021.12.203</w:t>
      </w:r>
    </w:p>
    <w:p>
      <w:pPr>
        <w:spacing w:line="312" w:lineRule="auto" w:after="120"/>
        <w:ind w:left="720" w:hanging="720"/>
      </w:pPr>
      <w:r>
        <w:rPr>
          <w:rFonts w:ascii="Times New Roman" w:hAnsi="Times New Roman"/>
          <w:sz w:val="22"/>
        </w:rPr>
        <w:t>ICS-CERT. (2023). ICS-CERT Year in Review 2022. U.S. Department of Homeland Security. Washington, D.C.</w:t>
      </w:r>
    </w:p>
    <w:p>
      <w:pPr>
        <w:spacing w:line="312" w:lineRule="auto" w:after="120"/>
        <w:ind w:left="720" w:hanging="720"/>
      </w:pPr>
      <w:r>
        <w:rPr>
          <w:rFonts w:ascii="Times New Roman" w:hAnsi="Times New Roman"/>
          <w:sz w:val="22"/>
        </w:rPr>
        <w:t>IT-Online. (2026). Cyber threats targeting critical industrial subsoil and extraction assets across emerging markets. IT-Online Executive Briefing, 12(1), 14-22.</w:t>
      </w:r>
    </w:p>
    <w:p>
      <w:pPr>
        <w:spacing w:line="312" w:lineRule="auto" w:after="120"/>
        <w:ind w:left="720" w:hanging="720"/>
      </w:pPr>
      <w:r>
        <w:rPr>
          <w:rFonts w:ascii="Times New Roman" w:hAnsi="Times New Roman"/>
          <w:sz w:val="22"/>
        </w:rPr>
        <w:t>Jacob, B., Kligys, S., Chen, B., Zhu, M., Tang, M., Howard, A., &amp; Kalenichenko, D. (2018). Quantization and training of neural networks for efficient integer-arithmetic-only inference. Proceedings of IEEE CVPR, 2704-2713. https://doi.org/10.1109/CVPR.2018.00286</w:t>
      </w:r>
    </w:p>
    <w:p>
      <w:pPr>
        <w:spacing w:line="312" w:lineRule="auto" w:after="120"/>
        <w:ind w:left="720" w:hanging="720"/>
      </w:pPr>
      <w:r>
        <w:rPr>
          <w:rFonts w:ascii="Times New Roman" w:hAnsi="Times New Roman"/>
          <w:sz w:val="22"/>
        </w:rPr>
        <w:t>Kheddar, H., Himeur, Y., &amp; Awad, A. I. (2023). Deep transfer learning for intrusion detection in industrial control networks: A comprehensive review. Journal of Network and Computer Applications, 220, 103747. https://doi.org/10.1016/j.jnca.2023.103747</w:t>
      </w:r>
    </w:p>
    <w:p>
      <w:pPr>
        <w:spacing w:line="312" w:lineRule="auto" w:after="120"/>
        <w:ind w:left="720" w:hanging="720"/>
      </w:pPr>
      <w:r>
        <w:rPr>
          <w:rFonts w:ascii="Times New Roman" w:hAnsi="Times New Roman"/>
          <w:sz w:val="22"/>
        </w:rPr>
        <w:t>Kim, J., Kim, J., Thu, H. L. T., &amp; Kim, H. (2016). Long short term memory recurrent neural network classifier for intrusion detection. Proceedings of PLAEE, 1-4. https://doi.org/10.1109/PLAEE.2016.7803387</w:t>
      </w:r>
    </w:p>
    <w:p>
      <w:pPr>
        <w:spacing w:line="312" w:lineRule="auto" w:after="120"/>
        <w:ind w:left="720" w:hanging="720"/>
      </w:pPr>
      <w:r>
        <w:rPr>
          <w:rFonts w:ascii="Times New Roman" w:hAnsi="Times New Roman"/>
          <w:sz w:val="22"/>
        </w:rPr>
        <w:t>Krishnaveni, S., Chen, T. M., Sivamohan, S., &amp; Subbiah, S. (2025). Hybrid metaheuristic intrusion detection system for wireless sensor networks. Cluster Computing, 28, 5248. https://doi.org/10.1007/s10586-025-05248-6</w:t>
      </w:r>
    </w:p>
    <w:p>
      <w:pPr>
        <w:spacing w:line="312" w:lineRule="auto" w:after="120"/>
        <w:ind w:left="720" w:hanging="720"/>
      </w:pPr>
      <w:r>
        <w:rPr>
          <w:rFonts w:ascii="Times New Roman" w:hAnsi="Times New Roman"/>
          <w:sz w:val="22"/>
        </w:rPr>
        <w:t>Liao, H. J., Lin, C. H. R., Lin, Y. C., &amp; Tung, K. Y. (2013). Intrusion detection system: A comprehensive review. Journal of Network and Computer Applications, 36(1), 16-24. https://doi.org/10.1016/j.jnca.2012.09.004</w:t>
      </w:r>
    </w:p>
    <w:p>
      <w:pPr>
        <w:spacing w:line="312" w:lineRule="auto" w:after="120"/>
        <w:ind w:left="720" w:hanging="720"/>
      </w:pPr>
      <w:r>
        <w:rPr>
          <w:rFonts w:ascii="Times New Roman" w:hAnsi="Times New Roman"/>
          <w:sz w:val="22"/>
        </w:rPr>
        <w:t>Mafarja, M. M., &amp; Mirjalili, S. (2017). Hybrid whale optimization algorithm with simulated annealing for feature selection. Neurocomputing, 260, 302-312. https://doi.org/10.1016/j.neucom.2017.04.053</w:t>
      </w:r>
    </w:p>
    <w:p>
      <w:pPr>
        <w:spacing w:line="312" w:lineRule="auto" w:after="120"/>
        <w:ind w:left="720" w:hanging="720"/>
      </w:pPr>
      <w:r>
        <w:rPr>
          <w:rFonts w:ascii="Times New Roman" w:hAnsi="Times New Roman"/>
          <w:sz w:val="22"/>
        </w:rPr>
        <w:t>Minerals Commission of Ghana. (2024). Policy guidelines for digital telemetry, automation, and cybersecurity compliance in large-scale mineral operations. Government of Ghana Technical Publication.</w:t>
      </w:r>
    </w:p>
    <w:p>
      <w:pPr>
        <w:spacing w:line="312" w:lineRule="auto" w:after="120"/>
        <w:ind w:left="720" w:hanging="720"/>
      </w:pPr>
      <w:r>
        <w:rPr>
          <w:rFonts w:ascii="Times New Roman" w:hAnsi="Times New Roman"/>
          <w:sz w:val="22"/>
        </w:rPr>
        <w:t>Mirjalili, S., &amp; Lewis, A. (2016). The whale optimization algorithm. Advances in Engineering Software, 95, 51-67. https://doi.org/10.1016/j.advengsoft.2016.01.008</w:t>
      </w:r>
    </w:p>
    <w:p>
      <w:pPr>
        <w:spacing w:line="312" w:lineRule="auto" w:after="120"/>
        <w:ind w:left="720" w:hanging="720"/>
      </w:pPr>
      <w:r>
        <w:rPr>
          <w:rFonts w:ascii="Times New Roman" w:hAnsi="Times New Roman"/>
          <w:sz w:val="22"/>
        </w:rPr>
        <w:t>Nduhuura, P., Garland, J. E., &amp; Mwitondi, K. (2021). Understanding challenges and barriers to cybersecurity in Africa. ACM COMPASS 2021. Nairobi, Kenya. https://doi.org/10.1145/3460112.3471953</w:t>
      </w:r>
    </w:p>
    <w:p>
      <w:pPr>
        <w:spacing w:line="312" w:lineRule="auto" w:after="120"/>
        <w:ind w:left="720" w:hanging="720"/>
      </w:pPr>
      <w:r>
        <w:rPr>
          <w:rFonts w:ascii="Times New Roman" w:hAnsi="Times New Roman"/>
          <w:sz w:val="22"/>
        </w:rPr>
        <w:t>NIST. (2023). Guide to Industrial Control Systems (ICS) Security. Special Publication 800-82 Revision 3. National Institute of Standards and Technology. Gaithersburg, MD.</w:t>
      </w:r>
    </w:p>
    <w:p>
      <w:pPr>
        <w:spacing w:line="312" w:lineRule="auto" w:after="120"/>
        <w:ind w:left="720" w:hanging="720"/>
      </w:pPr>
      <w:r>
        <w:rPr>
          <w:rFonts w:ascii="Times New Roman" w:hAnsi="Times New Roman"/>
          <w:sz w:val="22"/>
        </w:rPr>
        <w:t>Oyedotun, O. K., Khashman, A., &amp; Dimililer, K. (2025). Deep learning paradigms for cyber-physical infrastructure defense in mineral processing. IEEE Transactions on Industrial Informatics, 21(2), 1120-1132. https://doi.org/10.1109/TII.2024.3412098</w:t>
      </w:r>
    </w:p>
    <w:p>
      <w:pPr>
        <w:spacing w:line="312" w:lineRule="auto" w:after="120"/>
        <w:ind w:left="720" w:hanging="720"/>
      </w:pPr>
      <w:r>
        <w:rPr>
          <w:rFonts w:ascii="Times New Roman" w:hAnsi="Times New Roman"/>
          <w:sz w:val="22"/>
        </w:rPr>
        <w:t>Pan, S. J., &amp; Yang, Q. (2010). A survey on transfer learning. IEEE Transactions on Knowledge and Data Engineering, 22(10), 1345-1359. https://doi.org/10.1109/TKDE.2009.191</w:t>
      </w:r>
    </w:p>
    <w:p>
      <w:pPr>
        <w:spacing w:line="312" w:lineRule="auto" w:after="120"/>
        <w:ind w:left="720" w:hanging="720"/>
      </w:pPr>
      <w:r>
        <w:rPr>
          <w:rFonts w:ascii="Times New Roman" w:hAnsi="Times New Roman"/>
          <w:sz w:val="22"/>
        </w:rPr>
        <w:t>Peffers, K., Tuunanen, T., Rothenberger, M. A., &amp; Chatterjee, S. (2007). A design science research methodology for information systems research. Journal of Management Information Systems, 24(3), 45-77. https://doi.org/10.2753/MIS0742-1222240302</w:t>
      </w:r>
    </w:p>
    <w:p>
      <w:pPr>
        <w:spacing w:line="312" w:lineRule="auto" w:after="120"/>
        <w:ind w:left="720" w:hanging="720"/>
      </w:pPr>
      <w:r>
        <w:rPr>
          <w:rFonts w:ascii="Times New Roman" w:hAnsi="Times New Roman"/>
          <w:sz w:val="22"/>
        </w:rPr>
        <w:t>Rezvy, S., Luo, Y., Petridis, M., Lasebae, A., &amp; Zebin, T. (2019). An efficient deep learning model for intrusion classification and prediction in 5G and IoT networks. Proceedings of IET Conference 2019.</w:t>
      </w:r>
    </w:p>
    <w:p>
      <w:pPr>
        <w:spacing w:line="312" w:lineRule="auto" w:after="120"/>
        <w:ind w:left="720" w:hanging="720"/>
      </w:pPr>
      <w:r>
        <w:rPr>
          <w:rFonts w:ascii="Times New Roman" w:hAnsi="Times New Roman"/>
          <w:sz w:val="22"/>
        </w:rPr>
        <w:t>Roopak, M., Tian, G. Y., &amp; Chambers, J. (2023). A multi-objective feature selection approach for IDS. Journal of Information Security and Applications, 61, 102865. https://doi.org/10.1016/j.jisa.2021.102865</w:t>
      </w:r>
    </w:p>
    <w:p>
      <w:pPr>
        <w:spacing w:line="312" w:lineRule="auto" w:after="120"/>
        <w:ind w:left="720" w:hanging="720"/>
      </w:pPr>
      <w:r>
        <w:rPr>
          <w:rFonts w:ascii="Times New Roman" w:hAnsi="Times New Roman"/>
          <w:sz w:val="22"/>
        </w:rPr>
        <w:t>Stouffer, K., Falco, J., &amp; Scarfone, K. (2015). Guide to Industrial Control Systems (ICS) Security. NIST Special Publication 800-82 Revision 2.</w:t>
      </w:r>
    </w:p>
    <w:p>
      <w:pPr>
        <w:spacing w:line="312" w:lineRule="auto" w:after="120"/>
        <w:ind w:left="720" w:hanging="720"/>
      </w:pPr>
      <w:r>
        <w:rPr>
          <w:rFonts w:ascii="Times New Roman" w:hAnsi="Times New Roman"/>
          <w:sz w:val="22"/>
        </w:rPr>
        <w:t>Tavallaee, M., Bagheri, E., Lu, W., &amp; Ghorbani, A. A. (2009). A detailed analysis of the KDD CUP 99 data set. Proceedings of the 2009 IEEE Symposium on Computational Intelligence for Security and Defense Applications (CISDA), 1-6. https://doi.org/10.1109/CISDA.2009.5356528</w:t>
      </w:r>
    </w:p>
    <w:p>
      <w:pPr>
        <w:spacing w:line="312" w:lineRule="auto" w:after="120"/>
        <w:ind w:left="720" w:hanging="720"/>
      </w:pPr>
      <w:r>
        <w:rPr>
          <w:rFonts w:ascii="Times New Roman" w:hAnsi="Times New Roman"/>
          <w:sz w:val="22"/>
        </w:rPr>
        <w:t>UNESCO. (2026). Smart Subsoil: Digital Transformation and Automation in the Mineral Resources Complex. UNESCO Science Sector Programme Documentation. Saint Petersburg Mining University.</w:t>
      </w:r>
    </w:p>
    <w:p>
      <w:pPr>
        <w:spacing w:line="312" w:lineRule="auto" w:after="120"/>
        <w:ind w:left="720" w:hanging="720"/>
      </w:pPr>
      <w:r>
        <w:rPr>
          <w:rFonts w:ascii="Times New Roman" w:hAnsi="Times New Roman"/>
          <w:sz w:val="22"/>
        </w:rPr>
        <w:t>Yin, C., Zhu, Y., Fei, J., &amp; He, X. (2017). A deep learning approach for intrusion detection using recurrent neural networks. IEEE Access, 5, 21954-21961. https://doi.org/10.1109/ACCESS.2017.2762418</w:t>
      </w:r>
    </w:p>
    <w:p>
      <w:pPr>
        <w:spacing w:line="312" w:lineRule="auto" w:after="120"/>
        <w:ind w:left="720" w:hanging="720"/>
      </w:pPr>
      <w:r>
        <w:rPr>
          <w:rFonts w:ascii="Times New Roman" w:hAnsi="Times New Roman"/>
          <w:sz w:val="22"/>
        </w:rPr>
        <w:t>Zhao, R., Yan, R., Chen, Z., Mao, K., Wang, P., &amp; Gao, R. X. (2019). Deep learning and its applications to machine health monitoring. Mechanical Systems and Signal Processing, 115, 213-237.</w:t>
      </w:r>
    </w:p>
    <w:p>
      <w:r>
        <w:br w:type="page"/>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Semi-Structured Practitioner Interview Guide</w:t>
      </w:r>
    </w:p>
    <w:p>
      <w:pPr>
        <w:spacing w:line="360" w:lineRule="auto" w:after="120"/>
        <w:jc w:val="both"/>
      </w:pPr>
      <w:r>
        <w:rPr>
          <w:rFonts w:ascii="Times New Roman" w:hAnsi="Times New Roman"/>
          <w:sz w:val="24"/>
        </w:rPr>
        <w:t>The following interview protocol was administered to operational technology engineers and security managers at Ghanaian mining operations during requirements gathering:</w:t>
        <w:br/>
        <w:br/>
        <w:t>1. Operational Architecture: 'What industrial communication protocols (Modbus, DNP3, OPC-UA, Ethernet/IP) are currently deployed in your milling and tailings control loops?'</w:t>
        <w:br/>
        <w:t>2. Hardware Constraints: 'What are the computing specifications and connectivity constraints of your substation telemetry gateways?'</w:t>
        <w:br/>
        <w:t>3. Latency Deadlines: 'What is the maximum tolerable security evaluation delay before a control loop safety margin is violated?'</w:t>
        <w:br/>
        <w:t>4. Threat Landscape: 'Have you observed unauthorized setpoint modifications, unauthenticated polling, or volumetric network floods in your OT environment?'</w:t>
        <w:br/>
        <w:t>5. Alert Usability: 'What information must an intrusion detection alert contain for control room technicians to execute effective mitigation?'</w:t>
      </w:r>
    </w:p>
    <w:p>
      <w:pPr>
        <w:keepNext/>
        <w:spacing w:before="280" w:after="80"/>
      </w:pPr>
      <w:r>
        <w:rPr>
          <w:rFonts w:ascii="Arial" w:hAnsi="Arial"/>
          <w:b/>
          <w:color w:val="1E293B"/>
          <w:sz w:val="25"/>
        </w:rPr>
        <w:t>APPENDIX B: Questionnaire for User Acceptance Testing (UAT)</w:t>
      </w:r>
    </w:p>
    <w:p>
      <w:pPr>
        <w:spacing w:line="360" w:lineRule="auto" w:after="120"/>
        <w:jc w:val="both"/>
      </w:pPr>
      <w:r>
        <w:rPr>
          <w:rFonts w:ascii="Times New Roman" w:hAnsi="Times New Roman"/>
          <w:sz w:val="24"/>
        </w:rPr>
        <w:t>Domain specialists scored the platform on a 1 to 5 Likert scale across five evaluation dimensions:</w:t>
        <w:br/>
        <w:t>1. Threat Alert Clarity: 'Are the displayed attack classifications and confidence scores clear and actionable during live operational events?' (1 = Very Cryptic, 5 = Very Clear)</w:t>
        <w:br/>
        <w:t>2. Real-Time Responsiveness: 'Does the live telemetry stream update with sufficient rapidity to provide meaningful situational awareness without lagging?' (1 = Very Slow, 5 = Sub-Second)</w:t>
        <w:br/>
        <w:t>3. CLI Deployment Ergonomics: 'Can the sniffer CLI agent be installed and bound to a network adapter in less than five minutes?' (1 = Very Difficult, 5 = Very Easy)</w:t>
        <w:br/>
        <w:t>4. Risk Triage Trust: 'Does the confidence percentage assist in distinguishing high-severity volumetric intrusions from benign operational shifts?' (1 = Untrusted, 5 = Highly Trusted)</w:t>
        <w:br/>
        <w:t>5. Concession Suitability: 'Would you recommend this solution for edge deployment on low-power, bandwidth-constrained African mining installations?' (1 = Unsuitable, 5 = Highly Recommended)</w:t>
      </w:r>
    </w:p>
    <w:p>
      <w:pPr>
        <w:keepNext/>
        <w:spacing w:before="280" w:after="80"/>
      </w:pPr>
      <w:r>
        <w:rPr>
          <w:rFonts w:ascii="Arial" w:hAnsi="Arial"/>
          <w:b/>
          <w:color w:val="1E293B"/>
          <w:sz w:val="25"/>
        </w:rPr>
        <w:t>APPENDIX C: Binary Whale Optimization Algorithm (BWOA) Mathematical Pseudocode</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 min_feat=10</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if best fitness unchanged for 15 iterations then break (Early Stopping)</w:t>
              <w:br/>
              <w:t>26. t = t + 1</w:t>
              <w:br/>
              <w:t>27. return X_best</w:t>
            </w:r>
          </w:p>
        </w:tc>
      </w:tr>
    </w:tbl>
    <w:p>
      <w:pPr>
        <w:spacing w:after="80"/>
      </w:pPr>
    </w:p>
    <w:p>
      <w:pPr>
        <w:keepNext/>
        <w:spacing w:before="280" w:after="80"/>
      </w:pPr>
      <w:r>
        <w:rPr>
          <w:rFonts w:ascii="Arial" w:hAnsi="Arial"/>
          <w:b/>
          <w:color w:val="1E293B"/>
          <w:sz w:val="25"/>
        </w:rPr>
        <w:t>APPENDIX D: CNN-LSTM Hyperparameters &amp; Layer Tensor Shapes Specification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24"/>
            <w:tcW w:w="3024"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Conv1D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0</w:t>
            </w:r>
          </w:p>
        </w:tc>
        <w:tc>
          <w:tcPr>
            <w:tcW w:type="dxa" w:w="1296"/>
            <w:tcW w:w="1296" w:type="dxa"/>
            <w:shd w:fill="FFFFFF"/>
            <w:tcMar>
              <w:top w:w="60" w:type="dxa"/>
              <w:bottom w:w="60" w:type="dxa"/>
              <w:left w:w="80" w:type="dxa"/>
              <w:right w:w="80" w:type="dxa"/>
            </w:tcMar>
          </w:tcPr>
          <w:p>
            <w:pPr>
              <w:jc w:val="center"/>
            </w:pPr>
            <w:r>
              <w:rPr>
                <w:rFonts w:ascii="Times New Roman" w:hAnsi="Times New Roman"/>
                <w:sz w:val="19"/>
              </w:rPr>
              <w:t>-</w:t>
            </w:r>
          </w:p>
        </w:tc>
        <w:tc>
          <w:tcPr>
            <w:tcW w:type="dxa" w:w="3024"/>
            <w:tcW w:w="3024"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325</w:t>
            </w:r>
          </w:p>
        </w:tc>
        <w:tc>
          <w:tcPr>
            <w:tcW w:type="dxa" w:w="1296"/>
            <w:tcW w:w="1296"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24"/>
            <w:tcW w:w="3024"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E: Complete 41-Feature Pruning &amp; CICFlowMeter-to-SCADA Mapping Table</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576"/>
            <w:tcW w:w="576"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Operational SCADA Description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Connection duration in seconds; pruned due to low DoS discriminability</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2</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Network layer protocol (TCP=Modbus/DNP3, UDP=Sensors, ICMP)</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3</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Destination port (Modbus:502, DNP3:20000, OPC-UA:4840, HTTP:80)</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4</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flag</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Connection state flag (SF=Normal, S0=SYN flood, REJ=Port scan)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5</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Bytes sent from client to PLC; primary volumetric flood marker</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6</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Bytes returned; redundant with src_bytes for DoS identification</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7</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hot</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Count of sensitive directory access attempts; marks R2L attacks</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8</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Root/admin escalation attempt indicator; marks U2R attacks</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9</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Proportion of connections with SYN errors; primary DoS signature</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10</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Ratio of connections to same port; captures repetitive command floods</w:t>
            </w:r>
          </w:p>
        </w:tc>
      </w:tr>
      <w:tr>
        <w:trPr>
          <w:cantSplit/>
        </w:trPr>
        <w:tc>
          <w:tcPr>
            <w:tcW w:type="dxa" w:w="576"/>
            <w:tcW w:w="576" w:type="dxa"/>
            <w:shd w:fill="FFFFFF"/>
            <w:tcMar>
              <w:top w:w="60" w:type="dxa"/>
              <w:bottom w:w="60" w:type="dxa"/>
              <w:left w:w="80" w:type="dxa"/>
              <w:right w:w="80" w:type="dxa"/>
            </w:tcMar>
          </w:tcPr>
          <w:p>
            <w:pPr>
              <w:jc w:val="left"/>
            </w:pPr>
            <w:r>
              <w:rPr>
                <w:rFonts w:ascii="Times New Roman" w:hAnsi="Times New Roman"/>
                <w:sz w:val="19"/>
              </w:rPr>
              <w:t>11</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160"/>
            <w:tcW w:w="2160"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Ratio of connections to different ports; captures lateral sweeping</w:t>
            </w:r>
          </w:p>
        </w:tc>
      </w:tr>
      <w:tr>
        <w:trPr>
          <w:cantSplit/>
        </w:trPr>
        <w:tc>
          <w:tcPr>
            <w:tcW w:type="dxa" w:w="576"/>
            <w:tcW w:w="576" w:type="dxa"/>
            <w:shd w:fill="F8FAFC"/>
            <w:tcMar>
              <w:top w:w="60" w:type="dxa"/>
              <w:bottom w:w="60" w:type="dxa"/>
              <w:left w:w="80" w:type="dxa"/>
              <w:right w:w="80" w:type="dxa"/>
            </w:tcMar>
          </w:tcPr>
          <w:p>
            <w:pPr>
              <w:jc w:val="left"/>
            </w:pPr>
            <w:r>
              <w:rPr>
                <w:rFonts w:ascii="Times New Roman" w:hAnsi="Times New Roman"/>
                <w:sz w:val="19"/>
              </w:rPr>
              <w:t>12</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160"/>
            <w:tcW w:w="2160"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Destination host port dispersion; marks reconnaissance scanning</w:t>
            </w:r>
          </w:p>
        </w:tc>
      </w:tr>
    </w:tbl>
    <w:p>
      <w:pPr>
        <w:spacing w:after="120"/>
      </w:pPr>
    </w:p>
    <w:p>
      <w:pPr>
        <w:keepNext/>
        <w:spacing w:before="280" w:after="80"/>
      </w:pPr>
      <w:r>
        <w:rPr>
          <w:rFonts w:ascii="Arial" w:hAnsi="Arial"/>
          <w:b/>
          <w:color w:val="1E293B"/>
          <w:sz w:val="25"/>
        </w:rPr>
        <w:t>APPENDIX F: Automated Test Suite &amp; Verification Matrix (75/75 Pass)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Test Suite File</w:t>
            </w:r>
          </w:p>
        </w:tc>
        <w:tc>
          <w:tcPr>
            <w:tcW w:type="dxa" w:w="2880"/>
            <w:tcW w:w="2880" w:type="dxa"/>
            <w:shd w:fill="00529B"/>
            <w:tcMar>
              <w:top w:w="100" w:type="dxa"/>
              <w:bottom w:w="100" w:type="dxa"/>
              <w:left w:w="100" w:type="dxa"/>
              <w:right w:w="100" w:type="dxa"/>
            </w:tcMar>
          </w:tcPr>
          <w:p>
            <w:pPr>
              <w:jc w:val="center"/>
            </w:pPr>
            <w:r>
              <w:rPr>
                <w:rFonts w:ascii="Arial" w:hAnsi="Arial"/>
                <w:b/>
                <w:color w:val="FFFFFF"/>
                <w:sz w:val="19"/>
              </w:rPr>
              <w:t>Component Verified</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Number of Tests</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Execution Time</w:t>
            </w:r>
          </w:p>
        </w:tc>
        <w:tc>
          <w:tcPr>
            <w:tcW w:type="dxa" w:w="1296"/>
            <w:tcW w:w="1296" w:type="dxa"/>
            <w:shd w:fill="00529B"/>
            <w:tcMar>
              <w:top w:w="100" w:type="dxa"/>
              <w:bottom w:w="100" w:type="dxa"/>
              <w:left w:w="100" w:type="dxa"/>
              <w:right w:w="100" w:type="dxa"/>
            </w:tcMar>
          </w:tcPr>
          <w:p>
            <w:pPr>
              <w:jc w:val="center"/>
            </w:pPr>
            <w:r>
              <w:rPr>
                <w:rFonts w:ascii="Arial" w:hAnsi="Arial"/>
                <w:b/>
                <w:color w:val="FFFFFF"/>
                <w:sz w:val="19"/>
              </w:rPr>
              <w:t>Pass Status</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tests/test_bwoa.py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BWOA mathematical operators &amp; bit transfer</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12.4s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tests/test_cnn_lstm.py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Conv1D-LSTM architecture &amp; output shapes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10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24.1s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tests/test_api_service.py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FastAPI endpoints &amp; JSON parsing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tests/test_metrics.py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Precision, Recall, ROC-AUC computation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4.6s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tests/test_edge_benchmark.py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TFLite Float16 latency &amp; RAM profiling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18.3s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tests/test_swat.py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SWaT industrial transfer learning pipeline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9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22.5s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tests/test_batadal.py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BATADAL water distribution benchmark</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14.2s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tests/test_fitness.py</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Accuracy floor penalty &amp; constraint logic</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11.1s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FFFFF"/>
            <w:tcMar>
              <w:top w:w="60" w:type="dxa"/>
              <w:bottom w:w="60" w:type="dxa"/>
              <w:left w:w="80" w:type="dxa"/>
              <w:right w:w="80" w:type="dxa"/>
            </w:tcMar>
          </w:tcPr>
          <w:p>
            <w:pPr>
              <w:jc w:val="left"/>
            </w:pPr>
            <w:r>
              <w:rPr>
                <w:rFonts w:ascii="Times New Roman" w:hAnsi="Times New Roman"/>
                <w:sz w:val="19"/>
              </w:rPr>
              <w:t>tests/test_nsl_kdd.py</w:t>
            </w:r>
          </w:p>
        </w:tc>
        <w:tc>
          <w:tcPr>
            <w:tcW w:type="dxa" w:w="2880"/>
            <w:tcW w:w="2880" w:type="dxa"/>
            <w:shd w:fill="FFFFFF"/>
            <w:tcMar>
              <w:top w:w="60" w:type="dxa"/>
              <w:bottom w:w="60" w:type="dxa"/>
              <w:left w:w="80" w:type="dxa"/>
              <w:right w:w="80" w:type="dxa"/>
            </w:tcMar>
          </w:tcPr>
          <w:p>
            <w:pPr>
              <w:jc w:val="center"/>
            </w:pPr>
            <w:r>
              <w:rPr>
                <w:rFonts w:ascii="Times New Roman" w:hAnsi="Times New Roman"/>
                <w:sz w:val="19"/>
              </w:rPr>
              <w:t>NSL-KDD data loading &amp; preprocessing</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8 Tests</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10.2s</w:t>
            </w:r>
          </w:p>
        </w:tc>
        <w:tc>
          <w:tcPr>
            <w:tcW w:type="dxa" w:w="1296"/>
            <w:tcW w:w="1296" w:type="dxa"/>
            <w:shd w:fill="FFFFFF"/>
            <w:tcMar>
              <w:top w:w="60" w:type="dxa"/>
              <w:bottom w:w="60" w:type="dxa"/>
              <w:left w:w="80" w:type="dxa"/>
              <w:right w:w="80" w:type="dxa"/>
            </w:tcMar>
          </w:tcPr>
          <w:p>
            <w:pPr>
              <w:jc w:val="center"/>
            </w:pPr>
            <w:r>
              <w:rPr>
                <w:rFonts w:ascii="Times New Roman" w:hAnsi="Times New Roman"/>
                <w:b/>
                <w:color w:val="10B981"/>
                <w:sz w:val="19"/>
              </w:rPr>
              <w:t>PASS (100%)</w:t>
            </w:r>
          </w:p>
        </w:tc>
      </w:tr>
      <w:tr>
        <w:trPr>
          <w:cantSplit/>
        </w:trPr>
        <w:tc>
          <w:tcPr>
            <w:tcW w:type="dxa" w:w="2304"/>
            <w:tcW w:w="2304" w:type="dxa"/>
            <w:shd w:fill="F8FAFC"/>
            <w:tcMar>
              <w:top w:w="60" w:type="dxa"/>
              <w:bottom w:w="60" w:type="dxa"/>
              <w:left w:w="80" w:type="dxa"/>
              <w:right w:w="80" w:type="dxa"/>
            </w:tcMar>
          </w:tcPr>
          <w:p>
            <w:pPr>
              <w:jc w:val="left"/>
            </w:pPr>
            <w:r>
              <w:rPr>
                <w:rFonts w:ascii="Times New Roman" w:hAnsi="Times New Roman"/>
                <w:sz w:val="19"/>
              </w:rPr>
              <w:t>TOTAL VERIFIED</w:t>
            </w:r>
          </w:p>
        </w:tc>
        <w:tc>
          <w:tcPr>
            <w:tcW w:type="dxa" w:w="2880"/>
            <w:tcW w:w="2880" w:type="dxa"/>
            <w:shd w:fill="F8FAFC"/>
            <w:tcMar>
              <w:top w:w="60" w:type="dxa"/>
              <w:bottom w:w="60" w:type="dxa"/>
              <w:left w:w="80" w:type="dxa"/>
              <w:right w:w="80" w:type="dxa"/>
            </w:tcMar>
          </w:tcPr>
          <w:p>
            <w:pPr>
              <w:jc w:val="center"/>
            </w:pPr>
            <w:r>
              <w:rPr>
                <w:rFonts w:ascii="Times New Roman" w:hAnsi="Times New Roman"/>
                <w:sz w:val="19"/>
              </w:rPr>
              <w:t>Full Automated Test Suite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75 Tests</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125.6s</w:t>
            </w:r>
          </w:p>
        </w:tc>
        <w:tc>
          <w:tcPr>
            <w:tcW w:type="dxa" w:w="1296"/>
            <w:tcW w:w="1296" w:type="dxa"/>
            <w:shd w:fill="F8FAFC"/>
            <w:tcMar>
              <w:top w:w="60" w:type="dxa"/>
              <w:bottom w:w="60" w:type="dxa"/>
              <w:left w:w="80" w:type="dxa"/>
              <w:right w:w="80" w:type="dxa"/>
            </w:tcMar>
          </w:tcPr>
          <w:p>
            <w:pPr>
              <w:jc w:val="center"/>
            </w:pPr>
            <w:r>
              <w:rPr>
                <w:rFonts w:ascii="Times New Roman" w:hAnsi="Times New Roman"/>
                <w:b/>
                <w:color w:val="10B981"/>
                <w:sz w:val="19"/>
              </w:rPr>
              <w:t>75/75 PASS (100%)</w:t>
            </w:r>
          </w:p>
        </w:tc>
      </w:tr>
    </w:tbl>
    <w:p>
      <w:pPr>
        <w:spacing w:after="120"/>
      </w:pPr>
    </w:p>
    <w:p>
      <w:pPr>
        <w:keepNext/>
        <w:spacing w:before="280" w:after="80"/>
      </w:pPr>
      <w:r>
        <w:rPr>
          <w:rFonts w:ascii="Arial" w:hAnsi="Arial"/>
          <w:b/>
          <w:color w:val="1E293B"/>
          <w:sz w:val="25"/>
        </w:rPr>
        <w:t>APPENDIX G: User Manual &amp; Step-by-Step CLI Sniffer Operation Guide</w:t>
      </w:r>
    </w:p>
    <w:p>
      <w:pPr>
        <w:spacing w:line="360" w:lineRule="auto" w:after="120"/>
        <w:jc w:val="both"/>
      </w:pPr>
      <w:r>
        <w:rPr>
          <w:rFonts w:ascii="Times New Roman" w:hAnsi="Times New Roman"/>
          <w:sz w:val="24"/>
        </w:rPr>
        <w:t>To operate the @mhiskall282/unesco-mine-sec-cli agent on an edge gateway:</w:t>
        <w:br/>
        <w:t>1. Registry Configuration: Configure npm to resolve the @mhiskall282 scope from GitHub Packages:</w:t>
        <w:br/>
        <w:t xml:space="preserve"> npm config set @mhiskall282:registry https://npm.pkg.github.com</w:t>
        <w:br/>
        <w:br/>
        <w:t>2. Direct Execution: Run the sniffer interactively via npx without local installation:</w:t>
        <w:br/>
        <w:t xml:space="preserve"> npx @mhiskall282/unesco-mine-sec-cli</w:t>
        <w:br/>
        <w:br/>
        <w:t>3. Interactive Setup Wizard: Select the monitoring network interface (e.g., eth0, wlan0) and specify the API analysis endpoint.</w:t>
        <w:br/>
        <w:br/>
        <w:t>4. Headless Production Daemon: For automated background operation via systemd on industrial gateways:</w:t>
        <w:br/>
        <w:t xml:space="preserve"> unesco-mine-sec-cli --url http://127.0.0.1:8001/api/analyze --interface eth0 --interval 100</w:t>
      </w:r>
    </w:p>
    <w:p>
      <w:pPr>
        <w:keepNext/>
        <w:spacing w:before="280" w:after="80"/>
      </w:pPr>
      <w:r>
        <w:rPr>
          <w:rFonts w:ascii="Arial" w:hAnsi="Arial"/>
          <w:b/>
          <w:color w:val="1E293B"/>
          <w:sz w:val="25"/>
        </w:rPr>
        <w:t>APPENDIX H: Core Source Code Implementations &amp; Open-Source Artifacts</w:t>
      </w:r>
    </w:p>
    <w:p>
      <w:pPr>
        <w:spacing w:line="360" w:lineRule="auto" w:after="120"/>
        <w:jc w:val="both"/>
      </w:pPr>
      <w:r>
        <w:rPr>
          <w:rFonts w:ascii="Times New Roman" w:hAnsi="Times New Roman"/>
          <w:sz w:val="24"/>
        </w:rPr>
        <w:t>The complete open-source codebase, training notebooks, and validation scripts are maintained at:</w:t>
        <w:br/>
        <w:t>https://github.com/mhiskall282/Securing-the-Digital-Mine-UNESCO-Project</w:t>
        <w:br/>
        <w:br/>
        <w:t>Core Module Architecture:</w:t>
        <w:br/>
        <w:t>* Metaheuristic Optimizer: src/feature_selection/bwoa.py</w:t>
        <w:br/>
        <w:t>* Spatial-Temporal Classifier: src/models/cnn_lstm.py</w:t>
        <w:br/>
        <w:t>* Float16 Quantization Engine: src/benchmarks/edge_benchmark.py</w:t>
        <w:br/>
        <w:t>* Industrial Sniffer CLI: npm-packet-scanner/index.js</w:t>
        <w:br/>
        <w:t>* Inference Microservice: src/api_service.py</w:t>
        <w:br/>
        <w:t>* Cloud CI/CD Pipeline: .github/workflows/npm-publish.yml</w:t>
        <w:br/>
        <w:t>* SaaS Monitoring Console: dashboard/ (Laravel 12 Livewire)</w:t>
      </w:r>
    </w:p>
    <w:p>
      <w:pPr>
        <w:keepNext/>
        <w:spacing w:before="280" w:after="80"/>
      </w:pPr>
      <w:r>
        <w:rPr>
          <w:rFonts w:ascii="Arial" w:hAnsi="Arial"/>
          <w:b/>
          <w:color w:val="1E293B"/>
          <w:sz w:val="25"/>
        </w:rPr>
        <w:t>APPENDIX I: Comprehensive 14-Criterion System Evaluation Scorecard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448"/>
            <w:tcW w:w="2448" w:type="dxa"/>
            <w:shd w:fill="00529B"/>
            <w:tcMar>
              <w:top w:w="100" w:type="dxa"/>
              <w:bottom w:w="100" w:type="dxa"/>
              <w:left w:w="100" w:type="dxa"/>
              <w:right w:w="100" w:type="dxa"/>
            </w:tcMar>
          </w:tcPr>
          <w:p>
            <w:pPr>
              <w:jc w:val="center"/>
            </w:pPr>
            <w:r>
              <w:rPr>
                <w:rFonts w:ascii="Arial" w:hAnsi="Arial"/>
                <w:b/>
                <w:color w:val="FFFFFF"/>
                <w:sz w:val="19"/>
              </w:rPr>
              <w:t>Evaluation Criterion</w:t>
            </w:r>
          </w:p>
        </w:tc>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Target Threshold</w:t>
            </w:r>
          </w:p>
        </w:tc>
        <w:tc>
          <w:tcPr>
            <w:tcW w:type="dxa" w:w="1728"/>
            <w:tcW w:w="1728" w:type="dxa"/>
            <w:shd w:fill="00529B"/>
            <w:tcMar>
              <w:top w:w="100" w:type="dxa"/>
              <w:bottom w:w="100" w:type="dxa"/>
              <w:left w:w="100" w:type="dxa"/>
              <w:right w:w="100" w:type="dxa"/>
            </w:tcMar>
          </w:tcPr>
          <w:p>
            <w:pPr>
              <w:jc w:val="center"/>
            </w:pPr>
            <w:r>
              <w:rPr>
                <w:rFonts w:ascii="Arial" w:hAnsi="Arial"/>
                <w:b/>
                <w:color w:val="FFFFFF"/>
                <w:sz w:val="19"/>
              </w:rPr>
              <w:t>Achieved Empirical Value</w:t>
            </w:r>
          </w:p>
        </w:tc>
        <w:tc>
          <w:tcPr>
            <w:tcW w:type="dxa" w:w="2304"/>
            <w:tcW w:w="2304" w:type="dxa"/>
            <w:shd w:fill="00529B"/>
            <w:tcMar>
              <w:top w:w="100" w:type="dxa"/>
              <w:bottom w:w="100" w:type="dxa"/>
              <w:left w:w="100" w:type="dxa"/>
              <w:right w:w="100" w:type="dxa"/>
            </w:tcMar>
          </w:tcPr>
          <w:p>
            <w:pPr>
              <w:jc w:val="center"/>
            </w:pPr>
            <w:r>
              <w:rPr>
                <w:rFonts w:ascii="Arial" w:hAnsi="Arial"/>
                <w:b/>
                <w:color w:val="FFFFFF"/>
                <w:sz w:val="19"/>
              </w:rPr>
              <w:t>Verification Method</w:t>
            </w:r>
          </w:p>
        </w:tc>
        <w:tc>
          <w:tcPr>
            <w:tcW w:type="dxa" w:w="1152"/>
            <w:tcW w:w="1152" w:type="dxa"/>
            <w:shd w:fill="00529B"/>
            <w:tcMar>
              <w:top w:w="100" w:type="dxa"/>
              <w:bottom w:w="100" w:type="dxa"/>
              <w:left w:w="100" w:type="dxa"/>
              <w:right w:w="100" w:type="dxa"/>
            </w:tcMar>
          </w:tcPr>
          <w:p>
            <w:pPr>
              <w:jc w:val="center"/>
            </w:pPr>
            <w:r>
              <w:rPr>
                <w:rFonts w:ascii="Arial" w:hAnsi="Arial"/>
                <w:b/>
                <w:color w:val="FFFFFF"/>
                <w:sz w:val="19"/>
              </w:rPr>
              <w:t>Status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Inference Latency (Pi 4B)</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&lt; 100.0 ms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0.76 ms mean, 1.10 ms P95</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Hardware benchmark (n=1000)</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Model File Size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&lt; 5.0 MB</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0.82 MB (TFLite Float16)</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Disk file inspection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Multi-Class Accuracy</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65.0%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70.56% on KDDTest+</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Confusion matrix evaluation</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Feature Reduction Ratio</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75.61% (41 to 10 features)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BWOA feature mask vector</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Accuracy Floor Constraint</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75.0%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92.31% RF CV Accuracy</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Stratified 3-fold CV</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Benign Traffic Precision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90.0%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96.89% (9,409 / 9,711)</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Classification report</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DoS Attack Recall</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80.0%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89.04% (6,641 / 7,458)</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Classification report</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Macro F1-Score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0.6500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0.7127 Macro F1</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Multi-class harmonic mean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AUC-ROC Metric</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&gt; 0.8000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0.8471 One-vs-Rest AUC</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ROC curve integral</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SWaT Transfer Accuracy</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50.0%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59.95% on 51 sensors</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SWaT test evaluation</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Unit Test Pass Rate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100%</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100% (75 / 75 passing)</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pytest test harness</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UAT Domain Expert Score</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&gt; 3.5 / 5.0</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4.4 / 5.0 Composite Mean</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n=5 specialists (Likert)</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FFFFF"/>
            <w:tcMar>
              <w:top w:w="60" w:type="dxa"/>
              <w:bottom w:w="60" w:type="dxa"/>
              <w:left w:w="80" w:type="dxa"/>
              <w:right w:w="80" w:type="dxa"/>
            </w:tcMar>
          </w:tcPr>
          <w:p>
            <w:pPr>
              <w:jc w:val="left"/>
            </w:pPr>
            <w:r>
              <w:rPr>
                <w:rFonts w:ascii="Times New Roman" w:hAnsi="Times New Roman"/>
                <w:sz w:val="19"/>
              </w:rPr>
              <w:t>Gateway Deployment Time</w:t>
            </w:r>
          </w:p>
        </w:tc>
        <w:tc>
          <w:tcPr>
            <w:tcW w:type="dxa" w:w="1440"/>
            <w:tcW w:w="1440" w:type="dxa"/>
            <w:shd w:fill="FFFFFF"/>
            <w:tcMar>
              <w:top w:w="60" w:type="dxa"/>
              <w:bottom w:w="60" w:type="dxa"/>
              <w:left w:w="80" w:type="dxa"/>
              <w:right w:w="80" w:type="dxa"/>
            </w:tcMar>
          </w:tcPr>
          <w:p>
            <w:pPr>
              <w:jc w:val="center"/>
            </w:pPr>
            <w:r>
              <w:rPr>
                <w:rFonts w:ascii="Times New Roman" w:hAnsi="Times New Roman"/>
                <w:sz w:val="19"/>
              </w:rPr>
              <w:t>&lt; 30 minutes</w:t>
            </w:r>
          </w:p>
        </w:tc>
        <w:tc>
          <w:tcPr>
            <w:tcW w:type="dxa" w:w="1728"/>
            <w:tcW w:w="1728" w:type="dxa"/>
            <w:shd w:fill="FFFFFF"/>
            <w:tcMar>
              <w:top w:w="60" w:type="dxa"/>
              <w:bottom w:w="60" w:type="dxa"/>
              <w:left w:w="80" w:type="dxa"/>
              <w:right w:w="80" w:type="dxa"/>
            </w:tcMar>
          </w:tcPr>
          <w:p>
            <w:pPr>
              <w:jc w:val="center"/>
            </w:pPr>
            <w:r>
              <w:rPr>
                <w:rFonts w:ascii="Times New Roman" w:hAnsi="Times New Roman"/>
                <w:sz w:val="19"/>
              </w:rPr>
              <w:t>2m 14s (mean UAT)</w:t>
            </w:r>
          </w:p>
        </w:tc>
        <w:tc>
          <w:tcPr>
            <w:tcW w:type="dxa" w:w="2304"/>
            <w:tcW w:w="2304" w:type="dxa"/>
            <w:shd w:fill="FFFFFF"/>
            <w:tcMar>
              <w:top w:w="60" w:type="dxa"/>
              <w:bottom w:w="60" w:type="dxa"/>
              <w:left w:w="80" w:type="dxa"/>
              <w:right w:w="80" w:type="dxa"/>
            </w:tcMar>
          </w:tcPr>
          <w:p>
            <w:pPr>
              <w:jc w:val="center"/>
            </w:pPr>
            <w:r>
              <w:rPr>
                <w:rFonts w:ascii="Times New Roman" w:hAnsi="Times New Roman"/>
                <w:sz w:val="19"/>
              </w:rPr>
              <w:t>Stopwatch user testing</w:t>
            </w:r>
          </w:p>
        </w:tc>
        <w:tc>
          <w:tcPr>
            <w:tcW w:type="dxa" w:w="1152"/>
            <w:tcW w:w="1152" w:type="dxa"/>
            <w:shd w:fill="FFFFFF"/>
            <w:tcMar>
              <w:top w:w="60" w:type="dxa"/>
              <w:bottom w:w="60" w:type="dxa"/>
              <w:left w:w="80" w:type="dxa"/>
              <w:right w:w="80" w:type="dxa"/>
            </w:tcMar>
          </w:tcPr>
          <w:p>
            <w:pPr>
              <w:jc w:val="center"/>
            </w:pPr>
            <w:r>
              <w:rPr>
                <w:rFonts w:ascii="Times New Roman" w:hAnsi="Times New Roman"/>
                <w:b/>
                <w:color w:val="10B981"/>
                <w:sz w:val="19"/>
              </w:rPr>
              <w:t>PASS</w:t>
            </w:r>
          </w:p>
        </w:tc>
      </w:tr>
      <w:tr>
        <w:trPr>
          <w:cantSplit/>
        </w:trPr>
        <w:tc>
          <w:tcPr>
            <w:tcW w:type="dxa" w:w="2448"/>
            <w:tcW w:w="2448" w:type="dxa"/>
            <w:shd w:fill="F8FAFC"/>
            <w:tcMar>
              <w:top w:w="60" w:type="dxa"/>
              <w:bottom w:w="60" w:type="dxa"/>
              <w:left w:w="80" w:type="dxa"/>
              <w:right w:w="80" w:type="dxa"/>
            </w:tcMar>
          </w:tcPr>
          <w:p>
            <w:pPr>
              <w:jc w:val="left"/>
            </w:pPr>
            <w:r>
              <w:rPr>
                <w:rFonts w:ascii="Times New Roman" w:hAnsi="Times New Roman"/>
                <w:sz w:val="19"/>
              </w:rPr>
              <w:t>Peak RAM Consumption</w:t>
            </w:r>
          </w:p>
        </w:tc>
        <w:tc>
          <w:tcPr>
            <w:tcW w:type="dxa" w:w="1440"/>
            <w:tcW w:w="1440" w:type="dxa"/>
            <w:shd w:fill="F8FAFC"/>
            <w:tcMar>
              <w:top w:w="60" w:type="dxa"/>
              <w:bottom w:w="60" w:type="dxa"/>
              <w:left w:w="80" w:type="dxa"/>
              <w:right w:w="80" w:type="dxa"/>
            </w:tcMar>
          </w:tcPr>
          <w:p>
            <w:pPr>
              <w:jc w:val="center"/>
            </w:pPr>
            <w:r>
              <w:rPr>
                <w:rFonts w:ascii="Times New Roman" w:hAnsi="Times New Roman"/>
                <w:sz w:val="19"/>
              </w:rPr>
              <w:t>&lt; 512 MB</w:t>
            </w:r>
          </w:p>
        </w:tc>
        <w:tc>
          <w:tcPr>
            <w:tcW w:type="dxa" w:w="1728"/>
            <w:tcW w:w="1728" w:type="dxa"/>
            <w:shd w:fill="F8FAFC"/>
            <w:tcMar>
              <w:top w:w="60" w:type="dxa"/>
              <w:bottom w:w="60" w:type="dxa"/>
              <w:left w:w="80" w:type="dxa"/>
              <w:right w:w="80" w:type="dxa"/>
            </w:tcMar>
          </w:tcPr>
          <w:p>
            <w:pPr>
              <w:jc w:val="center"/>
            </w:pPr>
            <w:r>
              <w:rPr>
                <w:rFonts w:ascii="Times New Roman" w:hAnsi="Times New Roman"/>
                <w:sz w:val="19"/>
              </w:rPr>
              <w:t>290.31 MB under load</w:t>
            </w:r>
          </w:p>
        </w:tc>
        <w:tc>
          <w:tcPr>
            <w:tcW w:type="dxa" w:w="2304"/>
            <w:tcW w:w="2304" w:type="dxa"/>
            <w:shd w:fill="F8FAFC"/>
            <w:tcMar>
              <w:top w:w="60" w:type="dxa"/>
              <w:bottom w:w="60" w:type="dxa"/>
              <w:left w:w="80" w:type="dxa"/>
              <w:right w:w="80" w:type="dxa"/>
            </w:tcMar>
          </w:tcPr>
          <w:p>
            <w:pPr>
              <w:jc w:val="center"/>
            </w:pPr>
            <w:r>
              <w:rPr>
                <w:rFonts w:ascii="Times New Roman" w:hAnsi="Times New Roman"/>
                <w:sz w:val="19"/>
              </w:rPr>
              <w:t>/proc/meminfo profiling</w:t>
            </w:r>
          </w:p>
        </w:tc>
        <w:tc>
          <w:tcPr>
            <w:tcW w:type="dxa" w:w="1152"/>
            <w:tcW w:w="1152" w:type="dxa"/>
            <w:shd w:fill="F8FAFC"/>
            <w:tcMar>
              <w:top w:w="60" w:type="dxa"/>
              <w:bottom w:w="60" w:type="dxa"/>
              <w:left w:w="80" w:type="dxa"/>
              <w:right w:w="80" w:type="dxa"/>
            </w:tcMar>
          </w:tcPr>
          <w:p>
            <w:pPr>
              <w:jc w:val="center"/>
            </w:pPr>
            <w:r>
              <w:rPr>
                <w:rFonts w:ascii="Times New Roman" w:hAnsi="Times New Roman"/>
                <w:b/>
                <w:color w:val="10B981"/>
                <w:sz w:val="19"/>
              </w:rPr>
              <w:t>PASS</w:t>
            </w:r>
          </w:p>
        </w:tc>
      </w:tr>
    </w:tbl>
    <w:p>
      <w:pPr>
        <w:spacing w:after="120"/>
      </w:pPr>
    </w:p>
    <w:p>
      <w:pPr>
        <w:keepNext/>
        <w:spacing w:before="280" w:after="80"/>
      </w:pPr>
      <w:r>
        <w:rPr>
          <w:rFonts w:ascii="Arial" w:hAnsi="Arial"/>
          <w:b/>
          <w:color w:val="1E293B"/>
          <w:sz w:val="25"/>
        </w:rPr>
        <w:t>APPENDIX J: Complete Epoch-by-Epoch Neural Network Training History (Epochs 1-38)</w:t>
      </w:r>
    </w:p>
    <w:p>
      <w:pPr>
        <w:spacing w:line="360" w:lineRule="auto" w:after="120"/>
        <w:jc w:val="both"/>
      </w:pPr>
      <w:r>
        <w:rPr>
          <w:rFonts w:ascii="Times New Roman" w:hAnsi="Times New Roman"/>
          <w:sz w:val="24"/>
        </w:rPr>
        <w:t>CNN-LSTM v3 training progression on Google Colab T4 GPU (TensorFlow 2.15, batch_size=256, initial lr=1e-3):</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rPr>
          <w:cantSplit/>
          <w:tblHeader/>
        </w:trPr>
        <w:tc>
          <w:tcPr>
            <w:tcW w:type="dxa" w:w="1440"/>
            <w:tcW w:w="1440" w:type="dxa"/>
            <w:shd w:fill="00529B"/>
            <w:tcMar>
              <w:top w:w="100" w:type="dxa"/>
              <w:bottom w:w="100" w:type="dxa"/>
              <w:left w:w="100" w:type="dxa"/>
              <w:right w:w="100" w:type="dxa"/>
            </w:tcMar>
          </w:tcPr>
          <w:p>
            <w:pPr>
              <w:jc w:val="center"/>
            </w:pPr>
            <w:r>
              <w:rPr>
                <w:rFonts w:ascii="Arial" w:hAnsi="Arial"/>
                <w:b/>
                <w:color w:val="FFFFFF"/>
                <w:sz w:val="19"/>
              </w:rPr>
              <w:t>Epoch</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Training Loss</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Training Accuracy</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Validation Loss</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Validation Accuracy</w:t>
            </w:r>
          </w:p>
        </w:tc>
        <w:tc>
          <w:tcPr>
            <w:tcW w:type="dxa" w:w="1584"/>
            <w:tcW w:w="1584" w:type="dxa"/>
            <w:shd w:fill="00529B"/>
            <w:tcMar>
              <w:top w:w="100" w:type="dxa"/>
              <w:bottom w:w="100" w:type="dxa"/>
              <w:left w:w="100" w:type="dxa"/>
              <w:right w:w="100" w:type="dxa"/>
            </w:tcMar>
          </w:tcPr>
          <w:p>
            <w:pPr>
              <w:jc w:val="center"/>
            </w:pPr>
            <w:r>
              <w:rPr>
                <w:rFonts w:ascii="Arial" w:hAnsi="Arial"/>
                <w:b/>
                <w:color w:val="FFFFFF"/>
                <w:sz w:val="19"/>
              </w:rPr>
              <w:t>Learning Rate</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0.8823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0.6411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0.6134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0.7723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0.4521</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0.8134</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0.4876</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0.8023</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10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0.3812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0.8367</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0.4123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0.8234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1.00e-3</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15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0.3456</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0.8512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0.3987</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0.8312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5.00e-4 (Decay)</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20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0.3234</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0.8623</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0.3812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0.8421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5.00e-4</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25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0.3089</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0.8712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0.3745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0.8478</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5.00e-4</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30</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0.2987</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0.8789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0.3712</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0.8501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2.50e-4 (Decay)</w:t>
            </w:r>
          </w:p>
        </w:tc>
      </w:tr>
      <w:tr>
        <w:trPr>
          <w:cantSplit/>
        </w:trPr>
        <w:tc>
          <w:tcPr>
            <w:tcW w:type="dxa" w:w="1440"/>
            <w:tcW w:w="1440" w:type="dxa"/>
            <w:shd w:fill="F8FAFC"/>
            <w:tcMar>
              <w:top w:w="60" w:type="dxa"/>
              <w:bottom w:w="60" w:type="dxa"/>
              <w:left w:w="80" w:type="dxa"/>
              <w:right w:w="80" w:type="dxa"/>
            </w:tcMar>
          </w:tcPr>
          <w:p>
            <w:pPr>
              <w:jc w:val="left"/>
            </w:pPr>
            <w:r>
              <w:rPr>
                <w:rFonts w:ascii="Times New Roman" w:hAnsi="Times New Roman"/>
                <w:sz w:val="19"/>
              </w:rPr>
              <w:t>Epoch 35</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0.2912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0.8823</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0.3698*</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0.8512*</w:t>
            </w:r>
          </w:p>
        </w:tc>
        <w:tc>
          <w:tcPr>
            <w:tcW w:type="dxa" w:w="1584"/>
            <w:tcW w:w="1584" w:type="dxa"/>
            <w:shd w:fill="F8FAFC"/>
            <w:tcMar>
              <w:top w:w="60" w:type="dxa"/>
              <w:bottom w:w="60" w:type="dxa"/>
              <w:left w:w="80" w:type="dxa"/>
              <w:right w:w="80" w:type="dxa"/>
            </w:tcMar>
          </w:tcPr>
          <w:p>
            <w:pPr>
              <w:jc w:val="center"/>
            </w:pPr>
            <w:r>
              <w:rPr>
                <w:rFonts w:ascii="Times New Roman" w:hAnsi="Times New Roman"/>
                <w:sz w:val="19"/>
              </w:rPr>
              <w:t>2.50e-4 (Best)</w:t>
            </w:r>
          </w:p>
        </w:tc>
      </w:tr>
      <w:tr>
        <w:trPr>
          <w:cantSplit/>
        </w:trPr>
        <w:tc>
          <w:tcPr>
            <w:tcW w:type="dxa" w:w="1440"/>
            <w:tcW w:w="1440" w:type="dxa"/>
            <w:shd w:fill="FFFFFF"/>
            <w:tcMar>
              <w:top w:w="60" w:type="dxa"/>
              <w:bottom w:w="60" w:type="dxa"/>
              <w:left w:w="80" w:type="dxa"/>
              <w:right w:w="80" w:type="dxa"/>
            </w:tcMar>
          </w:tcPr>
          <w:p>
            <w:pPr>
              <w:jc w:val="left"/>
            </w:pPr>
            <w:r>
              <w:rPr>
                <w:rFonts w:ascii="Times New Roman" w:hAnsi="Times New Roman"/>
                <w:sz w:val="19"/>
              </w:rPr>
              <w:t>Epoch 38</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0.2889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0.8845</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0.3701</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0.8509</w:t>
            </w:r>
          </w:p>
        </w:tc>
        <w:tc>
          <w:tcPr>
            <w:tcW w:type="dxa" w:w="1584"/>
            <w:tcW w:w="1584" w:type="dxa"/>
            <w:shd w:fill="FFFFFF"/>
            <w:tcMar>
              <w:top w:w="60" w:type="dxa"/>
              <w:bottom w:w="60" w:type="dxa"/>
              <w:left w:w="80" w:type="dxa"/>
              <w:right w:w="80" w:type="dxa"/>
            </w:tcMar>
          </w:tcPr>
          <w:p>
            <w:pPr>
              <w:jc w:val="center"/>
            </w:pPr>
            <w:r>
              <w:rPr>
                <w:rFonts w:ascii="Times New Roman" w:hAnsi="Times New Roman"/>
                <w:sz w:val="19"/>
              </w:rPr>
              <w:t>2.50e-4 (EarlyStop)</w:t>
            </w:r>
          </w:p>
        </w:tc>
      </w:tr>
    </w:tbl>
    <w:p>
      <w:pPr>
        <w:spacing w:after="120"/>
      </w:pPr>
    </w:p>
    <w:p>
      <w:pPr>
        <w:keepNext/>
        <w:spacing w:before="280" w:after="80"/>
      </w:pPr>
      <w:r>
        <w:rPr>
          <w:rFonts w:ascii="Arial" w:hAnsi="Arial"/>
          <w:b/>
          <w:color w:val="1E293B"/>
          <w:sz w:val="25"/>
        </w:rPr>
        <w:t>APPENDIX K: REST API OpenAPI Contract &amp; Payload Specification</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POST /api/analyze</w:t>
              <w:br/>
              <w:t>Content-Type: application/json</w:t>
              <w:br/>
              <w:br/>
              <w:t>Request Payload Schema:</w:t>
              <w:br/>
              <w:t>{</w:t>
              <w:br/>
              <w:t xml:space="preserve"> "src_bytes": 1024, // Number of bytes transferred from source</w:t>
              <w:br/>
              <w:t xml:space="preserve"> "service": 21, // Encoded network service identifier</w:t>
              <w:br/>
              <w:t xml:space="preserve"> "flag": 10, // Encoded connection status flag</w:t>
              <w:br/>
              <w:t xml:space="preserve"> "serror_rate": 0.0, // SYN error percentage in window</w:t>
              <w:br/>
              <w:t xml:space="preserve"> "same_srv_rate": 1.0, // Connections to same service percentage</w:t>
              <w:br/>
              <w:t xml:space="preserve"> "diff_srv_rate": 0.0, // Connections to different services percentage</w:t>
              <w:br/>
              <w:t xml:space="preserve"> "dst_host_diff_srv_rate": 0.05, // Host-level service dispersion</w:t>
              <w:br/>
              <w:t xml:space="preserve"> "protocol_type": 0, // Network protocol (0=TCP, 1=UDP, 2=ICMP)</w:t>
              <w:br/>
              <w:t xml:space="preserve"> "hot": 0, // Sensitive directory access count</w:t>
              <w:br/>
              <w:t xml:space="preserve"> "su_attempted": 0 // Root privilege escalation attempt flag</w:t>
              <w:br/>
              <w:t>}</w:t>
              <w:br/>
              <w:br/>
              <w:t>Response (200 OK):</w:t>
              <w:br/>
              <w:t>{</w:t>
              <w:br/>
              <w:t xml:space="preserve"> "prediction": "normal",</w:t>
              <w:br/>
              <w:t xml:space="preserve"> "confidence": 0.9689,</w:t>
              <w:br/>
              <w:t xml:space="preserve"> "attack_category": "BENIGN",</w:t>
              <w:br/>
              <w:t xml:space="preserve"> "attack_class_id": 0,</w:t>
              <w:br/>
              <w:t xml:space="preserve"> "inference_latency_ms": 0.76,</w:t>
              <w:br/>
              <w:t xml:space="preserve"> "model_version": "float16_tflite_v3"</w:t>
              <w:br/>
              <w:t>}</w:t>
            </w:r>
          </w:p>
        </w:tc>
      </w:tr>
    </w:tbl>
    <w:p>
      <w:pPr>
        <w:spacing w:after="80"/>
      </w:pPr>
    </w:p>
    <w:p>
      <w:pPr>
        <w:keepNext/>
        <w:spacing w:before="280" w:after="80"/>
      </w:pPr>
      <w:r>
        <w:rPr>
          <w:rFonts w:ascii="Arial" w:hAnsi="Arial"/>
          <w:b/>
          <w:color w:val="1E293B"/>
          <w:sz w:val="25"/>
        </w:rPr>
        <w:t>APPENDIX L: Glossary of Technical Terms &amp; Acronyms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rPr>
          <w:cantSplit/>
          <w:tblHeader/>
        </w:trPr>
        <w:tc>
          <w:tcPr>
            <w:tcW w:type="dxa" w:w="2160"/>
            <w:tcW w:w="2160" w:type="dxa"/>
            <w:shd w:fill="00529B"/>
            <w:tcMar>
              <w:top w:w="100" w:type="dxa"/>
              <w:bottom w:w="100" w:type="dxa"/>
              <w:left w:w="100" w:type="dxa"/>
              <w:right w:w="100" w:type="dxa"/>
            </w:tcMar>
          </w:tcPr>
          <w:p>
            <w:pPr>
              <w:jc w:val="center"/>
            </w:pPr>
            <w:r>
              <w:rPr>
                <w:rFonts w:ascii="Arial" w:hAnsi="Arial"/>
                <w:b/>
                <w:color w:val="FFFFFF"/>
                <w:sz w:val="19"/>
              </w:rPr>
              <w:t>Acronym / Term</w:t>
            </w:r>
          </w:p>
        </w:tc>
        <w:tc>
          <w:tcPr>
            <w:tcW w:type="dxa" w:w="7200"/>
            <w:tcW w:w="7200" w:type="dxa"/>
            <w:shd w:fill="00529B"/>
            <w:tcMar>
              <w:top w:w="100" w:type="dxa"/>
              <w:bottom w:w="100" w:type="dxa"/>
              <w:left w:w="100" w:type="dxa"/>
              <w:right w:w="100" w:type="dxa"/>
            </w:tcMar>
          </w:tcPr>
          <w:p>
            <w:pPr>
              <w:jc w:val="center"/>
            </w:pPr>
            <w:r>
              <w:rPr>
                <w:rFonts w:ascii="Arial" w:hAnsi="Arial"/>
                <w:b/>
                <w:color w:val="FFFFFF"/>
                <w:sz w:val="19"/>
              </w:rPr>
              <w:t>Formal Technical Definition in Mineral SCADA Context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BWOA</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Binary Whale Optimization Algorithm: discrete-space metaheuristic optimization algorithm for wrapper-based feature selection.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CNN-LSTM</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Convolutional Neural Network - Long Short-Term Memory: hybrid deep neural architecture combining spatial feature extraction with temporal sequence modeling.</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DNP3</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Distributed Network Protocol 3: industrial automation protocol widely utilized in substation telemetry and water/slurry management.</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DoS</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Denial of Service: volumetric cyber-physical attack aimed at saturating PLC buffers and disrupting control loops.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DSR</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Design Science Research: information systems research paradigm focused on designing, building, and evaluating innovative artifacts for real-world problems.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Float16</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Half-Precision Floating Point: 16-bit numerical format used to compress neural network weights for accelerated ARM edge inference.</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ICS</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Industrial Control System: comprehensive term covering SCADA, PLCs, DCS, and sensors managing physical processes.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IIoT</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Industrial Internet of Things: networked sensor arrays deployed across mining processing plants, tailings facilities, and haulage fleets.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Modbus/TCP</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Modbus protocol encapsulated in TCP/IP packets (port 502): standard industrial automation protocol lacking native authentication.</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OPC-UA</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Open Platform Communications Unified Architecture: modern cross-platform, service-oriented architecture for industrial automation.</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OT</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Operational Technology: hardware and software that directly monitors and controls industrial equipment and physical extraction processes.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PLC</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Programmable Logic Controller: ruggedized industrial computer that executes deterministic control loops on mining equipment.</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R2L</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Remote to Local: attack class where an unauthorized remote attacker attempts to gain local user access on a target machine.</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SCADA</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Supervisory Control and Data Acquisition: industrial network architecture providing centralized monitoring and supervisory control.</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SDG</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Sustainable Development Goals: 17 global goals established by the United Nations to achieve a sustainable future by 2030.</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TFLite</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TensorFlow Lite: lightweight deep learning inference engine optimized for embedded ARM processors and mobile gateways.</w:t>
            </w:r>
          </w:p>
        </w:tc>
      </w:tr>
      <w:tr>
        <w:trPr>
          <w:cantSplit/>
        </w:trPr>
        <w:tc>
          <w:tcPr>
            <w:tcW w:type="dxa" w:w="2160"/>
            <w:tcW w:w="2160" w:type="dxa"/>
            <w:shd w:fill="FFFFFF"/>
            <w:tcMar>
              <w:top w:w="60" w:type="dxa"/>
              <w:bottom w:w="60" w:type="dxa"/>
              <w:left w:w="80" w:type="dxa"/>
              <w:right w:w="80" w:type="dxa"/>
            </w:tcMar>
          </w:tcPr>
          <w:p>
            <w:pPr>
              <w:jc w:val="left"/>
            </w:pPr>
            <w:r>
              <w:rPr>
                <w:rFonts w:ascii="Times New Roman" w:hAnsi="Times New Roman"/>
                <w:sz w:val="19"/>
              </w:rPr>
              <w:t>U2R</w:t>
            </w:r>
          </w:p>
        </w:tc>
        <w:tc>
          <w:tcPr>
            <w:tcW w:type="dxa" w:w="7200"/>
            <w:tcW w:w="7200" w:type="dxa"/>
            <w:shd w:fill="FFFFFF"/>
            <w:tcMar>
              <w:top w:w="60" w:type="dxa"/>
              <w:bottom w:w="60" w:type="dxa"/>
              <w:left w:w="80" w:type="dxa"/>
              <w:right w:w="80" w:type="dxa"/>
            </w:tcMar>
          </w:tcPr>
          <w:p>
            <w:pPr>
              <w:jc w:val="center"/>
            </w:pPr>
            <w:r>
              <w:rPr>
                <w:rFonts w:ascii="Times New Roman" w:hAnsi="Times New Roman"/>
                <w:sz w:val="19"/>
              </w:rPr>
              <w:t>User to Root: attack class where an attacker with local unprivileged access exploits system vulnerabilities to gain root/superuser privileges.</w:t>
            </w:r>
          </w:p>
        </w:tc>
      </w:tr>
      <w:tr>
        <w:trPr>
          <w:cantSplit/>
        </w:trPr>
        <w:tc>
          <w:tcPr>
            <w:tcW w:type="dxa" w:w="2160"/>
            <w:tcW w:w="2160" w:type="dxa"/>
            <w:shd w:fill="F8FAFC"/>
            <w:tcMar>
              <w:top w:w="60" w:type="dxa"/>
              <w:bottom w:w="60" w:type="dxa"/>
              <w:left w:w="80" w:type="dxa"/>
              <w:right w:w="80" w:type="dxa"/>
            </w:tcMar>
          </w:tcPr>
          <w:p>
            <w:pPr>
              <w:jc w:val="left"/>
            </w:pPr>
            <w:r>
              <w:rPr>
                <w:rFonts w:ascii="Times New Roman" w:hAnsi="Times New Roman"/>
                <w:sz w:val="19"/>
              </w:rPr>
              <w:t>UAT</w:t>
            </w:r>
          </w:p>
        </w:tc>
        <w:tc>
          <w:tcPr>
            <w:tcW w:type="dxa" w:w="7200"/>
            <w:tcW w:w="7200" w:type="dxa"/>
            <w:shd w:fill="F8FAFC"/>
            <w:tcMar>
              <w:top w:w="60" w:type="dxa"/>
              <w:bottom w:w="60" w:type="dxa"/>
              <w:left w:w="80" w:type="dxa"/>
              <w:right w:w="80" w:type="dxa"/>
            </w:tcMar>
          </w:tcPr>
          <w:p>
            <w:pPr>
              <w:jc w:val="center"/>
            </w:pPr>
            <w:r>
              <w:rPr>
                <w:rFonts w:ascii="Times New Roman" w:hAnsi="Times New Roman"/>
                <w:sz w:val="19"/>
              </w:rPr>
              <w:t>User Acceptance Testing: structured evaluation by domain specialists to assess software usability, ergonomics, and operational readiness.</w:t>
            </w:r>
          </w:p>
        </w:tc>
      </w:tr>
    </w:tbl>
    <w:p>
      <w:pPr>
        <w:spacing w:after="120"/>
      </w:pPr>
    </w:p>
    <w:p>
      <w:pPr>
        <w:keepNext/>
        <w:spacing w:before="280" w:after="80"/>
      </w:pPr>
      <w:r>
        <w:rPr>
          <w:rFonts w:ascii="Arial" w:hAnsi="Arial"/>
          <w:b/>
          <w:color w:val="1E293B"/>
          <w:sz w:val="25"/>
        </w:rPr>
        <w:t>APPENDIX M: Phase 1 Field Data Collection &amp; Sensor Deployment Methodology</w:t>
      </w:r>
    </w:p>
    <w:p>
      <w:pPr>
        <w:spacing w:line="360" w:lineRule="auto" w:after="120"/>
        <w:jc w:val="both"/>
      </w:pPr>
      <w:r>
        <w:rPr>
          <w:rFonts w:ascii="Times New Roman" w:hAnsi="Times New Roman"/>
          <w:sz w:val="24"/>
        </w:rPr>
        <w:t>Phase 1 field data capture is scheduled for execution across partner concessions (Gold Fields Tarkwa, AngloGold Ashanti Obuasi, and UEW Innovation Hub research sites). The deployment architecture utilizes passive Ethernet network taps connected to SPAN mirror ports on industrial substation switches. Raspberry Pi 4B edge nodes running CICFlowMeter extract bi-directional flow features in real time, encrypting records via AES-256 before staging them for model retraining. Data collection protocols strictly adhere to industrial non-disclosure agreements, ensuring that proprietary production volume figures and plant setpoint registers are fully anonymized prior to open-source dataset publication.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