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Arial" w:hAnsi="Arial"/>
          <w:b/>
          <w:color w:val="0B1D3A"/>
          <w:sz w:val="40"/>
        </w:rPr>
        <w:t>Securing the Digital Mine: A Metaheuristic Optimized Deep Learning Framework for Intrusion Detection in IoT Enabled Mineral Resource Operations</w:t>
      </w:r>
    </w:p>
    <w:p>
      <w:pPr>
        <w:spacing w:after="360"/>
        <w:jc w:val="center"/>
      </w:pPr>
      <w:r>
        <w:rPr>
          <w:rFonts w:ascii="Arial" w:hAnsi="Arial"/>
          <w:i/>
          <w:color w:val="475569"/>
          <w:sz w:val="24"/>
        </w:rPr>
        <w:t>A Design Science Research Project for the Russian-African Forum of Young Scientists (UNESCO)</w:t>
        <w:br/>
        <w:t>Track 3: Smart Subsoil — Digital Transformation and Automation in Mineral Resources</w:t>
      </w:r>
    </w:p>
    <w:p>
      <w:pPr>
        <w:spacing w:after="80"/>
        <w:jc w:val="center"/>
      </w:pPr>
      <w:r>
        <w:rPr>
          <w:rFonts w:ascii="Times New Roman" w:hAnsi="Times New Roman"/>
          <w:b/>
          <w:sz w:val="22"/>
        </w:rPr>
        <w:t>John Okyere¹, Ezekeil Baah¹, Clement Baffour¹, Parker Paa Annobil¹, George Akwesi Bonnah¹</w:t>
      </w:r>
    </w:p>
    <w:p>
      <w:pPr>
        <w:spacing w:after="400"/>
        <w:jc w:val="center"/>
      </w:pPr>
      <w:r>
        <w:rPr>
          <w:rFonts w:ascii="Times New Roman" w:hAnsi="Times New Roman"/>
          <w:i/>
          <w:color w:val="64748B"/>
          <w:sz w:val="19"/>
        </w:rPr>
        <w:t>¹Department of Information and Communication Technology, University of Education, Winneba (UEW), Ghana</w:t>
        <w:br/>
        <w:t>Kayaba Labs AI Security Research Group</w:t>
        <w:br/>
        <w:t>Correspondence: hello@johnokyere.xyz | Repository: https://github.com/mhiskall282/Securing-the-Digital-Mine-UNESCO-Project</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80"/>
            </w:pPr>
            <w:r>
              <w:rPr>
                <w:rFonts w:ascii="Arial" w:hAnsi="Arial"/>
                <w:b/>
                <w:color w:val="00529B"/>
                <w:sz w:val="21"/>
              </w:rPr>
              <w:t>ABSTRACT</w:t>
              <w:br/>
            </w:r>
            <w:r>
              <w:rPr>
                <w:rFonts w:ascii="Times New Roman" w:hAnsi="Times New Roman"/>
                <w:color w:val="1E293B"/>
                <w:sz w:val="20"/>
              </w:rPr>
              <w:t>African and Russian mining operations are digitalizing rapidly through Industrial Internet of Things (IIoT) sensors, SCADA architectures, and cloud-connected digital twins. While digital subsoil automation substantially enhances ore extraction yield and worker safety, it simultaneously expands the attack surface into operational technology (OT) environments historically protected by air gaps. Conventional intrusion detection systems (IDS) trained exclusively on legacy Information Technology (IT) benchmarks fail to capture industrial protocols (e.g., Modbus, DNP3, OPC-UA) and introduce severe latency penalties exceeding 150 milliseconds. For remote African extraction sites characterized by intermittent power and low-bandwidth edge connectivity, existing heavyweight security systems are computationally unviable.</w:t>
              <w:br/>
              <w:br/>
              <w:t>Following the Design Science Research (DSR) methodology, this paper designs, builds, and demonstrates a lightweight edge intrusion detection framework combining a Binary Whale Optimization Algorithm (BWOA) with a spatial-temporal Convolutional Neural Network and Long Short-Term Memory (CNN-LSTM) classifier. BWOA reduces input dimensionality by 75.61% (selecting 10 vital features from 41) under a strict 75% accuracy floor constraint. A post-training Float16 quantization pipeline compresses the neural network by 83.2% to 0.82 MB. Evaluated on the NSL-KDD held-out benchmark (22,544 samples) and validated on the SWaT physical industrial dataset, the framework achieves 70.56% multi-class accuracy, 0.7127 Macro F1, 96.89% benign precision, 89.04% DoS recall, and an inference latency of 0.76 milliseconds on a Raspberry Pi 4 edge device. This provides a 207x latency speedup over baseline models and fully satisfies the sub-100ms real-time control constraint of mining SCADA loops. The complete open-source artifact, npm packet scanner agent, and automated verification suites provide a validated foundation for industrial OT cyber-defense in subsoil mining operations.</w:t>
              <w:br/>
              <w:br/>
              <w:t>Keywords: Design Science Research, Intrusion Detection, Whale Optimization Algorithm, CNN-LSTM, Industrial IoT, SCADA Cybersecurity, Mineral Resources, Edge Computing, UNESCO Sustainable Development Goals.</w:t>
            </w:r>
          </w:p>
        </w:tc>
      </w:tr>
    </w:tbl>
    <w:p>
      <w:pPr>
        <w:spacing w:after="120"/>
      </w:pPr>
    </w:p>
    <w:p>
      <w:pPr>
        <w:keepNext/>
        <w:spacing w:before="360" w:after="160"/>
      </w:pPr>
      <w:r>
        <w:rPr>
          <w:rFonts w:ascii="Arial" w:hAnsi="Arial"/>
          <w:b/>
          <w:color w:val="00529B"/>
          <w:sz w:val="28"/>
        </w:rPr>
        <w:t>CHAPTER 1: INTRODUCTION</w:t>
      </w:r>
    </w:p>
    <w:p>
      <w:pPr>
        <w:keepNext/>
        <w:spacing w:before="280" w:after="120"/>
      </w:pPr>
      <w:r>
        <w:rPr>
          <w:rFonts w:ascii="Arial" w:hAnsi="Arial"/>
          <w:b/>
          <w:color w:val="0F172A"/>
          <w:sz w:val="24"/>
        </w:rPr>
        <w:t>1.1 Background and Problem Context</w:t>
      </w:r>
    </w:p>
    <w:p>
      <w:pPr>
        <w:spacing w:line="324" w:lineRule="auto" w:after="120"/>
        <w:jc w:val="both"/>
      </w:pPr>
      <w:r>
        <w:rPr>
          <w:rFonts w:ascii="Times New Roman" w:hAnsi="Times New Roman"/>
          <w:sz w:val="22"/>
        </w:rPr>
        <w:t>The mineral extraction industries in Africa and the Russian Federation represent critical pillars of global industrial supply chains, providing essential raw minerals, base metals, precious ores, and energy resources required for global sustainable development. Over the past decade, the mining sector has entered an era of aggressive digital transformation, termed 'Mining 4.0' or the 'Smart Subsoil' paradigm. Modern mineral resource complexes are deploying extensive arrays of Industrial Internet of Things (IIoT) sensors, autonomous haulage fleets, remote robotic drills, programmable logic controllers (PLCs), distributed control systems (DCS), and Supervisory Control and Data Acquisition (SCADA) networks. These cyber-physical systems stream operational telemetry to cloud-connected digital twins, enabling predictive maintenance, automated crushing and flotation optimization, real-time seismic monitoring, and precision underground ventilation control.</w:t>
      </w:r>
    </w:p>
    <w:p>
      <w:pPr>
        <w:spacing w:line="324" w:lineRule="auto" w:after="120"/>
        <w:jc w:val="both"/>
      </w:pPr>
      <w:r>
        <w:rPr>
          <w:rFonts w:ascii="Times New Roman" w:hAnsi="Times New Roman"/>
          <w:sz w:val="22"/>
        </w:rPr>
        <w:t>However, this rapid convergence of Information Technology (IT) and Operational Technology (OT) has introduced severe systemic cybersecurity vulnerabilities. Historically, mining operational networks operated in strict physical isolation (air-gapped environments). The integration of remote telemetry, cloud analytics, and centralized vendor support channels has dismantled these air gaps, exposing legacy industrial protocols (such as Modbus RTU/TCP, DNP3, Ethernet/IP, and OPC-UA) to sophisticated cyber threats. Unlike conventional enterprise IT networks where confidentiality is the primary objective, industrial mining environments prioritize availability, physical safety, and real-time operational integrity (Alanazi et al., 2022; Kheddar et al., 2023).</w:t>
      </w:r>
    </w:p>
    <w:p>
      <w:pPr>
        <w:keepNext/>
        <w:spacing w:before="280" w:after="120"/>
      </w:pPr>
      <w:r>
        <w:rPr>
          <w:rFonts w:ascii="Arial" w:hAnsi="Arial"/>
          <w:b/>
          <w:color w:val="0F172A"/>
          <w:sz w:val="24"/>
        </w:rPr>
        <w:t>1.2 Problem Statement</w:t>
      </w:r>
    </w:p>
    <w:p>
      <w:pPr>
        <w:spacing w:line="324" w:lineRule="auto" w:after="120"/>
        <w:jc w:val="both"/>
      </w:pPr>
      <w:r>
        <w:rPr>
          <w:rFonts w:ascii="Times New Roman" w:hAnsi="Times New Roman"/>
          <w:b/>
          <w:sz w:val="22"/>
        </w:rPr>
        <w:t xml:space="preserve">The Industrial Security Dilemma: </w:t>
      </w:r>
      <w:r>
        <w:rPr>
          <w:rFonts w:ascii="Times New Roman" w:hAnsi="Times New Roman"/>
          <w:sz w:val="22"/>
        </w:rPr>
        <w:t>Current network intrusion detection solutions deployed in industrial facilities suffer from critical architectural mismatches when applied to mineral extraction environments:</w:t>
      </w:r>
    </w:p>
    <w:p>
      <w:pPr>
        <w:pStyle w:val="ListBullet"/>
        <w:spacing w:line="300" w:lineRule="auto" w:after="80"/>
      </w:pPr>
      <w:r>
        <w:rPr>
          <w:rFonts w:ascii="Times New Roman" w:hAnsi="Times New Roman"/>
          <w:b/>
          <w:sz w:val="21"/>
        </w:rPr>
        <w:t xml:space="preserve">1. Signature Brittleness: </w:t>
      </w:r>
      <w:r>
        <w:rPr>
          <w:rFonts w:ascii="Times New Roman" w:hAnsi="Times New Roman"/>
          <w:sz w:val="21"/>
        </w:rPr>
        <w:t>Signature-based Intrusion Detection Systems (such as Snort and Suricata) require frequent rule database updates, incur excessive subscription licensing costs, and completely fail against novel zero-day attacks and semantic command injections targeting industrial control logic.</w:t>
      </w:r>
    </w:p>
    <w:p>
      <w:pPr>
        <w:pStyle w:val="ListBullet"/>
        <w:spacing w:line="300" w:lineRule="auto" w:after="80"/>
      </w:pPr>
      <w:r>
        <w:rPr>
          <w:rFonts w:ascii="Times New Roman" w:hAnsi="Times New Roman"/>
          <w:b/>
          <w:sz w:val="21"/>
        </w:rPr>
        <w:t xml:space="preserve">2. Feature Redundancy &amp; IT-Centric Bias: </w:t>
      </w:r>
      <w:r>
        <w:rPr>
          <w:rFonts w:ascii="Times New Roman" w:hAnsi="Times New Roman"/>
          <w:sz w:val="21"/>
        </w:rPr>
        <w:t>Machine learning and deep learning intrusion detection models are predominantly trained and benchmarked on legacy IT datasets (e.g., KDD Cup 99, NSL-KDD). These models assume high-dimensional feature spaces (41 to 80+ network features) and fail to reflect the deterministic polling frequencies, static sensor topologies, and physical process constraints of OT networks.</w:t>
      </w:r>
    </w:p>
    <w:p>
      <w:pPr>
        <w:pStyle w:val="ListBullet"/>
        <w:spacing w:line="300" w:lineRule="auto" w:after="80"/>
      </w:pPr>
      <w:r>
        <w:rPr>
          <w:rFonts w:ascii="Times New Roman" w:hAnsi="Times New Roman"/>
          <w:b/>
          <w:sz w:val="21"/>
        </w:rPr>
        <w:t xml:space="preserve">3. Computational Latency Violations: </w:t>
      </w:r>
      <w:r>
        <w:rPr>
          <w:rFonts w:ascii="Times New Roman" w:hAnsi="Times New Roman"/>
          <w:sz w:val="21"/>
        </w:rPr>
        <w:t>Deep neural networks and ensemble classifiers introduce severe computational overhead. Baseline CNN-LSTM models incur inference latencies of 157.66 ms per flow, directly violating the sub-100 ms control loop deadline mandated by industrial SCADA safety systems.</w:t>
      </w:r>
    </w:p>
    <w:p>
      <w:pPr>
        <w:pStyle w:val="ListBullet"/>
        <w:spacing w:line="300" w:lineRule="auto" w:after="80"/>
      </w:pPr>
      <w:r>
        <w:rPr>
          <w:rFonts w:ascii="Times New Roman" w:hAnsi="Times New Roman"/>
          <w:b/>
          <w:sz w:val="21"/>
        </w:rPr>
        <w:t xml:space="preserve">4. Edge Hardware Constraints: </w:t>
      </w:r>
      <w:r>
        <w:rPr>
          <w:rFonts w:ascii="Times New Roman" w:hAnsi="Times New Roman"/>
          <w:sz w:val="21"/>
        </w:rPr>
        <w:t>Remote African mining installations (e.g., deep-shaft gold mines in Ghana, open-pit copper belts in Zambia, cobalt extraction in the DRC) operate under extreme hardware constraints, including low-power edge nodes (1GB RAM Raspberry Pi gateways), high ambient temperatures, solar/battery power limits, and intermittent satellite backhaul that precludes cloud-dependent API evaluation.</w:t>
      </w:r>
    </w:p>
    <w:p>
      <w:pPr>
        <w:keepNext/>
        <w:spacing w:before="280" w:after="120"/>
      </w:pPr>
      <w:r>
        <w:rPr>
          <w:rFonts w:ascii="Arial" w:hAnsi="Arial"/>
          <w:b/>
          <w:color w:val="0F172A"/>
          <w:sz w:val="24"/>
        </w:rPr>
        <w:t>1.3 Research Objectives</w:t>
      </w:r>
    </w:p>
    <w:p>
      <w:pPr>
        <w:spacing w:line="324" w:lineRule="auto" w:after="120"/>
        <w:jc w:val="both"/>
      </w:pPr>
      <w:r>
        <w:rPr>
          <w:rFonts w:ascii="Times New Roman" w:hAnsi="Times New Roman"/>
          <w:sz w:val="22"/>
        </w:rPr>
        <w:t>This project adopts the Design Science Research (DSR) paradigm to design, implement, and empirically validate an edge-deployable, metaheuristic-optimized deep learning intrusion detection framework tailored to industrial mining environments. The specific research objectives are:</w:t>
      </w:r>
    </w:p>
    <w:p>
      <w:pPr>
        <w:pStyle w:val="ListBullet"/>
        <w:spacing w:line="300" w:lineRule="auto" w:after="80"/>
      </w:pPr>
      <w:r>
        <w:rPr>
          <w:rFonts w:ascii="Times New Roman" w:hAnsi="Times New Roman"/>
          <w:b/>
          <w:sz w:val="21"/>
        </w:rPr>
        <w:t xml:space="preserve">Objective 1 (Optimization): </w:t>
      </w:r>
      <w:r>
        <w:rPr>
          <w:rFonts w:ascii="Times New Roman" w:hAnsi="Times New Roman"/>
          <w:sz w:val="21"/>
        </w:rPr>
        <w:t>To develop a metaheuristic feature selection mechanism using the Binary Whale Optimization Algorithm (BWOA) with an accuracy floor constraint to prune redundant network attributes by over 70% while preserving multi-class threat discrimination.</w:t>
      </w:r>
    </w:p>
    <w:p>
      <w:pPr>
        <w:pStyle w:val="ListBullet"/>
        <w:spacing w:line="300" w:lineRule="auto" w:after="80"/>
      </w:pPr>
      <w:r>
        <w:rPr>
          <w:rFonts w:ascii="Times New Roman" w:hAnsi="Times New Roman"/>
          <w:b/>
          <w:sz w:val="21"/>
        </w:rPr>
        <w:t xml:space="preserve">Objective 2 (Classification): </w:t>
      </w:r>
      <w:r>
        <w:rPr>
          <w:rFonts w:ascii="Times New Roman" w:hAnsi="Times New Roman"/>
          <w:sz w:val="21"/>
        </w:rPr>
        <w:t>To design a hybrid spatial-temporal deep learning classifier combining 1D Convolutional Neural Networks (Conv1D) for packet-level spatial representation and Long Short-Term Memory (LSTM) networks for sequential connection state tracking.</w:t>
      </w:r>
    </w:p>
    <w:p>
      <w:pPr>
        <w:pStyle w:val="ListBullet"/>
        <w:spacing w:line="300" w:lineRule="auto" w:after="80"/>
      </w:pPr>
      <w:r>
        <w:rPr>
          <w:rFonts w:ascii="Times New Roman" w:hAnsi="Times New Roman"/>
          <w:b/>
          <w:sz w:val="21"/>
        </w:rPr>
        <w:t xml:space="preserve">Objective 3 (Edge Quantization): </w:t>
      </w:r>
      <w:r>
        <w:rPr>
          <w:rFonts w:ascii="Times New Roman" w:hAnsi="Times New Roman"/>
          <w:sz w:val="21"/>
        </w:rPr>
        <w:t>To implement a post-training Float16 quantization pipeline compressing model memory footprint below 1 MB and reducing edge inference latency below 1 ms on 1GB RAM edge gateways.</w:t>
      </w:r>
    </w:p>
    <w:p>
      <w:pPr>
        <w:pStyle w:val="ListBullet"/>
        <w:spacing w:line="300" w:lineRule="auto" w:after="80"/>
      </w:pPr>
      <w:r>
        <w:rPr>
          <w:rFonts w:ascii="Times New Roman" w:hAnsi="Times New Roman"/>
          <w:b/>
          <w:sz w:val="21"/>
        </w:rPr>
        <w:t xml:space="preserve">Objective 4 (Empirical Validation): </w:t>
      </w:r>
      <w:r>
        <w:rPr>
          <w:rFonts w:ascii="Times New Roman" w:hAnsi="Times New Roman"/>
          <w:sz w:val="21"/>
        </w:rPr>
        <w:t>To empirically evaluate the framework across standard benchmarks (NSL-KDD), industrial transfer learning datasets (SWaT), and edge hardware testbeds to establish operational readiness for subsoil mineral operations.</w:t>
      </w:r>
    </w:p>
    <w:p>
      <w:pPr>
        <w:keepNext/>
        <w:spacing w:before="280" w:after="120"/>
      </w:pPr>
      <w:r>
        <w:rPr>
          <w:rFonts w:ascii="Arial" w:hAnsi="Arial"/>
          <w:b/>
          <w:color w:val="0F172A"/>
          <w:sz w:val="24"/>
        </w:rPr>
        <w:t>1.4 Scope and Significance</w:t>
      </w:r>
    </w:p>
    <w:p>
      <w:pPr>
        <w:spacing w:line="324" w:lineRule="auto" w:after="120"/>
        <w:jc w:val="both"/>
      </w:pPr>
      <w:r>
        <w:rPr>
          <w:rFonts w:ascii="Times New Roman" w:hAnsi="Times New Roman"/>
          <w:sz w:val="22"/>
        </w:rPr>
        <w:t>This research operates at the nexus of artificial intelligence, industrial cybersecurity, and sustainable resource engineering. The socio-economic significance of this work encompasses:</w:t>
      </w:r>
    </w:p>
    <w:p>
      <w:pPr>
        <w:pStyle w:val="ListBullet"/>
        <w:spacing w:line="300" w:lineRule="auto" w:after="80"/>
      </w:pPr>
      <w:r>
        <w:rPr>
          <w:rFonts w:ascii="Times New Roman" w:hAnsi="Times New Roman"/>
          <w:b/>
          <w:sz w:val="21"/>
        </w:rPr>
        <w:t xml:space="preserve">Economic ROI: </w:t>
      </w:r>
      <w:r>
        <w:rPr>
          <w:rFonts w:ascii="Times New Roman" w:hAnsi="Times New Roman"/>
          <w:sz w:val="21"/>
        </w:rPr>
        <w:t>Economic Risk Mitigation: Cyberattacks on mining infrastructure cause devastating financial losses. Ransomware or logic corruption targeting ball mills, smelting furnaces, or conveyor belts costs mining operators between USD $50,000 and $500,000 per hour of unplanned downtime (IT-Online, 2026). This framework provides cost-effective, open-source protection.</w:t>
      </w:r>
    </w:p>
    <w:p>
      <w:pPr>
        <w:pStyle w:val="ListBullet"/>
        <w:spacing w:line="300" w:lineRule="auto" w:after="80"/>
      </w:pPr>
      <w:r>
        <w:rPr>
          <w:rFonts w:ascii="Times New Roman" w:hAnsi="Times New Roman"/>
          <w:b/>
          <w:sz w:val="21"/>
        </w:rPr>
        <w:t xml:space="preserve">Worker Safety: </w:t>
      </w:r>
      <w:r>
        <w:rPr>
          <w:rFonts w:ascii="Times New Roman" w:hAnsi="Times New Roman"/>
          <w:sz w:val="21"/>
        </w:rPr>
        <w:t>Workplace Safety &amp; Life Protection: Mining operational networks govern life-critical safety systems, including toxic gas monitoring, shaft drainage pumps, and automated ventilation grids. Intercepting intrusions before physical actuator manipulation prevents catastrophic worker casualties.</w:t>
      </w:r>
    </w:p>
    <w:p>
      <w:pPr>
        <w:pStyle w:val="ListBullet"/>
        <w:spacing w:line="300" w:lineRule="auto" w:after="80"/>
      </w:pPr>
      <w:r>
        <w:rPr>
          <w:rFonts w:ascii="Times New Roman" w:hAnsi="Times New Roman"/>
          <w:b/>
          <w:sz w:val="21"/>
        </w:rPr>
        <w:t xml:space="preserve">UNESCO Alignment: </w:t>
      </w:r>
      <w:r>
        <w:rPr>
          <w:rFonts w:ascii="Times New Roman" w:hAnsi="Times New Roman"/>
          <w:sz w:val="21"/>
        </w:rPr>
        <w:t>South-South &amp; North-South Scientific Collaboration: Convened under the UNESCO Russian-African Forum of Young Scientists at Empress Catherine II Saint Petersburg Mining University, this research establishes an immediate bilateral pathway for collaborative data gathering, open-source knowledge exchange, and local engineering capacity building.</w:t>
      </w:r>
    </w:p>
    <w:p>
      <w:pPr>
        <w:keepNext/>
        <w:spacing w:before="280" w:after="120"/>
      </w:pPr>
      <w:r>
        <w:rPr>
          <w:rFonts w:ascii="Arial" w:hAnsi="Arial"/>
          <w:b/>
          <w:color w:val="0F172A"/>
          <w:sz w:val="24"/>
        </w:rPr>
        <w:t>1.5 Research Questions</w:t>
      </w:r>
    </w:p>
    <w:p>
      <w:pPr>
        <w:spacing w:line="324" w:lineRule="auto" w:after="120"/>
        <w:jc w:val="both"/>
      </w:pPr>
      <w:r>
        <w:rPr>
          <w:rFonts w:ascii="Times New Roman" w:hAnsi="Times New Roman"/>
          <w:sz w:val="22"/>
        </w:rPr>
        <w:t>To guide the Design Science Research artifact creation, this investigation addresses three central research questions: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80"/>
            </w:pPr>
            <w:r>
              <w:rPr>
                <w:rFonts w:ascii="Arial" w:hAnsi="Arial"/>
                <w:b/>
                <w:color w:val="00529B"/>
                <w:sz w:val="21"/>
              </w:rPr>
              <w:t>CORE RESEARCH QUESTIONS</w:t>
              <w:br/>
            </w:r>
            <w:r>
              <w:rPr>
                <w:rFonts w:ascii="Times New Roman" w:hAnsi="Times New Roman"/>
                <w:color w:val="1E293B"/>
                <w:sz w:val="20"/>
              </w:rPr>
              <w:t>RQ1: How can metaheuristic feature optimization algorithms (BWOA) be mathematically adapted to select a minimal sufficient network feature subset that satisfies industrial real-time constraints without collapsing minority attack classification accuracy?</w:t>
              <w:br/>
              <w:br/>
              <w:t>RQ2: What architectural modifications and quantization techniques are required to enable spatial-temporal deep learning models (CNN-LSTM) to execute sub-millisecond intrusion classification on resource-constrained 1GB RAM edge hardware?</w:t>
              <w:br/>
              <w:br/>
              <w:t>RQ3: How does the proposed BWOA + CNN-LSTM edge framework compare against traditional signature-based and full-feature deep learning IDS models in terms of accuracy, false alarm rates, latency, memory footprint, and economic deployment viability?</w:t>
            </w:r>
          </w:p>
        </w:tc>
      </w:tr>
    </w:tbl>
    <w:p>
      <w:pPr>
        <w:spacing w:after="120"/>
      </w:pPr>
    </w:p>
    <w:p>
      <w:pPr>
        <w:keepNext/>
        <w:spacing w:before="360" w:after="160"/>
      </w:pPr>
      <w:r>
        <w:rPr>
          <w:rFonts w:ascii="Arial" w:hAnsi="Arial"/>
          <w:b/>
          <w:color w:val="00529B"/>
          <w:sz w:val="28"/>
        </w:rPr>
        <w:t>CHAPTER 2: LITERATURE REVIEW</w:t>
      </w:r>
    </w:p>
    <w:p>
      <w:pPr>
        <w:keepNext/>
        <w:spacing w:before="280" w:after="120"/>
      </w:pPr>
      <w:r>
        <w:rPr>
          <w:rFonts w:ascii="Arial" w:hAnsi="Arial"/>
          <w:b/>
          <w:color w:val="0F172A"/>
          <w:sz w:val="24"/>
        </w:rPr>
        <w:t>2.1 Existing Intrusion Detection Systems in Industrial Environments</w:t>
      </w:r>
    </w:p>
    <w:p>
      <w:pPr>
        <w:spacing w:line="324" w:lineRule="auto" w:after="120"/>
        <w:jc w:val="both"/>
      </w:pPr>
      <w:r>
        <w:rPr>
          <w:rFonts w:ascii="Times New Roman" w:hAnsi="Times New Roman"/>
          <w:sz w:val="22"/>
        </w:rPr>
        <w:t>Intrusion Detection Systems (IDS) serve as the primary defensive barrier against malicious traffic in networked environments. In industrial control and mining architectures, existing solutions broadly fall into signature-based and anomaly-based systems.</w:t>
      </w:r>
    </w:p>
    <w:p>
      <w:pPr>
        <w:spacing w:line="324" w:lineRule="auto" w:after="120"/>
        <w:jc w:val="both"/>
      </w:pPr>
      <w:r>
        <w:rPr>
          <w:rFonts w:ascii="Times New Roman" w:hAnsi="Times New Roman"/>
          <w:sz w:val="22"/>
        </w:rPr>
        <w:t>Signature-based IDS (e.g., Snort, Suricata, Zeek) match incoming packet payloads against predefined static rule databases. While highly effective at identifying known attack vectors with minimal CPU utilization, they exhibit near-zero recall against modified exploit variants, zero-day vulnerabilities, and multi-stage targeted advanced persistent threats (APTs). In mining OT environments, signature engines struggle because attack payloads frequently disguise themselves as legitimate Modbus function codes (e.g., Function Code 05: Write Single Coil) with anomalous parameters that pass static signature inspection (Alanazi et al., 2022).</w:t>
      </w:r>
    </w:p>
    <w:p>
      <w:pPr>
        <w:spacing w:line="324" w:lineRule="auto" w:after="120"/>
        <w:jc w:val="both"/>
      </w:pPr>
      <w:r>
        <w:rPr>
          <w:rFonts w:ascii="Times New Roman" w:hAnsi="Times New Roman"/>
          <w:sz w:val="22"/>
        </w:rPr>
        <w:t>Anomaly-based Machine Learning IDS utilize statistical baselines, Decision Trees, Support Vector Machines (SVM), and Random Forests to classify traffic deviations. While capable of detecting novel anomalies, generic ML models trained on 41-feature datasets suffer from high computational complexity, feature collinearity, and high false-positive rates that disrupt mission-critical mining processes (Oyedotun et al., 2025).</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168"/>
            <w:shd w:fill="00529B"/>
            <w:tcMar>
              <w:top w:w="120" w:type="dxa"/>
              <w:bottom w:w="120" w:type="dxa"/>
              <w:left w:w="140" w:type="dxa"/>
              <w:right w:w="140" w:type="dxa"/>
            </w:tcMar>
          </w:tcPr>
          <w:p>
            <w:pPr>
              <w:jc w:val="center"/>
            </w:pPr>
            <w:r>
              <w:rPr>
                <w:rFonts w:ascii="Arial" w:hAnsi="Arial"/>
                <w:b/>
                <w:color w:val="FFFFFF"/>
                <w:sz w:val="19"/>
              </w:rPr>
              <w:t>IDS Architecture</w:t>
            </w:r>
          </w:p>
        </w:tc>
        <w:tc>
          <w:tcPr>
            <w:tcW w:type="dxa" w:w="1872"/>
            <w:shd w:fill="00529B"/>
            <w:tcMar>
              <w:top w:w="120" w:type="dxa"/>
              <w:bottom w:w="120" w:type="dxa"/>
              <w:left w:w="140" w:type="dxa"/>
              <w:right w:w="140" w:type="dxa"/>
            </w:tcMar>
          </w:tcPr>
          <w:p>
            <w:pPr>
              <w:jc w:val="center"/>
            </w:pPr>
            <w:r>
              <w:rPr>
                <w:rFonts w:ascii="Arial" w:hAnsi="Arial"/>
                <w:b/>
                <w:color w:val="FFFFFF"/>
                <w:sz w:val="19"/>
              </w:rPr>
              <w:t>OT Adaptability</w:t>
            </w:r>
          </w:p>
        </w:tc>
        <w:tc>
          <w:tcPr>
            <w:tcW w:type="dxa" w:w="1728"/>
            <w:shd w:fill="00529B"/>
            <w:tcMar>
              <w:top w:w="120" w:type="dxa"/>
              <w:bottom w:w="120" w:type="dxa"/>
              <w:left w:w="140" w:type="dxa"/>
              <w:right w:w="140" w:type="dxa"/>
            </w:tcMar>
          </w:tcPr>
          <w:p>
            <w:pPr>
              <w:jc w:val="center"/>
            </w:pPr>
            <w:r>
              <w:rPr>
                <w:rFonts w:ascii="Arial" w:hAnsi="Arial"/>
                <w:b/>
                <w:color w:val="FFFFFF"/>
                <w:sz w:val="19"/>
              </w:rPr>
              <w:t>Zero-Day Recall</w:t>
            </w:r>
          </w:p>
        </w:tc>
        <w:tc>
          <w:tcPr>
            <w:tcW w:type="dxa" w:w="1728"/>
            <w:shd w:fill="00529B"/>
            <w:tcMar>
              <w:top w:w="120" w:type="dxa"/>
              <w:bottom w:w="120" w:type="dxa"/>
              <w:left w:w="140" w:type="dxa"/>
              <w:right w:w="140" w:type="dxa"/>
            </w:tcMar>
          </w:tcPr>
          <w:p>
            <w:pPr>
              <w:jc w:val="center"/>
            </w:pPr>
            <w:r>
              <w:rPr>
                <w:rFonts w:ascii="Arial" w:hAnsi="Arial"/>
                <w:b/>
                <w:color w:val="FFFFFF"/>
                <w:sz w:val="19"/>
              </w:rPr>
              <w:t>Edge Latency</w:t>
            </w:r>
          </w:p>
        </w:tc>
        <w:tc>
          <w:tcPr>
            <w:tcW w:type="dxa" w:w="2304"/>
            <w:shd w:fill="00529B"/>
            <w:tcMar>
              <w:top w:w="120" w:type="dxa"/>
              <w:bottom w:w="120" w:type="dxa"/>
              <w:left w:w="140" w:type="dxa"/>
              <w:right w:w="140" w:type="dxa"/>
            </w:tcMar>
          </w:tcPr>
          <w:p>
            <w:pPr>
              <w:jc w:val="center"/>
            </w:pPr>
            <w:r>
              <w:rPr>
                <w:rFonts w:ascii="Arial" w:hAnsi="Arial"/>
                <w:b/>
                <w:color w:val="FFFFFF"/>
                <w:sz w:val="19"/>
              </w:rPr>
              <w:t>Cost Profile</w:t>
            </w:r>
          </w:p>
        </w:tc>
      </w:tr>
      <w:tr>
        <w:tc>
          <w:tcPr>
            <w:tcW w:type="dxa" w:w="3168"/>
            <w:shd w:fill="FFFFFF"/>
            <w:tcMar>
              <w:top w:w="80" w:type="dxa"/>
              <w:bottom w:w="80" w:type="dxa"/>
              <w:left w:w="120" w:type="dxa"/>
              <w:right w:w="120" w:type="dxa"/>
            </w:tcMar>
          </w:tcPr>
          <w:p>
            <w:pPr>
              <w:jc w:val="left"/>
            </w:pPr>
            <w:r>
              <w:rPr>
                <w:rFonts w:ascii="Times New Roman" w:hAnsi="Times New Roman"/>
                <w:sz w:val="19"/>
              </w:rPr>
              <w:t>Signature IDS (Snort / Suricata)</w:t>
            </w:r>
          </w:p>
        </w:tc>
        <w:tc>
          <w:tcPr>
            <w:tcW w:type="dxa" w:w="1872"/>
            <w:shd w:fill="FFFFFF"/>
            <w:tcMar>
              <w:top w:w="80" w:type="dxa"/>
              <w:bottom w:w="80" w:type="dxa"/>
              <w:left w:w="120" w:type="dxa"/>
              <w:right w:w="120" w:type="dxa"/>
            </w:tcMar>
          </w:tcPr>
          <w:p>
            <w:pPr>
              <w:jc w:val="center"/>
            </w:pPr>
            <w:r>
              <w:rPr>
                <w:rFonts w:ascii="Times New Roman" w:hAnsi="Times New Roman"/>
                <w:sz w:val="19"/>
              </w:rPr>
              <w:t>Low (Static Rules)</w:t>
            </w:r>
          </w:p>
        </w:tc>
        <w:tc>
          <w:tcPr>
            <w:tcW w:type="dxa" w:w="1728"/>
            <w:shd w:fill="FFFFFF"/>
            <w:tcMar>
              <w:top w:w="80" w:type="dxa"/>
              <w:bottom w:w="80" w:type="dxa"/>
              <w:left w:w="120" w:type="dxa"/>
              <w:right w:w="120" w:type="dxa"/>
            </w:tcMar>
          </w:tcPr>
          <w:p>
            <w:pPr>
              <w:jc w:val="center"/>
            </w:pPr>
            <w:r>
              <w:rPr>
                <w:rFonts w:ascii="Times New Roman" w:hAnsi="Times New Roman"/>
                <w:sz w:val="19"/>
              </w:rPr>
              <w:t>&lt; 15%</w:t>
            </w:r>
          </w:p>
        </w:tc>
        <w:tc>
          <w:tcPr>
            <w:tcW w:type="dxa" w:w="1728"/>
            <w:shd w:fill="FFFFFF"/>
            <w:tcMar>
              <w:top w:w="80" w:type="dxa"/>
              <w:bottom w:w="80" w:type="dxa"/>
              <w:left w:w="120" w:type="dxa"/>
              <w:right w:w="120" w:type="dxa"/>
            </w:tcMar>
          </w:tcPr>
          <w:p>
            <w:pPr>
              <w:jc w:val="center"/>
            </w:pPr>
            <w:r>
              <w:rPr>
                <w:rFonts w:ascii="Times New Roman" w:hAnsi="Times New Roman"/>
                <w:sz w:val="19"/>
              </w:rPr>
              <w:t>85.00 ms</w:t>
            </w:r>
          </w:p>
        </w:tc>
        <w:tc>
          <w:tcPr>
            <w:tcW w:type="dxa" w:w="2304"/>
            <w:shd w:fill="FFFFFF"/>
            <w:tcMar>
              <w:top w:w="80" w:type="dxa"/>
              <w:bottom w:w="80" w:type="dxa"/>
              <w:left w:w="120" w:type="dxa"/>
              <w:right w:w="120" w:type="dxa"/>
            </w:tcMar>
          </w:tcPr>
          <w:p>
            <w:pPr>
              <w:jc w:val="center"/>
            </w:pPr>
            <w:r>
              <w:rPr>
                <w:rFonts w:ascii="Times New Roman" w:hAnsi="Times New Roman"/>
                <w:sz w:val="19"/>
              </w:rPr>
              <w:t>High License / Maintenance</w:t>
            </w:r>
          </w:p>
        </w:tc>
      </w:tr>
      <w:tr>
        <w:tc>
          <w:tcPr>
            <w:tcW w:type="dxa" w:w="3168"/>
            <w:shd w:fill="F8FAFC"/>
            <w:tcMar>
              <w:top w:w="80" w:type="dxa"/>
              <w:bottom w:w="80" w:type="dxa"/>
              <w:left w:w="120" w:type="dxa"/>
              <w:right w:w="120" w:type="dxa"/>
            </w:tcMar>
          </w:tcPr>
          <w:p>
            <w:pPr>
              <w:jc w:val="left"/>
            </w:pPr>
            <w:r>
              <w:rPr>
                <w:rFonts w:ascii="Times New Roman" w:hAnsi="Times New Roman"/>
                <w:sz w:val="19"/>
              </w:rPr>
              <w:t>Generic ML (Random Forest)</w:t>
            </w:r>
          </w:p>
        </w:tc>
        <w:tc>
          <w:tcPr>
            <w:tcW w:type="dxa" w:w="1872"/>
            <w:shd w:fill="F8FAFC"/>
            <w:tcMar>
              <w:top w:w="80" w:type="dxa"/>
              <w:bottom w:w="80" w:type="dxa"/>
              <w:left w:w="120" w:type="dxa"/>
              <w:right w:w="120" w:type="dxa"/>
            </w:tcMar>
          </w:tcPr>
          <w:p>
            <w:pPr>
              <w:jc w:val="center"/>
            </w:pPr>
            <w:r>
              <w:rPr>
                <w:rFonts w:ascii="Times New Roman" w:hAnsi="Times New Roman"/>
                <w:sz w:val="19"/>
              </w:rPr>
              <w:t>Medium</w:t>
            </w:r>
          </w:p>
        </w:tc>
        <w:tc>
          <w:tcPr>
            <w:tcW w:type="dxa" w:w="1728"/>
            <w:shd w:fill="F8FAFC"/>
            <w:tcMar>
              <w:top w:w="80" w:type="dxa"/>
              <w:bottom w:w="80" w:type="dxa"/>
              <w:left w:w="120" w:type="dxa"/>
              <w:right w:w="120" w:type="dxa"/>
            </w:tcMar>
          </w:tcPr>
          <w:p>
            <w:pPr>
              <w:jc w:val="center"/>
            </w:pPr>
            <w:r>
              <w:rPr>
                <w:rFonts w:ascii="Times New Roman" w:hAnsi="Times New Roman"/>
                <w:sz w:val="19"/>
              </w:rPr>
              <w:t>62.40%</w:t>
            </w:r>
          </w:p>
        </w:tc>
        <w:tc>
          <w:tcPr>
            <w:tcW w:type="dxa" w:w="1728"/>
            <w:shd w:fill="F8FAFC"/>
            <w:tcMar>
              <w:top w:w="80" w:type="dxa"/>
              <w:bottom w:w="80" w:type="dxa"/>
              <w:left w:w="120" w:type="dxa"/>
              <w:right w:w="120" w:type="dxa"/>
            </w:tcMar>
          </w:tcPr>
          <w:p>
            <w:pPr>
              <w:jc w:val="center"/>
            </w:pPr>
            <w:r>
              <w:rPr>
                <w:rFonts w:ascii="Times New Roman" w:hAnsi="Times New Roman"/>
                <w:sz w:val="19"/>
              </w:rPr>
              <w:t>48.20 ms</w:t>
            </w:r>
          </w:p>
        </w:tc>
        <w:tc>
          <w:tcPr>
            <w:tcW w:type="dxa" w:w="2304"/>
            <w:shd w:fill="F8FAFC"/>
            <w:tcMar>
              <w:top w:w="80" w:type="dxa"/>
              <w:bottom w:w="80" w:type="dxa"/>
              <w:left w:w="120" w:type="dxa"/>
              <w:right w:w="120" w:type="dxa"/>
            </w:tcMar>
          </w:tcPr>
          <w:p>
            <w:pPr>
              <w:jc w:val="center"/>
            </w:pPr>
            <w:r>
              <w:rPr>
                <w:rFonts w:ascii="Times New Roman" w:hAnsi="Times New Roman"/>
                <w:sz w:val="19"/>
              </w:rPr>
              <w:t>Medium Compute</w:t>
            </w:r>
          </w:p>
        </w:tc>
      </w:tr>
      <w:tr>
        <w:tc>
          <w:tcPr>
            <w:tcW w:type="dxa" w:w="3168"/>
            <w:shd w:fill="FFFFFF"/>
            <w:tcMar>
              <w:top w:w="80" w:type="dxa"/>
              <w:bottom w:w="80" w:type="dxa"/>
              <w:left w:w="120" w:type="dxa"/>
              <w:right w:w="120" w:type="dxa"/>
            </w:tcMar>
          </w:tcPr>
          <w:p>
            <w:pPr>
              <w:jc w:val="left"/>
            </w:pPr>
            <w:r>
              <w:rPr>
                <w:rFonts w:ascii="Times New Roman" w:hAnsi="Times New Roman"/>
                <w:sz w:val="19"/>
              </w:rPr>
              <w:t>Full CNN-LSTM Baseline</w:t>
            </w:r>
          </w:p>
        </w:tc>
        <w:tc>
          <w:tcPr>
            <w:tcW w:type="dxa" w:w="1872"/>
            <w:shd w:fill="FFFFFF"/>
            <w:tcMar>
              <w:top w:w="80" w:type="dxa"/>
              <w:bottom w:w="80" w:type="dxa"/>
              <w:left w:w="120" w:type="dxa"/>
              <w:right w:w="120" w:type="dxa"/>
            </w:tcMar>
          </w:tcPr>
          <w:p>
            <w:pPr>
              <w:jc w:val="center"/>
            </w:pPr>
            <w:r>
              <w:rPr>
                <w:rFonts w:ascii="Times New Roman" w:hAnsi="Times New Roman"/>
                <w:sz w:val="19"/>
              </w:rPr>
              <w:t>High</w:t>
            </w:r>
          </w:p>
        </w:tc>
        <w:tc>
          <w:tcPr>
            <w:tcW w:type="dxa" w:w="1728"/>
            <w:shd w:fill="FFFFFF"/>
            <w:tcMar>
              <w:top w:w="80" w:type="dxa"/>
              <w:bottom w:w="80" w:type="dxa"/>
              <w:left w:w="120" w:type="dxa"/>
              <w:right w:w="120" w:type="dxa"/>
            </w:tcMar>
          </w:tcPr>
          <w:p>
            <w:pPr>
              <w:jc w:val="center"/>
            </w:pPr>
            <w:r>
              <w:rPr>
                <w:rFonts w:ascii="Times New Roman" w:hAnsi="Times New Roman"/>
                <w:sz w:val="19"/>
              </w:rPr>
              <w:t>77.70%</w:t>
            </w:r>
          </w:p>
        </w:tc>
        <w:tc>
          <w:tcPr>
            <w:tcW w:type="dxa" w:w="1728"/>
            <w:shd w:fill="FFFFFF"/>
            <w:tcMar>
              <w:top w:w="80" w:type="dxa"/>
              <w:bottom w:w="80" w:type="dxa"/>
              <w:left w:w="120" w:type="dxa"/>
              <w:right w:w="120" w:type="dxa"/>
            </w:tcMar>
          </w:tcPr>
          <w:p>
            <w:pPr>
              <w:jc w:val="center"/>
            </w:pPr>
            <w:r>
              <w:rPr>
                <w:rFonts w:ascii="Times New Roman" w:hAnsi="Times New Roman"/>
                <w:sz w:val="19"/>
              </w:rPr>
              <w:t>157.66 ms</w:t>
            </w:r>
          </w:p>
        </w:tc>
        <w:tc>
          <w:tcPr>
            <w:tcW w:type="dxa" w:w="2304"/>
            <w:shd w:fill="FFFFFF"/>
            <w:tcMar>
              <w:top w:w="80" w:type="dxa"/>
              <w:bottom w:w="80" w:type="dxa"/>
              <w:left w:w="120" w:type="dxa"/>
              <w:right w:w="120" w:type="dxa"/>
            </w:tcMar>
          </w:tcPr>
          <w:p>
            <w:pPr>
              <w:jc w:val="center"/>
            </w:pPr>
            <w:r>
              <w:rPr>
                <w:rFonts w:ascii="Times New Roman" w:hAnsi="Times New Roman"/>
                <w:sz w:val="19"/>
              </w:rPr>
              <w:t>High Compute (Exceeds Limit)</w:t>
            </w:r>
          </w:p>
        </w:tc>
      </w:tr>
      <w:tr>
        <w:tc>
          <w:tcPr>
            <w:tcW w:type="dxa" w:w="3168"/>
            <w:shd w:fill="F8FAFC"/>
            <w:tcMar>
              <w:top w:w="80" w:type="dxa"/>
              <w:bottom w:w="80" w:type="dxa"/>
              <w:left w:w="120" w:type="dxa"/>
              <w:right w:w="120" w:type="dxa"/>
            </w:tcMar>
          </w:tcPr>
          <w:p>
            <w:pPr>
              <w:jc w:val="left"/>
            </w:pPr>
            <w:r>
              <w:rPr>
                <w:rFonts w:ascii="Times New Roman" w:hAnsi="Times New Roman"/>
                <w:sz w:val="19"/>
              </w:rPr>
              <w:t>BWOA + CNN-LSTM v3 (Ours)</w:t>
            </w:r>
          </w:p>
        </w:tc>
        <w:tc>
          <w:tcPr>
            <w:tcW w:type="dxa" w:w="1872"/>
            <w:shd w:fill="F8FAFC"/>
            <w:tcMar>
              <w:top w:w="80" w:type="dxa"/>
              <w:bottom w:w="80" w:type="dxa"/>
              <w:left w:w="120" w:type="dxa"/>
              <w:right w:w="120" w:type="dxa"/>
            </w:tcMar>
          </w:tcPr>
          <w:p>
            <w:pPr>
              <w:jc w:val="center"/>
            </w:pPr>
            <w:r>
              <w:rPr>
                <w:rFonts w:ascii="Times New Roman" w:hAnsi="Times New Roman"/>
                <w:sz w:val="19"/>
              </w:rPr>
              <w:t>Very High</w:t>
            </w:r>
          </w:p>
        </w:tc>
        <w:tc>
          <w:tcPr>
            <w:tcW w:type="dxa" w:w="1728"/>
            <w:shd w:fill="F8FAFC"/>
            <w:tcMar>
              <w:top w:w="80" w:type="dxa"/>
              <w:bottom w:w="80" w:type="dxa"/>
              <w:left w:w="120" w:type="dxa"/>
              <w:right w:w="120" w:type="dxa"/>
            </w:tcMar>
          </w:tcPr>
          <w:p>
            <w:pPr>
              <w:jc w:val="center"/>
            </w:pPr>
            <w:r>
              <w:rPr>
                <w:rFonts w:ascii="Times New Roman" w:hAnsi="Times New Roman"/>
                <w:sz w:val="19"/>
              </w:rPr>
              <w:t>70.56%</w:t>
            </w:r>
          </w:p>
        </w:tc>
        <w:tc>
          <w:tcPr>
            <w:tcW w:type="dxa" w:w="1728"/>
            <w:shd w:fill="F8FAFC"/>
            <w:tcMar>
              <w:top w:w="80" w:type="dxa"/>
              <w:bottom w:w="80" w:type="dxa"/>
              <w:left w:w="120" w:type="dxa"/>
              <w:right w:w="120" w:type="dxa"/>
            </w:tcMar>
          </w:tcPr>
          <w:p>
            <w:pPr>
              <w:jc w:val="center"/>
            </w:pPr>
            <w:r>
              <w:rPr>
                <w:rFonts w:ascii="Times New Roman" w:hAnsi="Times New Roman"/>
                <w:sz w:val="19"/>
              </w:rPr>
              <w:t>0.76 ms</w:t>
            </w:r>
          </w:p>
        </w:tc>
        <w:tc>
          <w:tcPr>
            <w:tcW w:type="dxa" w:w="2304"/>
            <w:shd w:fill="F8FAFC"/>
            <w:tcMar>
              <w:top w:w="80" w:type="dxa"/>
              <w:bottom w:w="80" w:type="dxa"/>
              <w:left w:w="120" w:type="dxa"/>
              <w:right w:w="120" w:type="dxa"/>
            </w:tcMar>
          </w:tcPr>
          <w:p>
            <w:pPr>
              <w:jc w:val="center"/>
            </w:pPr>
            <w:r>
              <w:rPr>
                <w:rFonts w:ascii="Times New Roman" w:hAnsi="Times New Roman"/>
                <w:b/>
                <w:color w:val="10B981"/>
                <w:sz w:val="19"/>
              </w:rPr>
              <w:t>Low / Open-Source (PASS)</w:t>
            </w:r>
          </w:p>
        </w:tc>
      </w:tr>
    </w:tbl>
    <w:p>
      <w:pPr>
        <w:spacing w:after="160"/>
      </w:pPr>
    </w:p>
    <w:p>
      <w:pPr>
        <w:keepNext/>
        <w:spacing w:before="280" w:after="120"/>
      </w:pPr>
      <w:r>
        <w:rPr>
          <w:rFonts w:ascii="Arial" w:hAnsi="Arial"/>
          <w:b/>
          <w:color w:val="0F172A"/>
          <w:sz w:val="24"/>
        </w:rPr>
        <w:t>2.2 Metaheuristic Feature Selection and the Whale Optimization Algorithm</w:t>
      </w:r>
    </w:p>
    <w:p>
      <w:pPr>
        <w:spacing w:line="324" w:lineRule="auto" w:after="120"/>
        <w:jc w:val="both"/>
      </w:pPr>
      <w:r>
        <w:rPr>
          <w:rFonts w:ascii="Times New Roman" w:hAnsi="Times New Roman"/>
          <w:sz w:val="22"/>
        </w:rPr>
        <w:t>High-dimensional network feature spaces contain substantial noise, multi-collinear attributes, and uninformative counters that degrade classification accuracy and inflate edge inference latency. Feature selection techniques aim to identify the minimal optimal subset of attributes that maximizes classification fitness.</w:t>
      </w:r>
    </w:p>
    <w:p>
      <w:pPr>
        <w:spacing w:line="324" w:lineRule="auto" w:after="120"/>
        <w:jc w:val="both"/>
      </w:pPr>
      <w:r>
        <w:rPr>
          <w:rFonts w:ascii="Times New Roman" w:hAnsi="Times New Roman"/>
          <w:sz w:val="22"/>
        </w:rPr>
        <w:t>The Whale Optimization Algorithm (WOA), originally formulated by Mirjalili and Lewis (2016), is a nature-inspired metaheuristic that models the bubble-net hunting behavior of humpback whales (*Megaptera novaeangliae*). The algorithm operates through three mathematical phases: (1) Encircling prey, where agents adjust positions toward the best search agent; (2) Bubble-net attacking, utilizing a logarithmic spiral equation to simulate helix-shaped maneuvers; and (3) Exploration search, where agents update positions based on randomly chosen search agents when the coefficient vector |A| &gt;= 1.</w:t>
      </w:r>
    </w:p>
    <w:p>
      <w:pPr>
        <w:spacing w:line="324" w:lineRule="auto" w:after="120"/>
        <w:jc w:val="both"/>
      </w:pPr>
      <w:r>
        <w:rPr>
          <w:rFonts w:ascii="Times New Roman" w:hAnsi="Times New Roman"/>
          <w:sz w:val="22"/>
        </w:rPr>
        <w:t>To adapt continuous WOA to discrete feature selection, Binary Whale Optimization (BWOA) applies transfer functions (such as S-shaped or V-shaped functions) to map continuous positional velocities to discrete bit-flip probabilities (Krishnaveni et al., 2025; Anand &amp; Arul, 2024). In this research, BWOA is enhanced with an explicit accuracy floor constraint to ensure that aggressive feature pruning does not compromise industrial attack detection.</w:t>
      </w:r>
    </w:p>
    <w:p>
      <w:pPr>
        <w:keepNext/>
        <w:spacing w:before="280" w:after="120"/>
      </w:pPr>
      <w:r>
        <w:rPr>
          <w:rFonts w:ascii="Arial" w:hAnsi="Arial"/>
          <w:b/>
          <w:color w:val="0F172A"/>
          <w:sz w:val="24"/>
        </w:rPr>
        <w:t>2.3 Deep Learning and Transfer Learning for IIoT &amp; SCADA</w:t>
      </w:r>
    </w:p>
    <w:p>
      <w:pPr>
        <w:spacing w:line="324" w:lineRule="auto" w:after="120"/>
        <w:jc w:val="both"/>
      </w:pPr>
      <w:r>
        <w:rPr>
          <w:rFonts w:ascii="Times New Roman" w:hAnsi="Times New Roman"/>
          <w:sz w:val="22"/>
        </w:rPr>
        <w:t>Recent advances in deep learning demonstrate that hybrid neural network architectures outperform standalone models in cyber-physical security (Almomani et al., 2025). 1D Convolutional Neural Networks (Conv1D) excel at extracting local spatial correlations and localized byte alignments across network packet features. Concurrently, Recurrent Neural Networks (RNNs) and Long Short-Term Memory (LSTM) networks capture long-range temporal dependencies and connection state transitions across sequential traffic flows.</w:t>
      </w:r>
    </w:p>
    <w:p>
      <w:pPr>
        <w:spacing w:line="324" w:lineRule="auto" w:after="120"/>
        <w:jc w:val="both"/>
      </w:pPr>
      <w:r>
        <w:rPr>
          <w:rFonts w:ascii="Times New Roman" w:hAnsi="Times New Roman"/>
          <w:sz w:val="22"/>
        </w:rPr>
        <w:t>In industrial operational technology, labeled attack data is exceptionally scarce due to proprietary restrictions, safety concerns, and the rarity of physical intrusion events in operational mines. To resolve this scarcity, transfer learning provides a systematic methodology: models pre-trained on large-scale network benchmarks (NSL-KDD) can transfer generalized spatial feature extraction layers to target industrial datasets (e.g., SWaT, BATADAL, custom Modbus logs), fine-tuning only the recurrent and classification layers (Kheddar et al., 2023).</w:t>
      </w:r>
    </w:p>
    <w:p>
      <w:pPr>
        <w:keepNext/>
        <w:spacing w:before="280" w:after="120"/>
      </w:pPr>
      <w:r>
        <w:rPr>
          <w:rFonts w:ascii="Arial" w:hAnsi="Arial"/>
          <w:b/>
          <w:color w:val="0F172A"/>
          <w:sz w:val="24"/>
        </w:rPr>
        <w:t>2.4 African Mining Digitalization and Policy Context</w:t>
      </w:r>
    </w:p>
    <w:p>
      <w:pPr>
        <w:spacing w:line="324" w:lineRule="auto" w:after="120"/>
        <w:jc w:val="both"/>
      </w:pPr>
      <w:r>
        <w:rPr>
          <w:rFonts w:ascii="Times New Roman" w:hAnsi="Times New Roman"/>
          <w:sz w:val="22"/>
        </w:rPr>
        <w:t>Across major African mining jurisdictions—such as the Tarkwa and Obuasi gold operations in Ghana, the Witwatersrand basin in South Africa, and the Katanga copper belt in the Democratic Republic of Congo—mining digitalization is expanding rapidly under national modernization policies. The Minerals Commission of Ghana has mandated automated production auditing, digital tracking of explosives, and real-time environmental monitoring across large-scale concessions (Minerals Commission, 2024).</w:t>
      </w:r>
    </w:p>
    <w:p>
      <w:pPr>
        <w:spacing w:line="324" w:lineRule="auto" w:after="120"/>
        <w:jc w:val="both"/>
      </w:pPr>
      <w:r>
        <w:rPr>
          <w:rFonts w:ascii="Times New Roman" w:hAnsi="Times New Roman"/>
          <w:sz w:val="22"/>
        </w:rPr>
        <w:t>However, cybersecurity investments in African mining have historically lagged behind digital adoption. Substation PLCs, remote ventilation fans, and tailings dam pressure monitors are frequently linked to local wireless networks without cryptographic segmentation or intrusion monitoring. A targeted denial-of-service attack or unauthorized setpoint modification can induce pump failure, tailings dam breaches, or shaft flooding, causing irreparable environmental and human catastrophe (African Mining Market, 2024; IT-Online, 2026).</w:t>
      </w:r>
    </w:p>
    <w:p>
      <w:pPr>
        <w:keepNext/>
        <w:spacing w:before="280" w:after="120"/>
      </w:pPr>
      <w:r>
        <w:rPr>
          <w:rFonts w:ascii="Arial" w:hAnsi="Arial"/>
          <w:b/>
          <w:color w:val="0F172A"/>
          <w:sz w:val="24"/>
        </w:rPr>
        <w:t>2.5 Research Gap Summary</w:t>
      </w:r>
    </w:p>
    <w:p>
      <w:pPr>
        <w:spacing w:line="324" w:lineRule="auto" w:after="120"/>
        <w:jc w:val="both"/>
      </w:pPr>
      <w:r>
        <w:rPr>
          <w:rFonts w:ascii="Times New Roman" w:hAnsi="Times New Roman"/>
          <w:sz w:val="22"/>
        </w:rPr>
        <w:t>Despite growing academic interest in IIoT security, no prior published literature integrates metaheuristic feature selection (BWOA) with a spatial-temporal hybrid classifier (CNN-LSTM) specifically designed, quantized, and validated for the severe operational and edge hardware constraints of African mineral extraction operations. This research directly bridges that gap.</w:t>
      </w:r>
    </w:p>
    <w:p>
      <w:pPr>
        <w:keepNext/>
        <w:spacing w:before="360" w:after="160"/>
      </w:pPr>
      <w:r>
        <w:rPr>
          <w:rFonts w:ascii="Arial" w:hAnsi="Arial"/>
          <w:b/>
          <w:color w:val="00529B"/>
          <w:sz w:val="28"/>
        </w:rPr>
        <w:t>CHAPTER 3: RESEARCH METHODOLOGY</w:t>
      </w:r>
    </w:p>
    <w:p>
      <w:pPr>
        <w:keepNext/>
        <w:spacing w:before="280" w:after="120"/>
      </w:pPr>
      <w:r>
        <w:rPr>
          <w:rFonts w:ascii="Arial" w:hAnsi="Arial"/>
          <w:b/>
          <w:color w:val="0F172A"/>
          <w:sz w:val="24"/>
        </w:rPr>
        <w:t>3.1 Design Science Research (DSR) Framework</w:t>
      </w:r>
    </w:p>
    <w:p>
      <w:pPr>
        <w:spacing w:line="324" w:lineRule="auto" w:after="120"/>
        <w:jc w:val="both"/>
      </w:pPr>
      <w:r>
        <w:rPr>
          <w:rFonts w:ascii="Times New Roman" w:hAnsi="Times New Roman"/>
          <w:sz w:val="22"/>
        </w:rPr>
        <w:t>This study adopts the Design Science Research (DSR) methodology as articulated by Hevner et al. (2004) and Peffers et al. (2007). DSR is an established paradigm in information systems and software engineering focused on creating and evaluating innovative technological artifacts to solve identified business and operational problems.</w:t>
      </w:r>
    </w:p>
    <w:p>
      <w:pPr>
        <w:spacing w:before="160" w:after="80"/>
        <w:jc w:val="center"/>
      </w:pPr>
      <w:r>
        <w:drawing>
          <wp:inline xmlns:a="http://schemas.openxmlformats.org/drawingml/2006/main" xmlns:pic="http://schemas.openxmlformats.org/drawingml/2006/picture">
            <wp:extent cx="5669280" cy="2334409"/>
            <wp:docPr id="1" name="Picture 1"/>
            <wp:cNvGraphicFramePr>
              <a:graphicFrameLocks noChangeAspect="1"/>
            </wp:cNvGraphicFramePr>
            <a:graphic>
              <a:graphicData uri="http://schemas.openxmlformats.org/drawingml/2006/picture">
                <pic:pic>
                  <pic:nvPicPr>
                    <pic:cNvPr id="0" name="dsr_framework.png"/>
                    <pic:cNvPicPr/>
                  </pic:nvPicPr>
                  <pic:blipFill>
                    <a:blip r:embed="rId9"/>
                    <a:stretch>
                      <a:fillRect/>
                    </a:stretch>
                  </pic:blipFill>
                  <pic:spPr>
                    <a:xfrm>
                      <a:off x="0" y="0"/>
                      <a:ext cx="5669280" cy="2334409"/>
                    </a:xfrm>
                    <a:prstGeom prst="rect"/>
                  </pic:spPr>
                </pic:pic>
              </a:graphicData>
            </a:graphic>
          </wp:inline>
        </w:drawing>
      </w:r>
    </w:p>
    <w:p>
      <w:pPr>
        <w:spacing w:after="240"/>
        <w:jc w:val="center"/>
      </w:pPr>
      <w:r>
        <w:rPr>
          <w:rFonts w:ascii="Times New Roman" w:hAnsi="Times New Roman"/>
          <w:i/>
          <w:color w:val="475569"/>
          <w:sz w:val="19"/>
        </w:rPr>
        <w:t>Figure 3.1: Design Science Research (DSR) Process Framework for Mining Intrusion Detection</w:t>
      </w:r>
    </w:p>
    <w:p>
      <w:pPr>
        <w:spacing w:line="324" w:lineRule="auto" w:after="120"/>
        <w:jc w:val="both"/>
      </w:pPr>
      <w:r>
        <w:rPr>
          <w:rFonts w:ascii="Times New Roman" w:hAnsi="Times New Roman"/>
          <w:b/>
          <w:sz w:val="22"/>
        </w:rPr>
        <w:t xml:space="preserve">Iterative DSR Stages: </w:t>
      </w:r>
      <w:r>
        <w:rPr>
          <w:rFonts w:ascii="Times New Roman" w:hAnsi="Times New Roman"/>
          <w:sz w:val="22"/>
        </w:rPr>
        <w:t>The investigation executes across six iterative DSR stages:</w:t>
      </w:r>
    </w:p>
    <w:p>
      <w:pPr>
        <w:pStyle w:val="ListBullet"/>
        <w:spacing w:line="300" w:lineRule="auto" w:after="80"/>
      </w:pPr>
      <w:r>
        <w:rPr>
          <w:rFonts w:ascii="Times New Roman" w:hAnsi="Times New Roman"/>
          <w:b/>
          <w:sz w:val="21"/>
        </w:rPr>
        <w:t xml:space="preserve">Stage 1: </w:t>
      </w:r>
      <w:r>
        <w:rPr>
          <w:rFonts w:ascii="Times New Roman" w:hAnsi="Times New Roman"/>
          <w:sz w:val="21"/>
        </w:rPr>
        <w:t>1. Problem Identification &amp; Motivation: Define the vulnerability gap in African mining OT networks and quantify financial/safety risks.</w:t>
      </w:r>
    </w:p>
    <w:p>
      <w:pPr>
        <w:pStyle w:val="ListBullet"/>
        <w:spacing w:line="300" w:lineRule="auto" w:after="80"/>
      </w:pPr>
      <w:r>
        <w:rPr>
          <w:rFonts w:ascii="Times New Roman" w:hAnsi="Times New Roman"/>
          <w:b/>
          <w:sz w:val="21"/>
        </w:rPr>
        <w:t xml:space="preserve">Stage 2: </w:t>
      </w:r>
      <w:r>
        <w:rPr>
          <w:rFonts w:ascii="Times New Roman" w:hAnsi="Times New Roman"/>
          <w:sz w:val="21"/>
        </w:rPr>
        <w:t>2. Define Objectives of a Solution: Establish quantitative engineering targets: &lt; 100 ms inference latency, &gt; 70% multi-class accuracy, &lt; 1 MB model size, and deployment viability on 1GB RAM edge gateways.</w:t>
      </w:r>
    </w:p>
    <w:p>
      <w:pPr>
        <w:pStyle w:val="ListBullet"/>
        <w:spacing w:line="300" w:lineRule="auto" w:after="80"/>
      </w:pPr>
      <w:r>
        <w:rPr>
          <w:rFonts w:ascii="Times New Roman" w:hAnsi="Times New Roman"/>
          <w:b/>
          <w:sz w:val="21"/>
        </w:rPr>
        <w:t xml:space="preserve">Stage 3: </w:t>
      </w:r>
      <w:r>
        <w:rPr>
          <w:rFonts w:ascii="Times New Roman" w:hAnsi="Times New Roman"/>
          <w:sz w:val="21"/>
        </w:rPr>
        <w:t>3. Design and Development: Create the BWOA feature selection wrapper, hybrid Conv1D-LSTM neural architecture, and Float16 TFLite quantization pipeline.</w:t>
      </w:r>
    </w:p>
    <w:p>
      <w:pPr>
        <w:pStyle w:val="ListBullet"/>
        <w:spacing w:line="300" w:lineRule="auto" w:after="80"/>
      </w:pPr>
      <w:r>
        <w:rPr>
          <w:rFonts w:ascii="Times New Roman" w:hAnsi="Times New Roman"/>
          <w:b/>
          <w:sz w:val="21"/>
        </w:rPr>
        <w:t xml:space="preserve">Stage 4: </w:t>
      </w:r>
      <w:r>
        <w:rPr>
          <w:rFonts w:ascii="Times New Roman" w:hAnsi="Times New Roman"/>
          <w:sz w:val="21"/>
        </w:rPr>
        <w:t>4. Demonstration: Deploy the artifacts in real-time edge environments (Raspberry Pi 4B) and cloud API servers with the unesco-mine-sec-cli network scanner.</w:t>
      </w:r>
    </w:p>
    <w:p>
      <w:pPr>
        <w:pStyle w:val="ListBullet"/>
        <w:spacing w:line="300" w:lineRule="auto" w:after="80"/>
      </w:pPr>
      <w:r>
        <w:rPr>
          <w:rFonts w:ascii="Times New Roman" w:hAnsi="Times New Roman"/>
          <w:b/>
          <w:sz w:val="21"/>
        </w:rPr>
        <w:t xml:space="preserve">Stage 5: </w:t>
      </w:r>
      <w:r>
        <w:rPr>
          <w:rFonts w:ascii="Times New Roman" w:hAnsi="Times New Roman"/>
          <w:sz w:val="21"/>
        </w:rPr>
        <w:t>5. Evaluation: Rigorously benchmark accuracy, F1-scores, ROC curves, latency, RAM footprint, and conduct User Acceptance Testing (UAT) with domain specialists.</w:t>
      </w:r>
    </w:p>
    <w:p>
      <w:pPr>
        <w:pStyle w:val="ListBullet"/>
        <w:spacing w:line="300" w:lineRule="auto" w:after="80"/>
      </w:pPr>
      <w:r>
        <w:rPr>
          <w:rFonts w:ascii="Times New Roman" w:hAnsi="Times New Roman"/>
          <w:b/>
          <w:sz w:val="21"/>
        </w:rPr>
        <w:t xml:space="preserve">Stage 6: </w:t>
      </w:r>
      <w:r>
        <w:rPr>
          <w:rFonts w:ascii="Times New Roman" w:hAnsi="Times New Roman"/>
          <w:sz w:val="21"/>
        </w:rPr>
        <w:t>6. Communication: Publish the findings, technical reports, open-source codebase, and present at the UNESCO Russian-African Forum of Young Scientists 2026.</w:t>
      </w:r>
    </w:p>
    <w:p>
      <w:pPr>
        <w:keepNext/>
        <w:spacing w:before="280" w:after="120"/>
      </w:pPr>
      <w:r>
        <w:rPr>
          <w:rFonts w:ascii="Arial" w:hAnsi="Arial"/>
          <w:b/>
          <w:color w:val="0F172A"/>
          <w:sz w:val="24"/>
        </w:rPr>
        <w:t>3.2 Requirements Engineering</w:t>
      </w:r>
    </w:p>
    <w:p>
      <w:pPr>
        <w:spacing w:line="324" w:lineRule="auto" w:after="120"/>
        <w:jc w:val="both"/>
      </w:pPr>
      <w:r>
        <w:rPr>
          <w:rFonts w:ascii="Times New Roman" w:hAnsi="Times New Roman"/>
          <w:sz w:val="22"/>
        </w:rPr>
        <w:t>Requirements were synthesized through document analysis of industrial mining safety standards, literature reviews of SCADA cyber vulnerabilities, and consultations with operational technology engineers.</w:t>
      </w:r>
    </w:p>
    <w:p>
      <w:pPr>
        <w:spacing w:line="324" w:lineRule="auto" w:after="120"/>
        <w:jc w:val="both"/>
      </w:pPr>
      <w:r>
        <w:rPr>
          <w:rFonts w:ascii="Times New Roman" w:hAnsi="Times New Roman"/>
          <w:b/>
          <w:sz w:val="22"/>
        </w:rPr>
        <w:t xml:space="preserve">FR1: </w:t>
      </w:r>
      <w:r>
        <w:rPr>
          <w:rFonts w:ascii="Times New Roman" w:hAnsi="Times New Roman"/>
          <w:sz w:val="22"/>
        </w:rPr>
        <w:t>Functional Requirements:</w:t>
      </w:r>
    </w:p>
    <w:p>
      <w:pPr>
        <w:pStyle w:val="ListBullet"/>
        <w:spacing w:line="300" w:lineRule="auto" w:after="80"/>
      </w:pPr>
      <w:r>
        <w:rPr>
          <w:rFonts w:ascii="Times New Roman" w:hAnsi="Times New Roman"/>
          <w:sz w:val="21"/>
        </w:rPr>
        <w:t>FR1.1 (Real-Time Packet Ingestion): The system must capture live network flows from standard industrial adapters without packet loss at rates up to 1,000 flows/second.</w:t>
      </w:r>
    </w:p>
    <w:p>
      <w:pPr>
        <w:pStyle w:val="ListBullet"/>
        <w:spacing w:line="300" w:lineRule="auto" w:after="80"/>
      </w:pPr>
      <w:r>
        <w:rPr>
          <w:rFonts w:ascii="Times New Roman" w:hAnsi="Times New Roman"/>
          <w:sz w:val="21"/>
        </w:rPr>
        <w:t>FR1.2 (Automated Feature Pruning): The system must automatically map and reduce high-dimensional flow attributes to the 10 BWOA-selected features.</w:t>
      </w:r>
    </w:p>
    <w:p>
      <w:pPr>
        <w:pStyle w:val="ListBullet"/>
        <w:spacing w:line="300" w:lineRule="auto" w:after="80"/>
      </w:pPr>
      <w:r>
        <w:rPr>
          <w:rFonts w:ascii="Times New Roman" w:hAnsi="Times New Roman"/>
          <w:sz w:val="21"/>
        </w:rPr>
        <w:t>FR1.3 (Multi-Class Threat Classification): The classifier must categorize traffic into 5 classes: Normal, Denial of Service (DoS), Port/Host Probing, Remote to Local (R2L), and User to Root (U2R).</w:t>
      </w:r>
    </w:p>
    <w:p>
      <w:pPr>
        <w:pStyle w:val="ListBullet"/>
        <w:spacing w:line="300" w:lineRule="auto" w:after="80"/>
      </w:pPr>
      <w:r>
        <w:rPr>
          <w:rFonts w:ascii="Times New Roman" w:hAnsi="Times New Roman"/>
          <w:sz w:val="21"/>
        </w:rPr>
        <w:t>FR1.4 (Real-Time Alert Dispatch): The API service must deliver structured threat predictions with human-readable labels, confidence scores, and sub-millisecond response times.</w:t>
      </w:r>
    </w:p>
    <w:p>
      <w:pPr>
        <w:spacing w:line="324" w:lineRule="auto" w:after="120"/>
        <w:jc w:val="both"/>
      </w:pPr>
      <w:r>
        <w:rPr>
          <w:rFonts w:ascii="Times New Roman" w:hAnsi="Times New Roman"/>
          <w:b/>
          <w:sz w:val="22"/>
        </w:rPr>
        <w:t xml:space="preserve">NFR1: </w:t>
      </w:r>
      <w:r>
        <w:rPr>
          <w:rFonts w:ascii="Times New Roman" w:hAnsi="Times New Roman"/>
          <w:sz w:val="22"/>
        </w:rPr>
        <w:t>Non-Functional Requirements:</w:t>
      </w:r>
    </w:p>
    <w:p>
      <w:pPr>
        <w:pStyle w:val="ListBullet"/>
        <w:spacing w:line="300" w:lineRule="auto" w:after="80"/>
      </w:pPr>
      <w:r>
        <w:rPr>
          <w:rFonts w:ascii="Times New Roman" w:hAnsi="Times New Roman"/>
          <w:sz w:val="21"/>
        </w:rPr>
        <w:t>NFR1.1 (Inference Latency): Single-sample inference latency must remain strictly below 100 ms to satisfy SCADA control loop deadlines.</w:t>
      </w:r>
    </w:p>
    <w:p>
      <w:pPr>
        <w:pStyle w:val="ListBullet"/>
        <w:spacing w:line="300" w:lineRule="auto" w:after="80"/>
      </w:pPr>
      <w:r>
        <w:rPr>
          <w:rFonts w:ascii="Times New Roman" w:hAnsi="Times New Roman"/>
          <w:sz w:val="21"/>
        </w:rPr>
        <w:t>NFR1.2 (Hardware Footprint): Peak RAM utilization must not exceed 512 MB, allowing full execution on 1GB RAM edge devices (Raspberry Pi 4B).</w:t>
      </w:r>
    </w:p>
    <w:p>
      <w:pPr>
        <w:pStyle w:val="ListBullet"/>
        <w:spacing w:line="300" w:lineRule="auto" w:after="80"/>
      </w:pPr>
      <w:r>
        <w:rPr>
          <w:rFonts w:ascii="Times New Roman" w:hAnsi="Times New Roman"/>
          <w:sz w:val="21"/>
        </w:rPr>
        <w:t>NFR1.3 (Energy Efficiency &amp; Standalone Operation): The edge sniffer must operate within a 2.5W power budget, compatible with solar-powered remote sensor hubs.</w:t>
      </w:r>
    </w:p>
    <w:p>
      <w:pPr>
        <w:keepNext/>
        <w:spacing w:before="280" w:after="120"/>
      </w:pPr>
      <w:r>
        <w:rPr>
          <w:rFonts w:ascii="Arial" w:hAnsi="Arial"/>
          <w:b/>
          <w:color w:val="0F172A"/>
          <w:sz w:val="24"/>
        </w:rPr>
        <w:t>3.3 System Architecture Design</w:t>
      </w:r>
    </w:p>
    <w:p>
      <w:pPr>
        <w:spacing w:line="324" w:lineRule="auto" w:after="120"/>
        <w:jc w:val="both"/>
      </w:pPr>
      <w:r>
        <w:rPr>
          <w:rFonts w:ascii="Times New Roman" w:hAnsi="Times New Roman"/>
          <w:sz w:val="22"/>
        </w:rPr>
        <w:t>The system architecture is organized into four decoupled, modular layers designed for high reliability and rapid edge processing:</w:t>
      </w:r>
    </w:p>
    <w:p>
      <w:pPr>
        <w:spacing w:before="160" w:after="80"/>
        <w:jc w:val="center"/>
      </w:pPr>
      <w:r>
        <w:drawing>
          <wp:inline xmlns:a="http://schemas.openxmlformats.org/drawingml/2006/main" xmlns:pic="http://schemas.openxmlformats.org/drawingml/2006/picture">
            <wp:extent cx="5669280" cy="332600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326001"/>
                    </a:xfrm>
                    <a:prstGeom prst="rect"/>
                  </pic:spPr>
                </pic:pic>
              </a:graphicData>
            </a:graphic>
          </wp:inline>
        </w:drawing>
      </w:r>
    </w:p>
    <w:p>
      <w:pPr>
        <w:spacing w:after="240"/>
        <w:jc w:val="center"/>
      </w:pPr>
      <w:r>
        <w:rPr>
          <w:rFonts w:ascii="Times New Roman" w:hAnsi="Times New Roman"/>
          <w:i/>
          <w:color w:val="475569"/>
          <w:sz w:val="19"/>
        </w:rPr>
        <w:t>Figure 3.2: Four-Layer Pipeline Architecture for Edge Intrusion Detection</w:t>
      </w:r>
    </w:p>
    <w:p>
      <w:pPr>
        <w:spacing w:line="324" w:lineRule="auto" w:after="120"/>
        <w:jc w:val="both"/>
      </w:pPr>
      <w:r>
        <w:rPr>
          <w:rFonts w:ascii="Times New Roman" w:hAnsi="Times New Roman"/>
          <w:sz w:val="22"/>
        </w:rPr>
        <w:t>1. Industrial Telemetry Ingestion Layer: Hooks physical and virtual network adapters at mining sub-stations, collecting raw bidirectional packet streams from SCADA protocols (Modbus, DNP3, OPC-UA). The open-source CLI agent (@mhiskall282/unesco-mine-sec-cli) extracts bidirectional flow statistics.</w:t>
        <w:br/>
        <w:br/>
        <w:t>2. Metaheuristic Optimization Layer: Employs the Binary Whale Optimization Algorithm (BWOA) to prune the 41 original network features down to 10 optimal dimensions, discarding 75.61% of redundant data.</w:t>
        <w:br/>
        <w:br/>
        <w:t>3. Deep Learning Classification Layer: A hybrid Conv1D-LSTM neural network processes the 10-feature sequences. Spatial convolutional filters extract byte-level structure, while LSTM memory cells model temporal connection histories.</w:t>
        <w:br/>
        <w:br/>
        <w:t>4. Operational &amp; Deployment Layer: Serves predictions via an asynchronous FastAPI microservice (port 8001) using TFLite Float16 inference, integrated with a multi-tenant Laravel SaaS dashboard for real-time alerting.</w:t>
      </w:r>
    </w:p>
    <w:p>
      <w:pPr>
        <w:keepNext/>
        <w:spacing w:before="280" w:after="120"/>
      </w:pPr>
      <w:r>
        <w:rPr>
          <w:rFonts w:ascii="Arial" w:hAnsi="Arial"/>
          <w:b/>
          <w:color w:val="0F172A"/>
          <w:sz w:val="24"/>
        </w:rPr>
        <w:t>3.4 Database and Entity-Relationship Design</w:t>
      </w:r>
    </w:p>
    <w:p>
      <w:pPr>
        <w:spacing w:line="324" w:lineRule="auto" w:after="120"/>
        <w:jc w:val="both"/>
      </w:pPr>
      <w:r>
        <w:rPr>
          <w:rFonts w:ascii="Times New Roman" w:hAnsi="Times New Roman"/>
          <w:sz w:val="22"/>
        </w:rPr>
        <w:t>To support real-time forensic logging and compliance auditing under Minerals Commission reporting standards, the system implements an optimized relational database schema.</w:t>
      </w:r>
    </w:p>
    <w:p>
      <w:pPr>
        <w:spacing w:before="160" w:after="80"/>
        <w:jc w:val="center"/>
      </w:pPr>
      <w:r>
        <w:drawing>
          <wp:inline xmlns:a="http://schemas.openxmlformats.org/drawingml/2006/main" xmlns:pic="http://schemas.openxmlformats.org/drawingml/2006/picture">
            <wp:extent cx="5303520" cy="3160684"/>
            <wp:docPr id="3" name="Picture 3"/>
            <wp:cNvGraphicFramePr>
              <a:graphicFrameLocks noChangeAspect="1"/>
            </wp:cNvGraphicFramePr>
            <a:graphic>
              <a:graphicData uri="http://schemas.openxmlformats.org/drawingml/2006/picture">
                <pic:pic>
                  <pic:nvPicPr>
                    <pic:cNvPr id="0" name="er_diagram.png"/>
                    <pic:cNvPicPr/>
                  </pic:nvPicPr>
                  <pic:blipFill>
                    <a:blip r:embed="rId11"/>
                    <a:stretch>
                      <a:fillRect/>
                    </a:stretch>
                  </pic:blipFill>
                  <pic:spPr>
                    <a:xfrm>
                      <a:off x="0" y="0"/>
                      <a:ext cx="5303520" cy="3160684"/>
                    </a:xfrm>
                    <a:prstGeom prst="rect"/>
                  </pic:spPr>
                </pic:pic>
              </a:graphicData>
            </a:graphic>
          </wp:inline>
        </w:drawing>
      </w:r>
    </w:p>
    <w:p>
      <w:pPr>
        <w:spacing w:after="240"/>
        <w:jc w:val="center"/>
      </w:pPr>
      <w:r>
        <w:rPr>
          <w:rFonts w:ascii="Times New Roman" w:hAnsi="Times New Roman"/>
          <w:i/>
          <w:color w:val="475569"/>
          <w:sz w:val="19"/>
        </w:rPr>
        <w:t>Figure 3.3: Entity-Relationship (ER) Database Schema</w:t>
      </w:r>
    </w:p>
    <w:p>
      <w:pPr>
        <w:keepNext/>
        <w:spacing w:before="280" w:after="120"/>
      </w:pPr>
      <w:r>
        <w:rPr>
          <w:rFonts w:ascii="Arial" w:hAnsi="Arial"/>
          <w:b/>
          <w:color w:val="0F172A"/>
          <w:sz w:val="24"/>
        </w:rPr>
        <w:t>3.5 Unified Modeling Language (UML) Behavioral &amp; Structural Models</w:t>
      </w:r>
    </w:p>
    <w:p>
      <w:pPr>
        <w:spacing w:line="324" w:lineRule="auto" w:after="120"/>
        <w:jc w:val="both"/>
      </w:pPr>
      <w:r>
        <w:rPr>
          <w:rFonts w:ascii="Times New Roman" w:hAnsi="Times New Roman"/>
          <w:sz w:val="22"/>
        </w:rPr>
        <w:t>To ensure rigorous software engineering standards and system reproducibility, structural and behavioral aspects are formally modeled using UML diagrams.</w:t>
      </w:r>
    </w:p>
    <w:p>
      <w:pPr>
        <w:spacing w:before="160" w:after="8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uml_use_case.png"/>
                    <pic:cNvPicPr/>
                  </pic:nvPicPr>
                  <pic:blipFill>
                    <a:blip r:embed="rId12"/>
                    <a:stretch>
                      <a:fillRect/>
                    </a:stretch>
                  </pic:blipFill>
                  <pic:spPr>
                    <a:xfrm>
                      <a:off x="0" y="0"/>
                      <a:ext cx="5303520" cy="3160684"/>
                    </a:xfrm>
                    <a:prstGeom prst="rect"/>
                  </pic:spPr>
                </pic:pic>
              </a:graphicData>
            </a:graphic>
          </wp:inline>
        </w:drawing>
      </w:r>
    </w:p>
    <w:p>
      <w:pPr>
        <w:spacing w:after="240"/>
        <w:jc w:val="center"/>
      </w:pPr>
      <w:r>
        <w:rPr>
          <w:rFonts w:ascii="Times New Roman" w:hAnsi="Times New Roman"/>
          <w:i/>
          <w:color w:val="475569"/>
          <w:sz w:val="19"/>
        </w:rPr>
        <w:t>Figure 3.4: UML Use Case Diagram: User Roles &amp; System Boundaries</w:t>
      </w:r>
    </w:p>
    <w:p>
      <w:pPr>
        <w:spacing w:before="160" w:after="80"/>
        <w:jc w:val="center"/>
      </w:pPr>
      <w:r>
        <w:drawing>
          <wp:inline xmlns:a="http://schemas.openxmlformats.org/drawingml/2006/main" xmlns:pic="http://schemas.openxmlformats.org/drawingml/2006/picture">
            <wp:extent cx="5303520" cy="3428538"/>
            <wp:docPr id="5" name="Picture 5"/>
            <wp:cNvGraphicFramePr>
              <a:graphicFrameLocks noChangeAspect="1"/>
            </wp:cNvGraphicFramePr>
            <a:graphic>
              <a:graphicData uri="http://schemas.openxmlformats.org/drawingml/2006/picture">
                <pic:pic>
                  <pic:nvPicPr>
                    <pic:cNvPr id="0" name="uml_class_diagram.png"/>
                    <pic:cNvPicPr/>
                  </pic:nvPicPr>
                  <pic:blipFill>
                    <a:blip r:embed="rId13"/>
                    <a:stretch>
                      <a:fillRect/>
                    </a:stretch>
                  </pic:blipFill>
                  <pic:spPr>
                    <a:xfrm>
                      <a:off x="0" y="0"/>
                      <a:ext cx="5303520" cy="3428538"/>
                    </a:xfrm>
                    <a:prstGeom prst="rect"/>
                  </pic:spPr>
                </pic:pic>
              </a:graphicData>
            </a:graphic>
          </wp:inline>
        </w:drawing>
      </w:r>
    </w:p>
    <w:p>
      <w:pPr>
        <w:spacing w:after="240"/>
        <w:jc w:val="center"/>
      </w:pPr>
      <w:r>
        <w:rPr>
          <w:rFonts w:ascii="Times New Roman" w:hAnsi="Times New Roman"/>
          <w:i/>
          <w:color w:val="475569"/>
          <w:sz w:val="19"/>
        </w:rPr>
        <w:t>Figure 3.5: UML Class Diagram: Core Object Model &amp; Methods</w:t>
      </w:r>
    </w:p>
    <w:p>
      <w:pPr>
        <w:spacing w:before="160" w:after="80"/>
        <w:jc w:val="center"/>
      </w:pPr>
      <w:r>
        <w:drawing>
          <wp:inline xmlns:a="http://schemas.openxmlformats.org/drawingml/2006/main" xmlns:pic="http://schemas.openxmlformats.org/drawingml/2006/picture">
            <wp:extent cx="5303520" cy="3168151"/>
            <wp:docPr id="6" name="Picture 6"/>
            <wp:cNvGraphicFramePr>
              <a:graphicFrameLocks noChangeAspect="1"/>
            </wp:cNvGraphicFramePr>
            <a:graphic>
              <a:graphicData uri="http://schemas.openxmlformats.org/drawingml/2006/picture">
                <pic:pic>
                  <pic:nvPicPr>
                    <pic:cNvPr id="0" name="uml_sequence_diagram.png"/>
                    <pic:cNvPicPr/>
                  </pic:nvPicPr>
                  <pic:blipFill>
                    <a:blip r:embed="rId14"/>
                    <a:stretch>
                      <a:fillRect/>
                    </a:stretch>
                  </pic:blipFill>
                  <pic:spPr>
                    <a:xfrm>
                      <a:off x="0" y="0"/>
                      <a:ext cx="5303520" cy="3168151"/>
                    </a:xfrm>
                    <a:prstGeom prst="rect"/>
                  </pic:spPr>
                </pic:pic>
              </a:graphicData>
            </a:graphic>
          </wp:inline>
        </w:drawing>
      </w:r>
    </w:p>
    <w:p>
      <w:pPr>
        <w:spacing w:after="240"/>
        <w:jc w:val="center"/>
      </w:pPr>
      <w:r>
        <w:rPr>
          <w:rFonts w:ascii="Times New Roman" w:hAnsi="Times New Roman"/>
          <w:i/>
          <w:color w:val="475569"/>
          <w:sz w:val="19"/>
        </w:rPr>
        <w:t>Figure 3.6: UML Sequence Diagram: End-to-End Threat Detection Lifecycle</w:t>
      </w:r>
    </w:p>
    <w:p>
      <w:pPr>
        <w:keepNext/>
        <w:spacing w:before="280" w:after="120"/>
      </w:pPr>
      <w:r>
        <w:rPr>
          <w:rFonts w:ascii="Arial" w:hAnsi="Arial"/>
          <w:b/>
          <w:color w:val="0F172A"/>
          <w:sz w:val="24"/>
        </w:rPr>
        <w:t>3.6 Mathematical Formulation &amp; Algorithm Design</w:t>
      </w:r>
    </w:p>
    <w:p>
      <w:pPr>
        <w:spacing w:line="324" w:lineRule="auto" w:after="120"/>
        <w:jc w:val="both"/>
      </w:pPr>
      <w:r>
        <w:rPr>
          <w:rFonts w:ascii="Times New Roman" w:hAnsi="Times New Roman"/>
          <w:b/>
          <w:sz w:val="22"/>
        </w:rPr>
        <w:t xml:space="preserve">BWOA Mathematical Formulation: </w:t>
      </w:r>
      <w:r>
        <w:rPr>
          <w:rFonts w:ascii="Times New Roman" w:hAnsi="Times New Roman"/>
          <w:sz w:val="22"/>
        </w:rPr>
        <w:t>The Binary Whale Optimization Algorithm (BWOA) models the hunting mechanics of humpback whales in a discrete binary search space {0, 1}^D, where D = 41 represents the total candidate feature set.</w:t>
      </w:r>
    </w:p>
    <w:p>
      <w:pPr>
        <w:spacing w:line="324" w:lineRule="auto" w:after="120"/>
        <w:jc w:val="both"/>
      </w:pPr>
      <w:r>
        <w:rPr>
          <w:rFonts w:ascii="Times New Roman" w:hAnsi="Times New Roman"/>
          <w:sz w:val="22"/>
        </w:rPr>
        <w:t>1. Encircling Prey: Search agents update their positions toward the best search agent (leader whale X*) according to:</w:t>
        <w:br/>
        <w:t xml:space="preserve">   D_vec = |C * X*(t) - X(t)|</w:t>
        <w:br/>
        <w:t xml:space="preserve">   X(t+1) = X*(t) - A * D_vec</w:t>
        <w:br/>
        <w:t>where t indicates the current iteration, A = 2 * a * r1 - a, and C = 2 * r2. The parameter 'a' decreases linearly from 2 to 0 over iterations, while r1 and r2 are random vectors in [0, 1].</w:t>
      </w:r>
    </w:p>
    <w:p>
      <w:pPr>
        <w:spacing w:line="324" w:lineRule="auto" w:after="120"/>
        <w:jc w:val="both"/>
      </w:pPr>
      <w:r>
        <w:rPr>
          <w:rFonts w:ascii="Times New Roman" w:hAnsi="Times New Roman"/>
          <w:sz w:val="22"/>
        </w:rPr>
        <w:t>2. Spiral Bubble-Net Attacking: To mimic helix-shaped bubble-net maneuvers, a logarithmic spiral equation is defined:</w:t>
        <w:br/>
        <w:t xml:space="preserve">   X(t+1) = D'_vec * exp(b * l) * cos(2 * pi * l) + X*(t)</w:t>
        <w:br/>
        <w:t>where D'_vec = |X*(t) - X(t)| is the distance from the whale to the leader, b is a constant defining the spiral shape (b = 1.0), and l is a random number in [-1, 1].</w:t>
      </w:r>
    </w:p>
    <w:p>
      <w:pPr>
        <w:spacing w:line="324" w:lineRule="auto" w:after="120"/>
        <w:jc w:val="both"/>
      </w:pPr>
      <w:r>
        <w:rPr>
          <w:rFonts w:ascii="Times New Roman" w:hAnsi="Times New Roman"/>
          <w:sz w:val="22"/>
        </w:rPr>
        <w:t>3. V-Shaped Binary Transfer Function: To map continuous velocity updates to discrete bit-flipping probabilities, a V-shaped transfer function is employed:</w:t>
        <w:br/>
        <w:t xml:space="preserve">   V(x) = | x / sqrt(1 + x^2) |</w:t>
        <w:br/>
        <w:t xml:space="preserve">   X_i(t+1) = complement(X_i(t)) if rand() &lt; V(x_i) else X_i(t)</w:t>
      </w:r>
    </w:p>
    <w:p>
      <w:pPr>
        <w:spacing w:line="324" w:lineRule="auto" w:after="120"/>
        <w:jc w:val="both"/>
      </w:pPr>
      <w:r>
        <w:rPr>
          <w:rFonts w:ascii="Times New Roman" w:hAnsi="Times New Roman"/>
          <w:sz w:val="22"/>
        </w:rPr>
        <w:t>4. Constrained Fitness Function with Accuracy Floor: To prevent the optimizer from selecting an excessively small feature subset that collapses classification accuracy, a constrained fitness function is enforced:</w:t>
        <w:br/>
        <w:t xml:space="preserve">   Fitness(X) = alpha * (1 - Accuracy(X)) + (1 - alpha) * (|Selected(X)| / D) + Penalty(X)</w:t>
        <w:br/>
        <w:t>where alpha = 0.3 (assigning 70% weight to classification error reduction), |Selected(X)| is the count of active features, and Penalty(X) = 1.0 if Accuracy(X) &lt; 0.75 or |Selected(X)| &lt; 10.</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cnn_lstm_architecture.png"/>
                    <pic:cNvPicPr/>
                  </pic:nvPicPr>
                  <pic:blipFill>
                    <a:blip r:embed="rId15"/>
                    <a:stretch>
                      <a:fillRect/>
                    </a:stretch>
                  </pic:blipFill>
                  <pic:spPr>
                    <a:xfrm>
                      <a:off x="0" y="0"/>
                      <a:ext cx="5303520" cy="2624975"/>
                    </a:xfrm>
                    <a:prstGeom prst="rect"/>
                  </pic:spPr>
                </pic:pic>
              </a:graphicData>
            </a:graphic>
          </wp:inline>
        </w:drawing>
      </w:r>
    </w:p>
    <w:p>
      <w:pPr>
        <w:spacing w:after="240"/>
        <w:jc w:val="center"/>
      </w:pPr>
      <w:r>
        <w:rPr>
          <w:rFonts w:ascii="Times New Roman" w:hAnsi="Times New Roman"/>
          <w:i/>
          <w:color w:val="475569"/>
          <w:sz w:val="19"/>
        </w:rPr>
        <w:t>Figure 3.7: CNN-LSTM Deep Neural Network Spatial-Temporal Flowchart</w:t>
      </w:r>
    </w:p>
    <w:p>
      <w:pPr>
        <w:keepNext/>
        <w:spacing w:before="360" w:after="160"/>
      </w:pPr>
      <w:r>
        <w:rPr>
          <w:rFonts w:ascii="Arial" w:hAnsi="Arial"/>
          <w:b/>
          <w:color w:val="00529B"/>
          <w:sz w:val="28"/>
        </w:rPr>
        <w:t>CHAPTER 4: SYSTEM DEVELOPMENT, DEMONSTRATION &amp; EVALUATION</w:t>
      </w:r>
    </w:p>
    <w:p>
      <w:pPr>
        <w:keepNext/>
        <w:spacing w:before="280" w:after="120"/>
      </w:pPr>
      <w:r>
        <w:rPr>
          <w:rFonts w:ascii="Arial" w:hAnsi="Arial"/>
          <w:b/>
          <w:color w:val="0F172A"/>
          <w:sz w:val="24"/>
        </w:rPr>
        <w:t>4.1 System Development &amp; Implementation Details</w:t>
      </w:r>
    </w:p>
    <w:p>
      <w:pPr>
        <w:spacing w:line="324" w:lineRule="auto" w:after="120"/>
        <w:jc w:val="both"/>
      </w:pPr>
      <w:r>
        <w:rPr>
          <w:rFonts w:ascii="Times New Roman" w:hAnsi="Times New Roman"/>
          <w:sz w:val="22"/>
        </w:rPr>
        <w:t>The framework was implemented in Python 3.11 utilizing TensorFlow 2.15, Scikit-Learn 1.4, Pandas, and NumPy. The edge sniffer was implemented in Node.js (v20) with ES modules and published as a global package (@mhiskall282/unesco-mine-sec-cli) to GitHub Packages. All source code, training notebooks, configuration files, and unit test suites are maintained under Git version control and made publicly accessible on GitHub.</w:t>
      </w:r>
    </w:p>
    <w:p>
      <w:pPr>
        <w:keepNext/>
        <w:spacing w:before="280" w:after="120"/>
      </w:pPr>
      <w:r>
        <w:rPr>
          <w:rFonts w:ascii="Arial" w:hAnsi="Arial"/>
          <w:b/>
          <w:color w:val="0F172A"/>
          <w:sz w:val="24"/>
        </w:rPr>
        <w:t>4.2 BWOA Feature Selection Results</w:t>
      </w:r>
    </w:p>
    <w:p>
      <w:pPr>
        <w:spacing w:line="324" w:lineRule="auto" w:after="120"/>
        <w:jc w:val="both"/>
      </w:pPr>
      <w:r>
        <w:rPr>
          <w:rFonts w:ascii="Times New Roman" w:hAnsi="Times New Roman"/>
          <w:sz w:val="22"/>
        </w:rPr>
        <w:t>BWOA optimization was executed with a population of 30 whale agents over 100 maximum iterations using stratified 3-fold cross-validation on a 3,000-sample training subset. Convergence occurred at iteration 23, reducing the feature space from 41 to exactly 10 features (75.61% reduction) with a Random Forest CV validation accuracy of 92.31%.</w:t>
      </w:r>
    </w:p>
    <w:p>
      <w:pPr>
        <w:spacing w:before="160" w:after="8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bwoa_convergence.png"/>
                    <pic:cNvPicPr/>
                  </pic:nvPicPr>
                  <pic:blipFill>
                    <a:blip r:embed="rId16"/>
                    <a:stretch>
                      <a:fillRect/>
                    </a:stretch>
                  </pic:blipFill>
                  <pic:spPr>
                    <a:xfrm>
                      <a:off x="0" y="0"/>
                      <a:ext cx="5120640" cy="3200400"/>
                    </a:xfrm>
                    <a:prstGeom prst="rect"/>
                  </pic:spPr>
                </pic:pic>
              </a:graphicData>
            </a:graphic>
          </wp:inline>
        </w:drawing>
      </w:r>
    </w:p>
    <w:p>
      <w:pPr>
        <w:spacing w:after="240"/>
        <w:jc w:val="center"/>
      </w:pPr>
      <w:r>
        <w:rPr>
          <w:rFonts w:ascii="Times New Roman" w:hAnsi="Times New Roman"/>
          <w:i/>
          <w:color w:val="475569"/>
          <w:sz w:val="19"/>
        </w:rPr>
        <w:t>Figure 4.1: BWOA Fitness Convergence Trajectory Across Iterations</w:t>
      </w:r>
    </w:p>
    <w:p>
      <w:pPr>
        <w:spacing w:before="160" w:after="80"/>
        <w:jc w:val="center"/>
      </w:pPr>
      <w:r>
        <w:drawing>
          <wp:inline xmlns:a="http://schemas.openxmlformats.org/drawingml/2006/main" xmlns:pic="http://schemas.openxmlformats.org/drawingml/2006/picture">
            <wp:extent cx="5303520" cy="3182112"/>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303520" cy="3182112"/>
                    </a:xfrm>
                    <a:prstGeom prst="rect"/>
                  </pic:spPr>
                </pic:pic>
              </a:graphicData>
            </a:graphic>
          </wp:inline>
        </w:drawing>
      </w:r>
    </w:p>
    <w:p>
      <w:pPr>
        <w:spacing w:after="240"/>
        <w:jc w:val="center"/>
      </w:pPr>
      <w:r>
        <w:rPr>
          <w:rFonts w:ascii="Times New Roman" w:hAnsi="Times New Roman"/>
          <w:i/>
          <w:color w:val="475569"/>
          <w:sz w:val="19"/>
        </w:rPr>
        <w:t>Figure 4.2: Gini Feature Importance Ranking Showing Selected (Blue) vs Pruned Features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864"/>
            <w:shd w:fill="00529B"/>
            <w:tcMar>
              <w:top w:w="120" w:type="dxa"/>
              <w:bottom w:w="120" w:type="dxa"/>
              <w:left w:w="140" w:type="dxa"/>
              <w:right w:w="140" w:type="dxa"/>
            </w:tcMar>
          </w:tcPr>
          <w:p>
            <w:pPr>
              <w:jc w:val="center"/>
            </w:pPr>
            <w:r>
              <w:rPr>
                <w:rFonts w:ascii="Arial" w:hAnsi="Arial"/>
                <w:b/>
                <w:color w:val="FFFFFF"/>
                <w:sz w:val="19"/>
              </w:rPr>
              <w:t>Rank</w:t>
            </w:r>
          </w:p>
        </w:tc>
        <w:tc>
          <w:tcPr>
            <w:tcW w:type="dxa" w:w="2592"/>
            <w:shd w:fill="00529B"/>
            <w:tcMar>
              <w:top w:w="120" w:type="dxa"/>
              <w:bottom w:w="120" w:type="dxa"/>
              <w:left w:w="140" w:type="dxa"/>
              <w:right w:w="140" w:type="dxa"/>
            </w:tcMar>
          </w:tcPr>
          <w:p>
            <w:pPr>
              <w:jc w:val="center"/>
            </w:pPr>
            <w:r>
              <w:rPr>
                <w:rFonts w:ascii="Arial" w:hAnsi="Arial"/>
                <w:b/>
                <w:color w:val="FFFFFF"/>
                <w:sz w:val="19"/>
              </w:rPr>
              <w:t>Selected Feature</w:t>
            </w:r>
          </w:p>
        </w:tc>
        <w:tc>
          <w:tcPr>
            <w:tcW w:type="dxa" w:w="1872"/>
            <w:shd w:fill="00529B"/>
            <w:tcMar>
              <w:top w:w="120" w:type="dxa"/>
              <w:bottom w:w="120" w:type="dxa"/>
              <w:left w:w="140" w:type="dxa"/>
              <w:right w:w="140" w:type="dxa"/>
            </w:tcMar>
          </w:tcPr>
          <w:p>
            <w:pPr>
              <w:jc w:val="center"/>
            </w:pPr>
            <w:r>
              <w:rPr>
                <w:rFonts w:ascii="Arial" w:hAnsi="Arial"/>
                <w:b/>
                <w:color w:val="FFFFFF"/>
                <w:sz w:val="19"/>
              </w:rPr>
              <w:t>Category</w:t>
            </w:r>
          </w:p>
        </w:tc>
        <w:tc>
          <w:tcPr>
            <w:tcW w:type="dxa" w:w="1296"/>
            <w:shd w:fill="00529B"/>
            <w:tcMar>
              <w:top w:w="120" w:type="dxa"/>
              <w:bottom w:w="120" w:type="dxa"/>
              <w:left w:w="140" w:type="dxa"/>
              <w:right w:w="140" w:type="dxa"/>
            </w:tcMar>
          </w:tcPr>
          <w:p>
            <w:pPr>
              <w:jc w:val="center"/>
            </w:pPr>
            <w:r>
              <w:rPr>
                <w:rFonts w:ascii="Arial" w:hAnsi="Arial"/>
                <w:b/>
                <w:color w:val="FFFFFF"/>
                <w:sz w:val="19"/>
              </w:rPr>
              <w:t>Gini Score</w:t>
            </w:r>
          </w:p>
        </w:tc>
        <w:tc>
          <w:tcPr>
            <w:tcW w:type="dxa" w:w="4032"/>
            <w:shd w:fill="00529B"/>
            <w:tcMar>
              <w:top w:w="120" w:type="dxa"/>
              <w:bottom w:w="120" w:type="dxa"/>
              <w:left w:w="140" w:type="dxa"/>
              <w:right w:w="140" w:type="dxa"/>
            </w:tcMar>
          </w:tcPr>
          <w:p>
            <w:pPr>
              <w:jc w:val="center"/>
            </w:pPr>
            <w:r>
              <w:rPr>
                <w:rFonts w:ascii="Arial" w:hAnsi="Arial"/>
                <w:b/>
                <w:color w:val="FFFFFF"/>
                <w:sz w:val="19"/>
              </w:rPr>
              <w:t>Primary Intrusion Detection Role</w:t>
            </w:r>
          </w:p>
        </w:tc>
      </w:tr>
      <w:tr>
        <w:tc>
          <w:tcPr>
            <w:tcW w:type="dxa" w:w="864"/>
            <w:shd w:fill="FFFFFF"/>
            <w:tcMar>
              <w:top w:w="80" w:type="dxa"/>
              <w:bottom w:w="80" w:type="dxa"/>
              <w:left w:w="120" w:type="dxa"/>
              <w:right w:w="120" w:type="dxa"/>
            </w:tcMar>
          </w:tcPr>
          <w:p>
            <w:pPr>
              <w:jc w:val="left"/>
            </w:pPr>
            <w:r>
              <w:rPr>
                <w:rFonts w:ascii="Times New Roman" w:hAnsi="Times New Roman"/>
                <w:sz w:val="19"/>
              </w:rPr>
              <w:t>1</w:t>
            </w:r>
          </w:p>
        </w:tc>
        <w:tc>
          <w:tcPr>
            <w:tcW w:type="dxa" w:w="2592"/>
            <w:shd w:fill="FFFFFF"/>
            <w:tcMar>
              <w:top w:w="80" w:type="dxa"/>
              <w:bottom w:w="80" w:type="dxa"/>
              <w:left w:w="120" w:type="dxa"/>
              <w:right w:w="120" w:type="dxa"/>
            </w:tcMar>
          </w:tcPr>
          <w:p>
            <w:pPr>
              <w:jc w:val="center"/>
            </w:pPr>
            <w:r>
              <w:rPr>
                <w:rFonts w:ascii="Times New Roman" w:hAnsi="Times New Roman"/>
                <w:sz w:val="19"/>
              </w:rPr>
              <w:t>src_bytes</w:t>
            </w:r>
          </w:p>
        </w:tc>
        <w:tc>
          <w:tcPr>
            <w:tcW w:type="dxa" w:w="1872"/>
            <w:shd w:fill="FFFFFF"/>
            <w:tcMar>
              <w:top w:w="80" w:type="dxa"/>
              <w:bottom w:w="80" w:type="dxa"/>
              <w:left w:w="120" w:type="dxa"/>
              <w:right w:w="120" w:type="dxa"/>
            </w:tcMar>
          </w:tcPr>
          <w:p>
            <w:pPr>
              <w:jc w:val="center"/>
            </w:pPr>
            <w:r>
              <w:rPr>
                <w:rFonts w:ascii="Times New Roman" w:hAnsi="Times New Roman"/>
                <w:sz w:val="19"/>
              </w:rPr>
              <w:t>Volume Metric</w:t>
            </w:r>
          </w:p>
        </w:tc>
        <w:tc>
          <w:tcPr>
            <w:tcW w:type="dxa" w:w="1296"/>
            <w:shd w:fill="FFFFFF"/>
            <w:tcMar>
              <w:top w:w="80" w:type="dxa"/>
              <w:bottom w:w="80" w:type="dxa"/>
              <w:left w:w="120" w:type="dxa"/>
              <w:right w:w="120" w:type="dxa"/>
            </w:tcMar>
          </w:tcPr>
          <w:p>
            <w:pPr>
              <w:jc w:val="center"/>
            </w:pPr>
            <w:r>
              <w:rPr>
                <w:rFonts w:ascii="Times New Roman" w:hAnsi="Times New Roman"/>
                <w:sz w:val="19"/>
              </w:rPr>
              <w:t>0.2451</w:t>
            </w:r>
          </w:p>
        </w:tc>
        <w:tc>
          <w:tcPr>
            <w:tcW w:type="dxa" w:w="4032"/>
            <w:shd w:fill="FFFFFF"/>
            <w:tcMar>
              <w:top w:w="80" w:type="dxa"/>
              <w:bottom w:w="80" w:type="dxa"/>
              <w:left w:w="120" w:type="dxa"/>
              <w:right w:w="120" w:type="dxa"/>
            </w:tcMar>
          </w:tcPr>
          <w:p>
            <w:pPr>
              <w:jc w:val="center"/>
            </w:pPr>
            <w:r>
              <w:rPr>
                <w:rFonts w:ascii="Times New Roman" w:hAnsi="Times New Roman"/>
                <w:sz w:val="19"/>
              </w:rPr>
              <w:t>Detects volumetric DoS traffic bursts</w:t>
            </w:r>
          </w:p>
        </w:tc>
      </w:tr>
      <w:tr>
        <w:tc>
          <w:tcPr>
            <w:tcW w:type="dxa" w:w="864"/>
            <w:shd w:fill="F8FAFC"/>
            <w:tcMar>
              <w:top w:w="80" w:type="dxa"/>
              <w:bottom w:w="80" w:type="dxa"/>
              <w:left w:w="120" w:type="dxa"/>
              <w:right w:w="120" w:type="dxa"/>
            </w:tcMar>
          </w:tcPr>
          <w:p>
            <w:pPr>
              <w:jc w:val="left"/>
            </w:pPr>
            <w:r>
              <w:rPr>
                <w:rFonts w:ascii="Times New Roman" w:hAnsi="Times New Roman"/>
                <w:sz w:val="19"/>
              </w:rPr>
              <w:t>2</w:t>
            </w:r>
          </w:p>
        </w:tc>
        <w:tc>
          <w:tcPr>
            <w:tcW w:type="dxa" w:w="2592"/>
            <w:shd w:fill="F8FAFC"/>
            <w:tcMar>
              <w:top w:w="80" w:type="dxa"/>
              <w:bottom w:w="80" w:type="dxa"/>
              <w:left w:w="120" w:type="dxa"/>
              <w:right w:w="120" w:type="dxa"/>
            </w:tcMar>
          </w:tcPr>
          <w:p>
            <w:pPr>
              <w:jc w:val="center"/>
            </w:pPr>
            <w:r>
              <w:rPr>
                <w:rFonts w:ascii="Times New Roman" w:hAnsi="Times New Roman"/>
                <w:sz w:val="19"/>
              </w:rPr>
              <w:t>service</w:t>
            </w:r>
          </w:p>
        </w:tc>
        <w:tc>
          <w:tcPr>
            <w:tcW w:type="dxa" w:w="1872"/>
            <w:shd w:fill="F8FAFC"/>
            <w:tcMar>
              <w:top w:w="80" w:type="dxa"/>
              <w:bottom w:w="80" w:type="dxa"/>
              <w:left w:w="120" w:type="dxa"/>
              <w:right w:w="120" w:type="dxa"/>
            </w:tcMar>
          </w:tcPr>
          <w:p>
            <w:pPr>
              <w:jc w:val="center"/>
            </w:pPr>
            <w:r>
              <w:rPr>
                <w:rFonts w:ascii="Times New Roman" w:hAnsi="Times New Roman"/>
                <w:sz w:val="19"/>
              </w:rPr>
              <w:t>Protocol Mapping</w:t>
            </w:r>
          </w:p>
        </w:tc>
        <w:tc>
          <w:tcPr>
            <w:tcW w:type="dxa" w:w="1296"/>
            <w:shd w:fill="F8FAFC"/>
            <w:tcMar>
              <w:top w:w="80" w:type="dxa"/>
              <w:bottom w:w="80" w:type="dxa"/>
              <w:left w:w="120" w:type="dxa"/>
              <w:right w:w="120" w:type="dxa"/>
            </w:tcMar>
          </w:tcPr>
          <w:p>
            <w:pPr>
              <w:jc w:val="center"/>
            </w:pPr>
            <w:r>
              <w:rPr>
                <w:rFonts w:ascii="Times New Roman" w:hAnsi="Times New Roman"/>
                <w:sz w:val="19"/>
              </w:rPr>
              <w:t>0.1982</w:t>
            </w:r>
          </w:p>
        </w:tc>
        <w:tc>
          <w:tcPr>
            <w:tcW w:type="dxa" w:w="4032"/>
            <w:shd w:fill="F8FAFC"/>
            <w:tcMar>
              <w:top w:w="80" w:type="dxa"/>
              <w:bottom w:w="80" w:type="dxa"/>
              <w:left w:w="120" w:type="dxa"/>
              <w:right w:w="120" w:type="dxa"/>
            </w:tcMar>
          </w:tcPr>
          <w:p>
            <w:pPr>
              <w:jc w:val="center"/>
            </w:pPr>
            <w:r>
              <w:rPr>
                <w:rFonts w:ascii="Times New Roman" w:hAnsi="Times New Roman"/>
                <w:sz w:val="19"/>
              </w:rPr>
              <w:t>Filters unauthorized SCADA ports/services</w:t>
            </w:r>
          </w:p>
        </w:tc>
      </w:tr>
      <w:tr>
        <w:tc>
          <w:tcPr>
            <w:tcW w:type="dxa" w:w="864"/>
            <w:shd w:fill="FFFFFF"/>
            <w:tcMar>
              <w:top w:w="80" w:type="dxa"/>
              <w:bottom w:w="80" w:type="dxa"/>
              <w:left w:w="120" w:type="dxa"/>
              <w:right w:w="120" w:type="dxa"/>
            </w:tcMar>
          </w:tcPr>
          <w:p>
            <w:pPr>
              <w:jc w:val="left"/>
            </w:pPr>
            <w:r>
              <w:rPr>
                <w:rFonts w:ascii="Times New Roman" w:hAnsi="Times New Roman"/>
                <w:sz w:val="19"/>
              </w:rPr>
              <w:t>3</w:t>
            </w:r>
          </w:p>
        </w:tc>
        <w:tc>
          <w:tcPr>
            <w:tcW w:type="dxa" w:w="2592"/>
            <w:shd w:fill="FFFFFF"/>
            <w:tcMar>
              <w:top w:w="80" w:type="dxa"/>
              <w:bottom w:w="80" w:type="dxa"/>
              <w:left w:w="120" w:type="dxa"/>
              <w:right w:w="120" w:type="dxa"/>
            </w:tcMar>
          </w:tcPr>
          <w:p>
            <w:pPr>
              <w:jc w:val="center"/>
            </w:pPr>
            <w:r>
              <w:rPr>
                <w:rFonts w:ascii="Times New Roman" w:hAnsi="Times New Roman"/>
                <w:sz w:val="19"/>
              </w:rPr>
              <w:t>flag</w:t>
            </w:r>
          </w:p>
        </w:tc>
        <w:tc>
          <w:tcPr>
            <w:tcW w:type="dxa" w:w="1872"/>
            <w:shd w:fill="FFFFFF"/>
            <w:tcMar>
              <w:top w:w="80" w:type="dxa"/>
              <w:bottom w:w="80" w:type="dxa"/>
              <w:left w:w="120" w:type="dxa"/>
              <w:right w:w="120" w:type="dxa"/>
            </w:tcMar>
          </w:tcPr>
          <w:p>
            <w:pPr>
              <w:jc w:val="center"/>
            </w:pPr>
            <w:r>
              <w:rPr>
                <w:rFonts w:ascii="Times New Roman" w:hAnsi="Times New Roman"/>
                <w:sz w:val="19"/>
              </w:rPr>
              <w:t>Connection State</w:t>
            </w:r>
          </w:p>
        </w:tc>
        <w:tc>
          <w:tcPr>
            <w:tcW w:type="dxa" w:w="1296"/>
            <w:shd w:fill="FFFFFF"/>
            <w:tcMar>
              <w:top w:w="80" w:type="dxa"/>
              <w:bottom w:w="80" w:type="dxa"/>
              <w:left w:w="120" w:type="dxa"/>
              <w:right w:w="120" w:type="dxa"/>
            </w:tcMar>
          </w:tcPr>
          <w:p>
            <w:pPr>
              <w:jc w:val="center"/>
            </w:pPr>
            <w:r>
              <w:rPr>
                <w:rFonts w:ascii="Times New Roman" w:hAnsi="Times New Roman"/>
                <w:sz w:val="19"/>
              </w:rPr>
              <w:t>0.1420</w:t>
            </w:r>
          </w:p>
        </w:tc>
        <w:tc>
          <w:tcPr>
            <w:tcW w:type="dxa" w:w="4032"/>
            <w:shd w:fill="FFFFFF"/>
            <w:tcMar>
              <w:top w:w="80" w:type="dxa"/>
              <w:bottom w:w="80" w:type="dxa"/>
              <w:left w:w="120" w:type="dxa"/>
              <w:right w:w="120" w:type="dxa"/>
            </w:tcMar>
          </w:tcPr>
          <w:p>
            <w:pPr>
              <w:jc w:val="center"/>
            </w:pPr>
            <w:r>
              <w:rPr>
                <w:rFonts w:ascii="Times New Roman" w:hAnsi="Times New Roman"/>
                <w:sz w:val="19"/>
              </w:rPr>
              <w:t>Identifies abnormal SYN/RST connection teardowns</w:t>
            </w:r>
          </w:p>
        </w:tc>
      </w:tr>
      <w:tr>
        <w:tc>
          <w:tcPr>
            <w:tcW w:type="dxa" w:w="864"/>
            <w:shd w:fill="F8FAFC"/>
            <w:tcMar>
              <w:top w:w="80" w:type="dxa"/>
              <w:bottom w:w="80" w:type="dxa"/>
              <w:left w:w="120" w:type="dxa"/>
              <w:right w:w="120" w:type="dxa"/>
            </w:tcMar>
          </w:tcPr>
          <w:p>
            <w:pPr>
              <w:jc w:val="left"/>
            </w:pPr>
            <w:r>
              <w:rPr>
                <w:rFonts w:ascii="Times New Roman" w:hAnsi="Times New Roman"/>
                <w:sz w:val="19"/>
              </w:rPr>
              <w:t>4</w:t>
            </w:r>
          </w:p>
        </w:tc>
        <w:tc>
          <w:tcPr>
            <w:tcW w:type="dxa" w:w="2592"/>
            <w:shd w:fill="F8FAFC"/>
            <w:tcMar>
              <w:top w:w="80" w:type="dxa"/>
              <w:bottom w:w="80" w:type="dxa"/>
              <w:left w:w="120" w:type="dxa"/>
              <w:right w:w="120" w:type="dxa"/>
            </w:tcMar>
          </w:tcPr>
          <w:p>
            <w:pPr>
              <w:jc w:val="center"/>
            </w:pPr>
            <w:r>
              <w:rPr>
                <w:rFonts w:ascii="Times New Roman" w:hAnsi="Times New Roman"/>
                <w:sz w:val="19"/>
              </w:rPr>
              <w:t>serror_rate</w:t>
            </w:r>
          </w:p>
        </w:tc>
        <w:tc>
          <w:tcPr>
            <w:tcW w:type="dxa" w:w="1872"/>
            <w:shd w:fill="F8FAFC"/>
            <w:tcMar>
              <w:top w:w="80" w:type="dxa"/>
              <w:bottom w:w="80" w:type="dxa"/>
              <w:left w:w="120" w:type="dxa"/>
              <w:right w:w="120" w:type="dxa"/>
            </w:tcMar>
          </w:tcPr>
          <w:p>
            <w:pPr>
              <w:jc w:val="center"/>
            </w:pPr>
            <w:r>
              <w:rPr>
                <w:rFonts w:ascii="Times New Roman" w:hAnsi="Times New Roman"/>
                <w:sz w:val="19"/>
              </w:rPr>
              <w:t>Error Frequency</w:t>
            </w:r>
          </w:p>
        </w:tc>
        <w:tc>
          <w:tcPr>
            <w:tcW w:type="dxa" w:w="1296"/>
            <w:shd w:fill="F8FAFC"/>
            <w:tcMar>
              <w:top w:w="80" w:type="dxa"/>
              <w:bottom w:w="80" w:type="dxa"/>
              <w:left w:w="120" w:type="dxa"/>
              <w:right w:w="120" w:type="dxa"/>
            </w:tcMar>
          </w:tcPr>
          <w:p>
            <w:pPr>
              <w:jc w:val="center"/>
            </w:pPr>
            <w:r>
              <w:rPr>
                <w:rFonts w:ascii="Times New Roman" w:hAnsi="Times New Roman"/>
                <w:sz w:val="19"/>
              </w:rPr>
              <w:t>0.1185</w:t>
            </w:r>
          </w:p>
        </w:tc>
        <w:tc>
          <w:tcPr>
            <w:tcW w:type="dxa" w:w="4032"/>
            <w:shd w:fill="F8FAFC"/>
            <w:tcMar>
              <w:top w:w="80" w:type="dxa"/>
              <w:bottom w:w="80" w:type="dxa"/>
              <w:left w:w="120" w:type="dxa"/>
              <w:right w:w="120" w:type="dxa"/>
            </w:tcMar>
          </w:tcPr>
          <w:p>
            <w:pPr>
              <w:jc w:val="center"/>
            </w:pPr>
            <w:r>
              <w:rPr>
                <w:rFonts w:ascii="Times New Roman" w:hAnsi="Times New Roman"/>
                <w:sz w:val="19"/>
              </w:rPr>
              <w:t>Detects SYN flood attacks and sweeping</w:t>
            </w:r>
          </w:p>
        </w:tc>
      </w:tr>
      <w:tr>
        <w:tc>
          <w:tcPr>
            <w:tcW w:type="dxa" w:w="864"/>
            <w:shd w:fill="FFFFFF"/>
            <w:tcMar>
              <w:top w:w="80" w:type="dxa"/>
              <w:bottom w:w="80" w:type="dxa"/>
              <w:left w:w="120" w:type="dxa"/>
              <w:right w:w="120" w:type="dxa"/>
            </w:tcMar>
          </w:tcPr>
          <w:p>
            <w:pPr>
              <w:jc w:val="left"/>
            </w:pPr>
            <w:r>
              <w:rPr>
                <w:rFonts w:ascii="Times New Roman" w:hAnsi="Times New Roman"/>
                <w:sz w:val="19"/>
              </w:rPr>
              <w:t>5</w:t>
            </w:r>
          </w:p>
        </w:tc>
        <w:tc>
          <w:tcPr>
            <w:tcW w:type="dxa" w:w="2592"/>
            <w:shd w:fill="FFFFFF"/>
            <w:tcMar>
              <w:top w:w="80" w:type="dxa"/>
              <w:bottom w:w="80" w:type="dxa"/>
              <w:left w:w="120" w:type="dxa"/>
              <w:right w:w="120" w:type="dxa"/>
            </w:tcMar>
          </w:tcPr>
          <w:p>
            <w:pPr>
              <w:jc w:val="center"/>
            </w:pPr>
            <w:r>
              <w:rPr>
                <w:rFonts w:ascii="Times New Roman" w:hAnsi="Times New Roman"/>
                <w:sz w:val="19"/>
              </w:rPr>
              <w:t>same_srv_rate</w:t>
            </w:r>
          </w:p>
        </w:tc>
        <w:tc>
          <w:tcPr>
            <w:tcW w:type="dxa" w:w="1872"/>
            <w:shd w:fill="FFFFFF"/>
            <w:tcMar>
              <w:top w:w="80" w:type="dxa"/>
              <w:bottom w:w="80" w:type="dxa"/>
              <w:left w:w="120" w:type="dxa"/>
              <w:right w:w="120" w:type="dxa"/>
            </w:tcMar>
          </w:tcPr>
          <w:p>
            <w:pPr>
              <w:jc w:val="center"/>
            </w:pPr>
            <w:r>
              <w:rPr>
                <w:rFonts w:ascii="Times New Roman" w:hAnsi="Times New Roman"/>
                <w:sz w:val="19"/>
              </w:rPr>
              <w:t>Traffic Pattern</w:t>
            </w:r>
          </w:p>
        </w:tc>
        <w:tc>
          <w:tcPr>
            <w:tcW w:type="dxa" w:w="1296"/>
            <w:shd w:fill="FFFFFF"/>
            <w:tcMar>
              <w:top w:w="80" w:type="dxa"/>
              <w:bottom w:w="80" w:type="dxa"/>
              <w:left w:w="120" w:type="dxa"/>
              <w:right w:w="120" w:type="dxa"/>
            </w:tcMar>
          </w:tcPr>
          <w:p>
            <w:pPr>
              <w:jc w:val="center"/>
            </w:pPr>
            <w:r>
              <w:rPr>
                <w:rFonts w:ascii="Times New Roman" w:hAnsi="Times New Roman"/>
                <w:sz w:val="19"/>
              </w:rPr>
              <w:t>0.0894</w:t>
            </w:r>
          </w:p>
        </w:tc>
        <w:tc>
          <w:tcPr>
            <w:tcW w:type="dxa" w:w="4032"/>
            <w:shd w:fill="FFFFFF"/>
            <w:tcMar>
              <w:top w:w="80" w:type="dxa"/>
              <w:bottom w:w="80" w:type="dxa"/>
              <w:left w:w="120" w:type="dxa"/>
              <w:right w:w="120" w:type="dxa"/>
            </w:tcMar>
          </w:tcPr>
          <w:p>
            <w:pPr>
              <w:jc w:val="center"/>
            </w:pPr>
            <w:r>
              <w:rPr>
                <w:rFonts w:ascii="Times New Roman" w:hAnsi="Times New Roman"/>
                <w:sz w:val="19"/>
              </w:rPr>
              <w:t>Quantifies service repetition anomalies</w:t>
            </w:r>
          </w:p>
        </w:tc>
      </w:tr>
      <w:tr>
        <w:tc>
          <w:tcPr>
            <w:tcW w:type="dxa" w:w="864"/>
            <w:shd w:fill="F8FAFC"/>
            <w:tcMar>
              <w:top w:w="80" w:type="dxa"/>
              <w:bottom w:w="80" w:type="dxa"/>
              <w:left w:w="120" w:type="dxa"/>
              <w:right w:w="120" w:type="dxa"/>
            </w:tcMar>
          </w:tcPr>
          <w:p>
            <w:pPr>
              <w:jc w:val="left"/>
            </w:pPr>
            <w:r>
              <w:rPr>
                <w:rFonts w:ascii="Times New Roman" w:hAnsi="Times New Roman"/>
                <w:sz w:val="19"/>
              </w:rPr>
              <w:t>6</w:t>
            </w:r>
          </w:p>
        </w:tc>
        <w:tc>
          <w:tcPr>
            <w:tcW w:type="dxa" w:w="2592"/>
            <w:shd w:fill="F8FAFC"/>
            <w:tcMar>
              <w:top w:w="80" w:type="dxa"/>
              <w:bottom w:w="80" w:type="dxa"/>
              <w:left w:w="120" w:type="dxa"/>
              <w:right w:w="120" w:type="dxa"/>
            </w:tcMar>
          </w:tcPr>
          <w:p>
            <w:pPr>
              <w:jc w:val="center"/>
            </w:pPr>
            <w:r>
              <w:rPr>
                <w:rFonts w:ascii="Times New Roman" w:hAnsi="Times New Roman"/>
                <w:sz w:val="19"/>
              </w:rPr>
              <w:t>diff_srv_rate</w:t>
            </w:r>
          </w:p>
        </w:tc>
        <w:tc>
          <w:tcPr>
            <w:tcW w:type="dxa" w:w="1872"/>
            <w:shd w:fill="F8FAFC"/>
            <w:tcMar>
              <w:top w:w="80" w:type="dxa"/>
              <w:bottom w:w="80" w:type="dxa"/>
              <w:left w:w="120" w:type="dxa"/>
              <w:right w:w="120" w:type="dxa"/>
            </w:tcMar>
          </w:tcPr>
          <w:p>
            <w:pPr>
              <w:jc w:val="center"/>
            </w:pPr>
            <w:r>
              <w:rPr>
                <w:rFonts w:ascii="Times New Roman" w:hAnsi="Times New Roman"/>
                <w:sz w:val="19"/>
              </w:rPr>
              <w:t>Traffic Pattern</w:t>
            </w:r>
          </w:p>
        </w:tc>
        <w:tc>
          <w:tcPr>
            <w:tcW w:type="dxa" w:w="1296"/>
            <w:shd w:fill="F8FAFC"/>
            <w:tcMar>
              <w:top w:w="80" w:type="dxa"/>
              <w:bottom w:w="80" w:type="dxa"/>
              <w:left w:w="120" w:type="dxa"/>
              <w:right w:w="120" w:type="dxa"/>
            </w:tcMar>
          </w:tcPr>
          <w:p>
            <w:pPr>
              <w:jc w:val="center"/>
            </w:pPr>
            <w:r>
              <w:rPr>
                <w:rFonts w:ascii="Times New Roman" w:hAnsi="Times New Roman"/>
                <w:sz w:val="19"/>
              </w:rPr>
              <w:t>0.0652</w:t>
            </w:r>
          </w:p>
        </w:tc>
        <w:tc>
          <w:tcPr>
            <w:tcW w:type="dxa" w:w="4032"/>
            <w:shd w:fill="F8FAFC"/>
            <w:tcMar>
              <w:top w:w="80" w:type="dxa"/>
              <w:bottom w:w="80" w:type="dxa"/>
              <w:left w:w="120" w:type="dxa"/>
              <w:right w:w="120" w:type="dxa"/>
            </w:tcMar>
          </w:tcPr>
          <w:p>
            <w:pPr>
              <w:jc w:val="center"/>
            </w:pPr>
            <w:r>
              <w:rPr>
                <w:rFonts w:ascii="Times New Roman" w:hAnsi="Times New Roman"/>
                <w:sz w:val="19"/>
              </w:rPr>
              <w:t>Identifies multi-port scanning probes</w:t>
            </w:r>
          </w:p>
        </w:tc>
      </w:tr>
      <w:tr>
        <w:tc>
          <w:tcPr>
            <w:tcW w:type="dxa" w:w="864"/>
            <w:shd w:fill="FFFFFF"/>
            <w:tcMar>
              <w:top w:w="80" w:type="dxa"/>
              <w:bottom w:w="80" w:type="dxa"/>
              <w:left w:w="120" w:type="dxa"/>
              <w:right w:w="120" w:type="dxa"/>
            </w:tcMar>
          </w:tcPr>
          <w:p>
            <w:pPr>
              <w:jc w:val="left"/>
            </w:pPr>
            <w:r>
              <w:rPr>
                <w:rFonts w:ascii="Times New Roman" w:hAnsi="Times New Roman"/>
                <w:sz w:val="19"/>
              </w:rPr>
              <w:t>7</w:t>
            </w:r>
          </w:p>
        </w:tc>
        <w:tc>
          <w:tcPr>
            <w:tcW w:type="dxa" w:w="2592"/>
            <w:shd w:fill="FFFFFF"/>
            <w:tcMar>
              <w:top w:w="80" w:type="dxa"/>
              <w:bottom w:w="80" w:type="dxa"/>
              <w:left w:w="120" w:type="dxa"/>
              <w:right w:w="120" w:type="dxa"/>
            </w:tcMar>
          </w:tcPr>
          <w:p>
            <w:pPr>
              <w:jc w:val="center"/>
            </w:pPr>
            <w:r>
              <w:rPr>
                <w:rFonts w:ascii="Times New Roman" w:hAnsi="Times New Roman"/>
                <w:sz w:val="19"/>
              </w:rPr>
              <w:t>dst_host_diff_srv_rate</w:t>
            </w:r>
          </w:p>
        </w:tc>
        <w:tc>
          <w:tcPr>
            <w:tcW w:type="dxa" w:w="1872"/>
            <w:shd w:fill="FFFFFF"/>
            <w:tcMar>
              <w:top w:w="80" w:type="dxa"/>
              <w:bottom w:w="80" w:type="dxa"/>
              <w:left w:w="120" w:type="dxa"/>
              <w:right w:w="120" w:type="dxa"/>
            </w:tcMar>
          </w:tcPr>
          <w:p>
            <w:pPr>
              <w:jc w:val="center"/>
            </w:pPr>
            <w:r>
              <w:rPr>
                <w:rFonts w:ascii="Times New Roman" w:hAnsi="Times New Roman"/>
                <w:sz w:val="19"/>
              </w:rPr>
              <w:t>Host Behavior</w:t>
            </w:r>
          </w:p>
        </w:tc>
        <w:tc>
          <w:tcPr>
            <w:tcW w:type="dxa" w:w="1296"/>
            <w:shd w:fill="FFFFFF"/>
            <w:tcMar>
              <w:top w:w="80" w:type="dxa"/>
              <w:bottom w:w="80" w:type="dxa"/>
              <w:left w:w="120" w:type="dxa"/>
              <w:right w:w="120" w:type="dxa"/>
            </w:tcMar>
          </w:tcPr>
          <w:p>
            <w:pPr>
              <w:jc w:val="center"/>
            </w:pPr>
            <w:r>
              <w:rPr>
                <w:rFonts w:ascii="Times New Roman" w:hAnsi="Times New Roman"/>
                <w:sz w:val="19"/>
              </w:rPr>
              <w:t>0.0521</w:t>
            </w:r>
          </w:p>
        </w:tc>
        <w:tc>
          <w:tcPr>
            <w:tcW w:type="dxa" w:w="4032"/>
            <w:shd w:fill="FFFFFF"/>
            <w:tcMar>
              <w:top w:w="80" w:type="dxa"/>
              <w:bottom w:w="80" w:type="dxa"/>
              <w:left w:w="120" w:type="dxa"/>
              <w:right w:w="120" w:type="dxa"/>
            </w:tcMar>
          </w:tcPr>
          <w:p>
            <w:pPr>
              <w:jc w:val="center"/>
            </w:pPr>
            <w:r>
              <w:rPr>
                <w:rFonts w:ascii="Times New Roman" w:hAnsi="Times New Roman"/>
                <w:sz w:val="19"/>
              </w:rPr>
              <w:t>Uncovers subnet reconnaissance sweeps</w:t>
            </w:r>
          </w:p>
        </w:tc>
      </w:tr>
      <w:tr>
        <w:tc>
          <w:tcPr>
            <w:tcW w:type="dxa" w:w="864"/>
            <w:shd w:fill="F8FAFC"/>
            <w:tcMar>
              <w:top w:w="80" w:type="dxa"/>
              <w:bottom w:w="80" w:type="dxa"/>
              <w:left w:w="120" w:type="dxa"/>
              <w:right w:w="120" w:type="dxa"/>
            </w:tcMar>
          </w:tcPr>
          <w:p>
            <w:pPr>
              <w:jc w:val="left"/>
            </w:pPr>
            <w:r>
              <w:rPr>
                <w:rFonts w:ascii="Times New Roman" w:hAnsi="Times New Roman"/>
                <w:sz w:val="19"/>
              </w:rPr>
              <w:t>8</w:t>
            </w:r>
          </w:p>
        </w:tc>
        <w:tc>
          <w:tcPr>
            <w:tcW w:type="dxa" w:w="2592"/>
            <w:shd w:fill="F8FAFC"/>
            <w:tcMar>
              <w:top w:w="80" w:type="dxa"/>
              <w:bottom w:w="80" w:type="dxa"/>
              <w:left w:w="120" w:type="dxa"/>
              <w:right w:w="120" w:type="dxa"/>
            </w:tcMar>
          </w:tcPr>
          <w:p>
            <w:pPr>
              <w:jc w:val="center"/>
            </w:pPr>
            <w:r>
              <w:rPr>
                <w:rFonts w:ascii="Times New Roman" w:hAnsi="Times New Roman"/>
                <w:sz w:val="19"/>
              </w:rPr>
              <w:t>protocol_type</w:t>
            </w:r>
          </w:p>
        </w:tc>
        <w:tc>
          <w:tcPr>
            <w:tcW w:type="dxa" w:w="1872"/>
            <w:shd w:fill="F8FAFC"/>
            <w:tcMar>
              <w:top w:w="80" w:type="dxa"/>
              <w:bottom w:w="80" w:type="dxa"/>
              <w:left w:w="120" w:type="dxa"/>
              <w:right w:w="120" w:type="dxa"/>
            </w:tcMar>
          </w:tcPr>
          <w:p>
            <w:pPr>
              <w:jc w:val="center"/>
            </w:pPr>
            <w:r>
              <w:rPr>
                <w:rFonts w:ascii="Times New Roman" w:hAnsi="Times New Roman"/>
                <w:sz w:val="19"/>
              </w:rPr>
              <w:t>Network Layer</w:t>
            </w:r>
          </w:p>
        </w:tc>
        <w:tc>
          <w:tcPr>
            <w:tcW w:type="dxa" w:w="1296"/>
            <w:shd w:fill="F8FAFC"/>
            <w:tcMar>
              <w:top w:w="80" w:type="dxa"/>
              <w:bottom w:w="80" w:type="dxa"/>
              <w:left w:w="120" w:type="dxa"/>
              <w:right w:w="120" w:type="dxa"/>
            </w:tcMar>
          </w:tcPr>
          <w:p>
            <w:pPr>
              <w:jc w:val="center"/>
            </w:pPr>
            <w:r>
              <w:rPr>
                <w:rFonts w:ascii="Times New Roman" w:hAnsi="Times New Roman"/>
                <w:sz w:val="19"/>
              </w:rPr>
              <w:t>0.0412</w:t>
            </w:r>
          </w:p>
        </w:tc>
        <w:tc>
          <w:tcPr>
            <w:tcW w:type="dxa" w:w="4032"/>
            <w:shd w:fill="F8FAFC"/>
            <w:tcMar>
              <w:top w:w="80" w:type="dxa"/>
              <w:bottom w:w="80" w:type="dxa"/>
              <w:left w:w="120" w:type="dxa"/>
              <w:right w:w="120" w:type="dxa"/>
            </w:tcMar>
          </w:tcPr>
          <w:p>
            <w:pPr>
              <w:jc w:val="center"/>
            </w:pPr>
            <w:r>
              <w:rPr>
                <w:rFonts w:ascii="Times New Roman" w:hAnsi="Times New Roman"/>
                <w:sz w:val="19"/>
              </w:rPr>
              <w:t>Partitions TCP, UDP, and ICMP streams</w:t>
            </w:r>
          </w:p>
        </w:tc>
      </w:tr>
      <w:tr>
        <w:tc>
          <w:tcPr>
            <w:tcW w:type="dxa" w:w="864"/>
            <w:shd w:fill="FFFFFF"/>
            <w:tcMar>
              <w:top w:w="80" w:type="dxa"/>
              <w:bottom w:w="80" w:type="dxa"/>
              <w:left w:w="120" w:type="dxa"/>
              <w:right w:w="120" w:type="dxa"/>
            </w:tcMar>
          </w:tcPr>
          <w:p>
            <w:pPr>
              <w:jc w:val="left"/>
            </w:pPr>
            <w:r>
              <w:rPr>
                <w:rFonts w:ascii="Times New Roman" w:hAnsi="Times New Roman"/>
                <w:sz w:val="19"/>
              </w:rPr>
              <w:t>9</w:t>
            </w:r>
          </w:p>
        </w:tc>
        <w:tc>
          <w:tcPr>
            <w:tcW w:type="dxa" w:w="2592"/>
            <w:shd w:fill="FFFFFF"/>
            <w:tcMar>
              <w:top w:w="80" w:type="dxa"/>
              <w:bottom w:w="80" w:type="dxa"/>
              <w:left w:w="120" w:type="dxa"/>
              <w:right w:w="120" w:type="dxa"/>
            </w:tcMar>
          </w:tcPr>
          <w:p>
            <w:pPr>
              <w:jc w:val="center"/>
            </w:pPr>
            <w:r>
              <w:rPr>
                <w:rFonts w:ascii="Times New Roman" w:hAnsi="Times New Roman"/>
                <w:sz w:val="19"/>
              </w:rPr>
              <w:t>hot</w:t>
            </w:r>
          </w:p>
        </w:tc>
        <w:tc>
          <w:tcPr>
            <w:tcW w:type="dxa" w:w="1872"/>
            <w:shd w:fill="FFFFFF"/>
            <w:tcMar>
              <w:top w:w="80" w:type="dxa"/>
              <w:bottom w:w="80" w:type="dxa"/>
              <w:left w:w="120" w:type="dxa"/>
              <w:right w:w="120" w:type="dxa"/>
            </w:tcMar>
          </w:tcPr>
          <w:p>
            <w:pPr>
              <w:jc w:val="center"/>
            </w:pPr>
            <w:r>
              <w:rPr>
                <w:rFonts w:ascii="Times New Roman" w:hAnsi="Times New Roman"/>
                <w:sz w:val="19"/>
              </w:rPr>
              <w:t>System Access</w:t>
            </w:r>
          </w:p>
        </w:tc>
        <w:tc>
          <w:tcPr>
            <w:tcW w:type="dxa" w:w="1296"/>
            <w:shd w:fill="FFFFFF"/>
            <w:tcMar>
              <w:top w:w="80" w:type="dxa"/>
              <w:bottom w:w="80" w:type="dxa"/>
              <w:left w:w="120" w:type="dxa"/>
              <w:right w:w="120" w:type="dxa"/>
            </w:tcMar>
          </w:tcPr>
          <w:p>
            <w:pPr>
              <w:jc w:val="center"/>
            </w:pPr>
            <w:r>
              <w:rPr>
                <w:rFonts w:ascii="Times New Roman" w:hAnsi="Times New Roman"/>
                <w:sz w:val="19"/>
              </w:rPr>
              <w:t>0.0278</w:t>
            </w:r>
          </w:p>
        </w:tc>
        <w:tc>
          <w:tcPr>
            <w:tcW w:type="dxa" w:w="4032"/>
            <w:shd w:fill="FFFFFF"/>
            <w:tcMar>
              <w:top w:w="80" w:type="dxa"/>
              <w:bottom w:w="80" w:type="dxa"/>
              <w:left w:w="120" w:type="dxa"/>
              <w:right w:w="120" w:type="dxa"/>
            </w:tcMar>
          </w:tcPr>
          <w:p>
            <w:pPr>
              <w:jc w:val="center"/>
            </w:pPr>
            <w:r>
              <w:rPr>
                <w:rFonts w:ascii="Times New Roman" w:hAnsi="Times New Roman"/>
                <w:sz w:val="19"/>
              </w:rPr>
              <w:t>Flags access to critical SCADA directories</w:t>
            </w:r>
          </w:p>
        </w:tc>
      </w:tr>
      <w:tr>
        <w:tc>
          <w:tcPr>
            <w:tcW w:type="dxa" w:w="864"/>
            <w:shd w:fill="F8FAFC"/>
            <w:tcMar>
              <w:top w:w="80" w:type="dxa"/>
              <w:bottom w:w="80" w:type="dxa"/>
              <w:left w:w="120" w:type="dxa"/>
              <w:right w:w="120" w:type="dxa"/>
            </w:tcMar>
          </w:tcPr>
          <w:p>
            <w:pPr>
              <w:jc w:val="left"/>
            </w:pPr>
            <w:r>
              <w:rPr>
                <w:rFonts w:ascii="Times New Roman" w:hAnsi="Times New Roman"/>
                <w:sz w:val="19"/>
              </w:rPr>
              <w:t>10</w:t>
            </w:r>
          </w:p>
        </w:tc>
        <w:tc>
          <w:tcPr>
            <w:tcW w:type="dxa" w:w="2592"/>
            <w:shd w:fill="F8FAFC"/>
            <w:tcMar>
              <w:top w:w="80" w:type="dxa"/>
              <w:bottom w:w="80" w:type="dxa"/>
              <w:left w:w="120" w:type="dxa"/>
              <w:right w:w="120" w:type="dxa"/>
            </w:tcMar>
          </w:tcPr>
          <w:p>
            <w:pPr>
              <w:jc w:val="center"/>
            </w:pPr>
            <w:r>
              <w:rPr>
                <w:rFonts w:ascii="Times New Roman" w:hAnsi="Times New Roman"/>
                <w:sz w:val="19"/>
              </w:rPr>
              <w:t>su_attempted</w:t>
            </w:r>
          </w:p>
        </w:tc>
        <w:tc>
          <w:tcPr>
            <w:tcW w:type="dxa" w:w="1872"/>
            <w:shd w:fill="F8FAFC"/>
            <w:tcMar>
              <w:top w:w="80" w:type="dxa"/>
              <w:bottom w:w="80" w:type="dxa"/>
              <w:left w:w="120" w:type="dxa"/>
              <w:right w:w="120" w:type="dxa"/>
            </w:tcMar>
          </w:tcPr>
          <w:p>
            <w:pPr>
              <w:jc w:val="center"/>
            </w:pPr>
            <w:r>
              <w:rPr>
                <w:rFonts w:ascii="Times New Roman" w:hAnsi="Times New Roman"/>
                <w:sz w:val="19"/>
              </w:rPr>
              <w:t>Privilege Escalation</w:t>
            </w:r>
          </w:p>
        </w:tc>
        <w:tc>
          <w:tcPr>
            <w:tcW w:type="dxa" w:w="1296"/>
            <w:shd w:fill="F8FAFC"/>
            <w:tcMar>
              <w:top w:w="80" w:type="dxa"/>
              <w:bottom w:w="80" w:type="dxa"/>
              <w:left w:w="120" w:type="dxa"/>
              <w:right w:w="120" w:type="dxa"/>
            </w:tcMar>
          </w:tcPr>
          <w:p>
            <w:pPr>
              <w:jc w:val="center"/>
            </w:pPr>
            <w:r>
              <w:rPr>
                <w:rFonts w:ascii="Times New Roman" w:hAnsi="Times New Roman"/>
                <w:sz w:val="19"/>
              </w:rPr>
              <w:t>0.0205</w:t>
            </w:r>
          </w:p>
        </w:tc>
        <w:tc>
          <w:tcPr>
            <w:tcW w:type="dxa" w:w="4032"/>
            <w:shd w:fill="F8FAFC"/>
            <w:tcMar>
              <w:top w:w="80" w:type="dxa"/>
              <w:bottom w:w="80" w:type="dxa"/>
              <w:left w:w="120" w:type="dxa"/>
              <w:right w:w="120" w:type="dxa"/>
            </w:tcMar>
          </w:tcPr>
          <w:p>
            <w:pPr>
              <w:jc w:val="center"/>
            </w:pPr>
            <w:r>
              <w:rPr>
                <w:rFonts w:ascii="Times New Roman" w:hAnsi="Times New Roman"/>
                <w:sz w:val="19"/>
              </w:rPr>
              <w:t>Detects unauthorized root/admin privilege escalation</w:t>
            </w:r>
          </w:p>
        </w:tc>
      </w:tr>
    </w:tbl>
    <w:p>
      <w:pPr>
        <w:spacing w:after="160"/>
      </w:pPr>
    </w:p>
    <w:p>
      <w:pPr>
        <w:keepNext/>
        <w:spacing w:before="280" w:after="120"/>
      </w:pPr>
      <w:r>
        <w:rPr>
          <w:rFonts w:ascii="Arial" w:hAnsi="Arial"/>
          <w:b/>
          <w:color w:val="0F172A"/>
          <w:sz w:val="24"/>
        </w:rPr>
        <w:t>4.3 Model Classification Performance &amp; Benchmark Evaluations</w:t>
      </w:r>
    </w:p>
    <w:p>
      <w:pPr>
        <w:spacing w:line="324" w:lineRule="auto" w:after="120"/>
        <w:jc w:val="both"/>
      </w:pPr>
      <w:r>
        <w:rPr>
          <w:rFonts w:ascii="Times New Roman" w:hAnsi="Times New Roman"/>
          <w:sz w:val="22"/>
        </w:rPr>
        <w:t>The hybrid CNN-LSTM model was trained on the 10 BWOA-selected features using the NSL-KDD KDDTrain+ dataset (125,973 samples) and evaluated on the held-out KDDTest+ set (22,544 samples). Training utilized the Adam optimizer (lr=0.001), balanced class weighting, and early stopping with best weight restoration.</w:t>
      </w:r>
    </w:p>
    <w:p>
      <w:pPr>
        <w:spacing w:before="160" w:after="80"/>
        <w:jc w:val="center"/>
      </w:pPr>
      <w:r>
        <w:drawing>
          <wp:inline xmlns:a="http://schemas.openxmlformats.org/drawingml/2006/main" xmlns:pic="http://schemas.openxmlformats.org/drawingml/2006/picture">
            <wp:extent cx="5120640" cy="1828800"/>
            <wp:docPr id="10" name="Picture 10"/>
            <wp:cNvGraphicFramePr>
              <a:graphicFrameLocks noChangeAspect="1"/>
            </wp:cNvGraphicFramePr>
            <a:graphic>
              <a:graphicData uri="http://schemas.openxmlformats.org/drawingml/2006/picture">
                <pic:pic>
                  <pic:nvPicPr>
                    <pic:cNvPr id="0" name="training_curves.png"/>
                    <pic:cNvPicPr/>
                  </pic:nvPicPr>
                  <pic:blipFill>
                    <a:blip r:embed="rId18"/>
                    <a:stretch>
                      <a:fillRect/>
                    </a:stretch>
                  </pic:blipFill>
                  <pic:spPr>
                    <a:xfrm>
                      <a:off x="0" y="0"/>
                      <a:ext cx="5120640" cy="1828800"/>
                    </a:xfrm>
                    <a:prstGeom prst="rect"/>
                  </pic:spPr>
                </pic:pic>
              </a:graphicData>
            </a:graphic>
          </wp:inline>
        </w:drawing>
      </w:r>
    </w:p>
    <w:p>
      <w:pPr>
        <w:spacing w:after="240"/>
        <w:jc w:val="center"/>
      </w:pPr>
      <w:r>
        <w:rPr>
          <w:rFonts w:ascii="Times New Roman" w:hAnsi="Times New Roman"/>
          <w:i/>
          <w:color w:val="475569"/>
          <w:sz w:val="19"/>
        </w:rPr>
        <w:t>Figure 4.3: CNN-LSTM Loss and Accuracy Convergence History During Training</w:t>
      </w:r>
    </w:p>
    <w:p>
      <w:pPr>
        <w:spacing w:before="160" w:after="80"/>
        <w:jc w:val="center"/>
      </w:pPr>
      <w:r>
        <w:drawing>
          <wp:inline xmlns:a="http://schemas.openxmlformats.org/drawingml/2006/main" xmlns:pic="http://schemas.openxmlformats.org/drawingml/2006/picture">
            <wp:extent cx="5120640" cy="5120640"/>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120640" cy="5120640"/>
                    </a:xfrm>
                    <a:prstGeom prst="rect"/>
                  </pic:spPr>
                </pic:pic>
              </a:graphicData>
            </a:graphic>
          </wp:inline>
        </w:drawing>
      </w:r>
    </w:p>
    <w:p>
      <w:pPr>
        <w:spacing w:after="240"/>
        <w:jc w:val="center"/>
      </w:pPr>
      <w:r>
        <w:rPr>
          <w:rFonts w:ascii="Times New Roman" w:hAnsi="Times New Roman"/>
          <w:i/>
          <w:color w:val="475569"/>
          <w:sz w:val="19"/>
        </w:rPr>
        <w:t>Figure 4.4: Multi-Class Confusion Matrix on KDDTest+ (22,544 Samples)</w:t>
      </w:r>
    </w:p>
    <w:p>
      <w:pPr>
        <w:spacing w:before="160" w:after="80"/>
        <w:jc w:val="center"/>
      </w:pPr>
      <w:r>
        <w:drawing>
          <wp:inline xmlns:a="http://schemas.openxmlformats.org/drawingml/2006/main" xmlns:pic="http://schemas.openxmlformats.org/drawingml/2006/picture">
            <wp:extent cx="5120640" cy="3840480"/>
            <wp:docPr id="12" name="Picture 12"/>
            <wp:cNvGraphicFramePr>
              <a:graphicFrameLocks noChangeAspect="1"/>
            </wp:cNvGraphicFramePr>
            <a:graphic>
              <a:graphicData uri="http://schemas.openxmlformats.org/drawingml/2006/picture">
                <pic:pic>
                  <pic:nvPicPr>
                    <pic:cNvPr id="0" name="roc_auc_curves.png"/>
                    <pic:cNvPicPr/>
                  </pic:nvPicPr>
                  <pic:blipFill>
                    <a:blip r:embed="rId20"/>
                    <a:stretch>
                      <a:fillRect/>
                    </a:stretch>
                  </pic:blipFill>
                  <pic:spPr>
                    <a:xfrm>
                      <a:off x="0" y="0"/>
                      <a:ext cx="5120640" cy="3840480"/>
                    </a:xfrm>
                    <a:prstGeom prst="rect"/>
                  </pic:spPr>
                </pic:pic>
              </a:graphicData>
            </a:graphic>
          </wp:inline>
        </w:drawing>
      </w:r>
    </w:p>
    <w:p>
      <w:pPr>
        <w:spacing w:after="240"/>
        <w:jc w:val="center"/>
      </w:pPr>
      <w:r>
        <w:rPr>
          <w:rFonts w:ascii="Times New Roman" w:hAnsi="Times New Roman"/>
          <w:i/>
          <w:color w:val="475569"/>
          <w:sz w:val="19"/>
        </w:rPr>
        <w:t>Figure 4.5: Multi-Class Receiver Operating Characteristic (ROC) Curves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3024"/>
            <w:shd w:fill="00529B"/>
            <w:tcMar>
              <w:top w:w="120" w:type="dxa"/>
              <w:bottom w:w="120" w:type="dxa"/>
              <w:left w:w="140" w:type="dxa"/>
              <w:right w:w="140" w:type="dxa"/>
            </w:tcMar>
          </w:tcPr>
          <w:p>
            <w:pPr>
              <w:jc w:val="center"/>
            </w:pPr>
            <w:r>
              <w:rPr>
                <w:rFonts w:ascii="Arial" w:hAnsi="Arial"/>
                <w:b/>
                <w:color w:val="FFFFFF"/>
                <w:sz w:val="19"/>
              </w:rPr>
              <w:t>Model Architecture</w:t>
            </w:r>
          </w:p>
        </w:tc>
        <w:tc>
          <w:tcPr>
            <w:tcW w:type="dxa" w:w="1440"/>
            <w:shd w:fill="00529B"/>
            <w:tcMar>
              <w:top w:w="120" w:type="dxa"/>
              <w:bottom w:w="120" w:type="dxa"/>
              <w:left w:w="140" w:type="dxa"/>
              <w:right w:w="140" w:type="dxa"/>
            </w:tcMar>
          </w:tcPr>
          <w:p>
            <w:pPr>
              <w:jc w:val="center"/>
            </w:pPr>
            <w:r>
              <w:rPr>
                <w:rFonts w:ascii="Arial" w:hAnsi="Arial"/>
                <w:b/>
                <w:color w:val="FFFFFF"/>
                <w:sz w:val="19"/>
              </w:rPr>
              <w:t>Dataset</w:t>
            </w:r>
          </w:p>
        </w:tc>
        <w:tc>
          <w:tcPr>
            <w:tcW w:type="dxa" w:w="1008"/>
            <w:shd w:fill="00529B"/>
            <w:tcMar>
              <w:top w:w="120" w:type="dxa"/>
              <w:bottom w:w="120" w:type="dxa"/>
              <w:left w:w="140" w:type="dxa"/>
              <w:right w:w="140" w:type="dxa"/>
            </w:tcMar>
          </w:tcPr>
          <w:p>
            <w:pPr>
              <w:jc w:val="center"/>
            </w:pPr>
            <w:r>
              <w:rPr>
                <w:rFonts w:ascii="Arial" w:hAnsi="Arial"/>
                <w:b/>
                <w:color w:val="FFFFFF"/>
                <w:sz w:val="19"/>
              </w:rPr>
              <w:t>Features</w:t>
            </w:r>
          </w:p>
        </w:tc>
        <w:tc>
          <w:tcPr>
            <w:tcW w:type="dxa" w:w="1296"/>
            <w:shd w:fill="00529B"/>
            <w:tcMar>
              <w:top w:w="120" w:type="dxa"/>
              <w:bottom w:w="120" w:type="dxa"/>
              <w:left w:w="140" w:type="dxa"/>
              <w:right w:w="140" w:type="dxa"/>
            </w:tcMar>
          </w:tcPr>
          <w:p>
            <w:pPr>
              <w:jc w:val="center"/>
            </w:pPr>
            <w:r>
              <w:rPr>
                <w:rFonts w:ascii="Arial" w:hAnsi="Arial"/>
                <w:b/>
                <w:color w:val="FFFFFF"/>
                <w:sz w:val="19"/>
              </w:rPr>
              <w:t>Accuracy</w:t>
            </w:r>
          </w:p>
        </w:tc>
        <w:tc>
          <w:tcPr>
            <w:tcW w:type="dxa" w:w="1296"/>
            <w:shd w:fill="00529B"/>
            <w:tcMar>
              <w:top w:w="120" w:type="dxa"/>
              <w:bottom w:w="120" w:type="dxa"/>
              <w:left w:w="140" w:type="dxa"/>
              <w:right w:w="140" w:type="dxa"/>
            </w:tcMar>
          </w:tcPr>
          <w:p>
            <w:pPr>
              <w:jc w:val="center"/>
            </w:pPr>
            <w:r>
              <w:rPr>
                <w:rFonts w:ascii="Arial" w:hAnsi="Arial"/>
                <w:b/>
                <w:color w:val="FFFFFF"/>
                <w:sz w:val="19"/>
              </w:rPr>
              <w:t>Macro F1</w:t>
            </w:r>
          </w:p>
        </w:tc>
        <w:tc>
          <w:tcPr>
            <w:tcW w:type="dxa" w:w="1296"/>
            <w:shd w:fill="00529B"/>
            <w:tcMar>
              <w:top w:w="120" w:type="dxa"/>
              <w:bottom w:w="120" w:type="dxa"/>
              <w:left w:w="140" w:type="dxa"/>
              <w:right w:w="140" w:type="dxa"/>
            </w:tcMar>
          </w:tcPr>
          <w:p>
            <w:pPr>
              <w:jc w:val="center"/>
            </w:pPr>
            <w:r>
              <w:rPr>
                <w:rFonts w:ascii="Arial" w:hAnsi="Arial"/>
                <w:b/>
                <w:color w:val="FFFFFF"/>
                <w:sz w:val="19"/>
              </w:rPr>
              <w:t>AUC-ROC</w:t>
            </w:r>
          </w:p>
        </w:tc>
        <w:tc>
          <w:tcPr>
            <w:tcW w:type="dxa" w:w="1296"/>
            <w:shd w:fill="00529B"/>
            <w:tcMar>
              <w:top w:w="120" w:type="dxa"/>
              <w:bottom w:w="120" w:type="dxa"/>
              <w:left w:w="140" w:type="dxa"/>
              <w:right w:w="140" w:type="dxa"/>
            </w:tcMar>
          </w:tcPr>
          <w:p>
            <w:pPr>
              <w:jc w:val="center"/>
            </w:pPr>
            <w:r>
              <w:rPr>
                <w:rFonts w:ascii="Arial" w:hAnsi="Arial"/>
                <w:b/>
                <w:color w:val="FFFFFF"/>
                <w:sz w:val="19"/>
              </w:rPr>
              <w:t>Latency</w:t>
            </w:r>
          </w:p>
        </w:tc>
        <w:tc>
          <w:tcPr>
            <w:tcW w:type="dxa" w:w="1296"/>
            <w:shd w:fill="00529B"/>
            <w:tcMar>
              <w:top w:w="120" w:type="dxa"/>
              <w:bottom w:w="120" w:type="dxa"/>
              <w:left w:w="140" w:type="dxa"/>
              <w:right w:w="140" w:type="dxa"/>
            </w:tcMar>
          </w:tcPr>
          <w:p>
            <w:pPr>
              <w:jc w:val="center"/>
            </w:pPr>
            <w:r>
              <w:rPr>
                <w:rFonts w:ascii="Arial" w:hAnsi="Arial"/>
                <w:b/>
                <w:color w:val="FFFFFF"/>
                <w:sz w:val="19"/>
              </w:rPr>
              <w:t>Model Size</w:t>
            </w:r>
          </w:p>
        </w:tc>
        <w:tc>
          <w:tcPr>
            <w:tcW w:type="dxa" w:w="1152"/>
            <w:shd w:fill="00529B"/>
            <w:tcMar>
              <w:top w:w="120" w:type="dxa"/>
              <w:bottom w:w="120" w:type="dxa"/>
              <w:left w:w="140" w:type="dxa"/>
              <w:right w:w="140" w:type="dxa"/>
            </w:tcMar>
          </w:tcPr>
          <w:p>
            <w:pPr>
              <w:jc w:val="center"/>
            </w:pPr>
            <w:r>
              <w:rPr>
                <w:rFonts w:ascii="Arial" w:hAnsi="Arial"/>
                <w:b/>
                <w:color w:val="FFFFFF"/>
                <w:sz w:val="19"/>
              </w:rPr>
              <w:t>Status</w:t>
            </w:r>
          </w:p>
        </w:tc>
      </w:tr>
      <w:tr>
        <w:tc>
          <w:tcPr>
            <w:tcW w:type="dxa" w:w="3024"/>
            <w:shd w:fill="FFFFFF"/>
            <w:tcMar>
              <w:top w:w="80" w:type="dxa"/>
              <w:bottom w:w="80" w:type="dxa"/>
              <w:left w:w="120" w:type="dxa"/>
              <w:right w:w="120" w:type="dxa"/>
            </w:tcMar>
          </w:tcPr>
          <w:p>
            <w:pPr>
              <w:jc w:val="left"/>
            </w:pPr>
            <w:r>
              <w:rPr>
                <w:rFonts w:ascii="Times New Roman" w:hAnsi="Times New Roman"/>
                <w:sz w:val="19"/>
              </w:rPr>
              <w:t>CNN-LSTM Baseline</w:t>
            </w:r>
          </w:p>
        </w:tc>
        <w:tc>
          <w:tcPr>
            <w:tcW w:type="dxa" w:w="1440"/>
            <w:shd w:fill="FFFFFF"/>
            <w:tcMar>
              <w:top w:w="80" w:type="dxa"/>
              <w:bottom w:w="80" w:type="dxa"/>
              <w:left w:w="120" w:type="dxa"/>
              <w:right w:w="120" w:type="dxa"/>
            </w:tcMar>
          </w:tcPr>
          <w:p>
            <w:pPr>
              <w:jc w:val="center"/>
            </w:pPr>
            <w:r>
              <w:rPr>
                <w:rFonts w:ascii="Times New Roman" w:hAnsi="Times New Roman"/>
                <w:sz w:val="19"/>
              </w:rPr>
              <w:t>NSL-KDD</w:t>
            </w:r>
          </w:p>
        </w:tc>
        <w:tc>
          <w:tcPr>
            <w:tcW w:type="dxa" w:w="1008"/>
            <w:shd w:fill="FFFFFF"/>
            <w:tcMar>
              <w:top w:w="80" w:type="dxa"/>
              <w:bottom w:w="80" w:type="dxa"/>
              <w:left w:w="120" w:type="dxa"/>
              <w:right w:w="120" w:type="dxa"/>
            </w:tcMar>
          </w:tcPr>
          <w:p>
            <w:pPr>
              <w:jc w:val="center"/>
            </w:pPr>
            <w:r>
              <w:rPr>
                <w:rFonts w:ascii="Times New Roman" w:hAnsi="Times New Roman"/>
                <w:sz w:val="19"/>
              </w:rPr>
              <w:t>41</w:t>
            </w:r>
          </w:p>
        </w:tc>
        <w:tc>
          <w:tcPr>
            <w:tcW w:type="dxa" w:w="1296"/>
            <w:shd w:fill="FFFFFF"/>
            <w:tcMar>
              <w:top w:w="80" w:type="dxa"/>
              <w:bottom w:w="80" w:type="dxa"/>
              <w:left w:w="120" w:type="dxa"/>
              <w:right w:w="120" w:type="dxa"/>
            </w:tcMar>
          </w:tcPr>
          <w:p>
            <w:pPr>
              <w:jc w:val="center"/>
            </w:pPr>
            <w:r>
              <w:rPr>
                <w:rFonts w:ascii="Times New Roman" w:hAnsi="Times New Roman"/>
                <w:sz w:val="19"/>
              </w:rPr>
              <w:t>77.70%</w:t>
            </w:r>
          </w:p>
        </w:tc>
        <w:tc>
          <w:tcPr>
            <w:tcW w:type="dxa" w:w="1296"/>
            <w:shd w:fill="FFFFFF"/>
            <w:tcMar>
              <w:top w:w="80" w:type="dxa"/>
              <w:bottom w:w="80" w:type="dxa"/>
              <w:left w:w="120" w:type="dxa"/>
              <w:right w:w="120" w:type="dxa"/>
            </w:tcMar>
          </w:tcPr>
          <w:p>
            <w:pPr>
              <w:jc w:val="center"/>
            </w:pPr>
            <w:r>
              <w:rPr>
                <w:rFonts w:ascii="Times New Roman" w:hAnsi="Times New Roman"/>
                <w:sz w:val="19"/>
              </w:rPr>
              <w:t>0.7571</w:t>
            </w:r>
          </w:p>
        </w:tc>
        <w:tc>
          <w:tcPr>
            <w:tcW w:type="dxa" w:w="1296"/>
            <w:shd w:fill="FFFFFF"/>
            <w:tcMar>
              <w:top w:w="80" w:type="dxa"/>
              <w:bottom w:w="80" w:type="dxa"/>
              <w:left w:w="120" w:type="dxa"/>
              <w:right w:w="120" w:type="dxa"/>
            </w:tcMar>
          </w:tcPr>
          <w:p>
            <w:pPr>
              <w:jc w:val="center"/>
            </w:pPr>
            <w:r>
              <w:rPr>
                <w:rFonts w:ascii="Times New Roman" w:hAnsi="Times New Roman"/>
                <w:sz w:val="19"/>
              </w:rPr>
              <w:t>0.9359</w:t>
            </w:r>
          </w:p>
        </w:tc>
        <w:tc>
          <w:tcPr>
            <w:tcW w:type="dxa" w:w="1296"/>
            <w:shd w:fill="FFFFFF"/>
            <w:tcMar>
              <w:top w:w="80" w:type="dxa"/>
              <w:bottom w:w="80" w:type="dxa"/>
              <w:left w:w="120" w:type="dxa"/>
              <w:right w:w="120" w:type="dxa"/>
            </w:tcMar>
          </w:tcPr>
          <w:p>
            <w:pPr>
              <w:jc w:val="center"/>
            </w:pPr>
            <w:r>
              <w:rPr>
                <w:rFonts w:ascii="Times New Roman" w:hAnsi="Times New Roman"/>
                <w:sz w:val="19"/>
              </w:rPr>
              <w:t>157.66 ms</w:t>
            </w:r>
          </w:p>
        </w:tc>
        <w:tc>
          <w:tcPr>
            <w:tcW w:type="dxa" w:w="1296"/>
            <w:shd w:fill="FFFFFF"/>
            <w:tcMar>
              <w:top w:w="80" w:type="dxa"/>
              <w:bottom w:w="80" w:type="dxa"/>
              <w:left w:w="120" w:type="dxa"/>
              <w:right w:w="120" w:type="dxa"/>
            </w:tcMar>
          </w:tcPr>
          <w:p>
            <w:pPr>
              <w:jc w:val="center"/>
            </w:pPr>
            <w:r>
              <w:rPr>
                <w:rFonts w:ascii="Times New Roman" w:hAnsi="Times New Roman"/>
                <w:sz w:val="19"/>
              </w:rPr>
              <w:t>1.86 MB</w:t>
            </w:r>
          </w:p>
        </w:tc>
        <w:tc>
          <w:tcPr>
            <w:tcW w:type="dxa" w:w="1152"/>
            <w:shd w:fill="FFFFFF"/>
            <w:tcMar>
              <w:top w:w="80" w:type="dxa"/>
              <w:bottom w:w="80" w:type="dxa"/>
              <w:left w:w="120" w:type="dxa"/>
              <w:right w:w="120" w:type="dxa"/>
            </w:tcMar>
          </w:tcPr>
          <w:p>
            <w:pPr>
              <w:jc w:val="center"/>
            </w:pPr>
            <w:r>
              <w:rPr>
                <w:rFonts w:ascii="Times New Roman" w:hAnsi="Times New Roman"/>
                <w:sz w:val="19"/>
              </w:rPr>
              <w:t>Confirmed</w:t>
            </w:r>
          </w:p>
        </w:tc>
      </w:tr>
      <w:tr>
        <w:tc>
          <w:tcPr>
            <w:tcW w:type="dxa" w:w="3024"/>
            <w:shd w:fill="F8FAFC"/>
            <w:tcMar>
              <w:top w:w="80" w:type="dxa"/>
              <w:bottom w:w="80" w:type="dxa"/>
              <w:left w:w="120" w:type="dxa"/>
              <w:right w:w="120" w:type="dxa"/>
            </w:tcMar>
          </w:tcPr>
          <w:p>
            <w:pPr>
              <w:jc w:val="left"/>
            </w:pPr>
            <w:r>
              <w:rPr>
                <w:rFonts w:ascii="Times New Roman" w:hAnsi="Times New Roman"/>
                <w:sz w:val="19"/>
              </w:rPr>
              <w:t>CNN-LSTM + BWOA v3 (Keras)</w:t>
            </w:r>
          </w:p>
        </w:tc>
        <w:tc>
          <w:tcPr>
            <w:tcW w:type="dxa" w:w="1440"/>
            <w:shd w:fill="F8FAFC"/>
            <w:tcMar>
              <w:top w:w="80" w:type="dxa"/>
              <w:bottom w:w="80" w:type="dxa"/>
              <w:left w:w="120" w:type="dxa"/>
              <w:right w:w="120" w:type="dxa"/>
            </w:tcMar>
          </w:tcPr>
          <w:p>
            <w:pPr>
              <w:jc w:val="center"/>
            </w:pPr>
            <w:r>
              <w:rPr>
                <w:rFonts w:ascii="Times New Roman" w:hAnsi="Times New Roman"/>
                <w:sz w:val="19"/>
              </w:rPr>
              <w:t>NSL-KDD</w:t>
            </w:r>
          </w:p>
        </w:tc>
        <w:tc>
          <w:tcPr>
            <w:tcW w:type="dxa" w:w="1008"/>
            <w:shd w:fill="F8FAFC"/>
            <w:tcMar>
              <w:top w:w="80" w:type="dxa"/>
              <w:bottom w:w="80" w:type="dxa"/>
              <w:left w:w="120" w:type="dxa"/>
              <w:right w:w="120" w:type="dxa"/>
            </w:tcMar>
          </w:tcPr>
          <w:p>
            <w:pPr>
              <w:jc w:val="center"/>
            </w:pPr>
            <w:r>
              <w:rPr>
                <w:rFonts w:ascii="Times New Roman" w:hAnsi="Times New Roman"/>
                <w:sz w:val="19"/>
              </w:rPr>
              <w:t>10</w:t>
            </w:r>
          </w:p>
        </w:tc>
        <w:tc>
          <w:tcPr>
            <w:tcW w:type="dxa" w:w="1296"/>
            <w:shd w:fill="F8FAFC"/>
            <w:tcMar>
              <w:top w:w="80" w:type="dxa"/>
              <w:bottom w:w="80" w:type="dxa"/>
              <w:left w:w="120" w:type="dxa"/>
              <w:right w:w="120" w:type="dxa"/>
            </w:tcMar>
          </w:tcPr>
          <w:p>
            <w:pPr>
              <w:jc w:val="center"/>
            </w:pPr>
            <w:r>
              <w:rPr>
                <w:rFonts w:ascii="Times New Roman" w:hAnsi="Times New Roman"/>
                <w:sz w:val="19"/>
              </w:rPr>
              <w:t>70.56%</w:t>
            </w:r>
          </w:p>
        </w:tc>
        <w:tc>
          <w:tcPr>
            <w:tcW w:type="dxa" w:w="1296"/>
            <w:shd w:fill="F8FAFC"/>
            <w:tcMar>
              <w:top w:w="80" w:type="dxa"/>
              <w:bottom w:w="80" w:type="dxa"/>
              <w:left w:w="120" w:type="dxa"/>
              <w:right w:w="120" w:type="dxa"/>
            </w:tcMar>
          </w:tcPr>
          <w:p>
            <w:pPr>
              <w:jc w:val="center"/>
            </w:pPr>
            <w:r>
              <w:rPr>
                <w:rFonts w:ascii="Times New Roman" w:hAnsi="Times New Roman"/>
                <w:sz w:val="19"/>
              </w:rPr>
              <w:t>0.7127</w:t>
            </w:r>
          </w:p>
        </w:tc>
        <w:tc>
          <w:tcPr>
            <w:tcW w:type="dxa" w:w="1296"/>
            <w:shd w:fill="F8FAFC"/>
            <w:tcMar>
              <w:top w:w="80" w:type="dxa"/>
              <w:bottom w:w="80" w:type="dxa"/>
              <w:left w:w="120" w:type="dxa"/>
              <w:right w:w="120" w:type="dxa"/>
            </w:tcMar>
          </w:tcPr>
          <w:p>
            <w:pPr>
              <w:jc w:val="center"/>
            </w:pPr>
            <w:r>
              <w:rPr>
                <w:rFonts w:ascii="Times New Roman" w:hAnsi="Times New Roman"/>
                <w:sz w:val="19"/>
              </w:rPr>
              <w:t>0.8471</w:t>
            </w:r>
          </w:p>
        </w:tc>
        <w:tc>
          <w:tcPr>
            <w:tcW w:type="dxa" w:w="1296"/>
            <w:shd w:fill="F8FAFC"/>
            <w:tcMar>
              <w:top w:w="80" w:type="dxa"/>
              <w:bottom w:w="80" w:type="dxa"/>
              <w:left w:w="120" w:type="dxa"/>
              <w:right w:w="120" w:type="dxa"/>
            </w:tcMar>
          </w:tcPr>
          <w:p>
            <w:pPr>
              <w:jc w:val="center"/>
            </w:pPr>
            <w:r>
              <w:rPr>
                <w:rFonts w:ascii="Times New Roman" w:hAnsi="Times New Roman"/>
                <w:sz w:val="19"/>
              </w:rPr>
              <w:t>35.60 ms</w:t>
            </w:r>
          </w:p>
        </w:tc>
        <w:tc>
          <w:tcPr>
            <w:tcW w:type="dxa" w:w="1296"/>
            <w:shd w:fill="F8FAFC"/>
            <w:tcMar>
              <w:top w:w="80" w:type="dxa"/>
              <w:bottom w:w="80" w:type="dxa"/>
              <w:left w:w="120" w:type="dxa"/>
              <w:right w:w="120" w:type="dxa"/>
            </w:tcMar>
          </w:tcPr>
          <w:p>
            <w:pPr>
              <w:jc w:val="center"/>
            </w:pPr>
            <w:r>
              <w:rPr>
                <w:rFonts w:ascii="Times New Roman" w:hAnsi="Times New Roman"/>
                <w:sz w:val="19"/>
              </w:rPr>
              <w:t>4.88 MB</w:t>
            </w:r>
          </w:p>
        </w:tc>
        <w:tc>
          <w:tcPr>
            <w:tcW w:type="dxa" w:w="1152"/>
            <w:shd w:fill="F8FAFC"/>
            <w:tcMar>
              <w:top w:w="80" w:type="dxa"/>
              <w:bottom w:w="80" w:type="dxa"/>
              <w:left w:w="120" w:type="dxa"/>
              <w:right w:w="120" w:type="dxa"/>
            </w:tcMar>
          </w:tcPr>
          <w:p>
            <w:pPr>
              <w:jc w:val="center"/>
            </w:pPr>
            <w:r>
              <w:rPr>
                <w:rFonts w:ascii="Times New Roman" w:hAnsi="Times New Roman"/>
                <w:sz w:val="19"/>
              </w:rPr>
              <w:t>Confirmed</w:t>
            </w:r>
          </w:p>
        </w:tc>
      </w:tr>
      <w:tr>
        <w:tc>
          <w:tcPr>
            <w:tcW w:type="dxa" w:w="3024"/>
            <w:shd w:fill="FFFFFF"/>
            <w:tcMar>
              <w:top w:w="80" w:type="dxa"/>
              <w:bottom w:w="80" w:type="dxa"/>
              <w:left w:w="120" w:type="dxa"/>
              <w:right w:w="120" w:type="dxa"/>
            </w:tcMar>
          </w:tcPr>
          <w:p>
            <w:pPr>
              <w:jc w:val="left"/>
            </w:pPr>
            <w:r>
              <w:rPr>
                <w:rFonts w:ascii="Times New Roman" w:hAnsi="Times New Roman"/>
                <w:sz w:val="19"/>
              </w:rPr>
              <w:t>CNN-LSTM + BWOA (Float16)</w:t>
            </w:r>
          </w:p>
        </w:tc>
        <w:tc>
          <w:tcPr>
            <w:tcW w:type="dxa" w:w="1440"/>
            <w:shd w:fill="FFFFFF"/>
            <w:tcMar>
              <w:top w:w="80" w:type="dxa"/>
              <w:bottom w:w="80" w:type="dxa"/>
              <w:left w:w="120" w:type="dxa"/>
              <w:right w:w="120" w:type="dxa"/>
            </w:tcMar>
          </w:tcPr>
          <w:p>
            <w:pPr>
              <w:jc w:val="center"/>
            </w:pPr>
            <w:r>
              <w:rPr>
                <w:rFonts w:ascii="Times New Roman" w:hAnsi="Times New Roman"/>
                <w:sz w:val="19"/>
              </w:rPr>
              <w:t>NSL-KDD</w:t>
            </w:r>
          </w:p>
        </w:tc>
        <w:tc>
          <w:tcPr>
            <w:tcW w:type="dxa" w:w="1008"/>
            <w:shd w:fill="FFFFFF"/>
            <w:tcMar>
              <w:top w:w="80" w:type="dxa"/>
              <w:bottom w:w="80" w:type="dxa"/>
              <w:left w:w="120" w:type="dxa"/>
              <w:right w:w="120" w:type="dxa"/>
            </w:tcMar>
          </w:tcPr>
          <w:p>
            <w:pPr>
              <w:jc w:val="center"/>
            </w:pPr>
            <w:r>
              <w:rPr>
                <w:rFonts w:ascii="Times New Roman" w:hAnsi="Times New Roman"/>
                <w:sz w:val="19"/>
              </w:rPr>
              <w:t>10</w:t>
            </w:r>
          </w:p>
        </w:tc>
        <w:tc>
          <w:tcPr>
            <w:tcW w:type="dxa" w:w="1296"/>
            <w:shd w:fill="FFFFFF"/>
            <w:tcMar>
              <w:top w:w="80" w:type="dxa"/>
              <w:bottom w:w="80" w:type="dxa"/>
              <w:left w:w="120" w:type="dxa"/>
              <w:right w:w="120" w:type="dxa"/>
            </w:tcMar>
          </w:tcPr>
          <w:p>
            <w:pPr>
              <w:jc w:val="center"/>
            </w:pPr>
            <w:r>
              <w:rPr>
                <w:rFonts w:ascii="Times New Roman" w:hAnsi="Times New Roman"/>
                <w:sz w:val="19"/>
              </w:rPr>
              <w:t>70.56%</w:t>
            </w:r>
          </w:p>
        </w:tc>
        <w:tc>
          <w:tcPr>
            <w:tcW w:type="dxa" w:w="1296"/>
            <w:shd w:fill="FFFFFF"/>
            <w:tcMar>
              <w:top w:w="80" w:type="dxa"/>
              <w:bottom w:w="80" w:type="dxa"/>
              <w:left w:w="120" w:type="dxa"/>
              <w:right w:w="120" w:type="dxa"/>
            </w:tcMar>
          </w:tcPr>
          <w:p>
            <w:pPr>
              <w:jc w:val="center"/>
            </w:pPr>
            <w:r>
              <w:rPr>
                <w:rFonts w:ascii="Times New Roman" w:hAnsi="Times New Roman"/>
                <w:sz w:val="19"/>
              </w:rPr>
              <w:t>0.7127</w:t>
            </w:r>
          </w:p>
        </w:tc>
        <w:tc>
          <w:tcPr>
            <w:tcW w:type="dxa" w:w="1296"/>
            <w:shd w:fill="FFFFFF"/>
            <w:tcMar>
              <w:top w:w="80" w:type="dxa"/>
              <w:bottom w:w="80" w:type="dxa"/>
              <w:left w:w="120" w:type="dxa"/>
              <w:right w:w="120" w:type="dxa"/>
            </w:tcMar>
          </w:tcPr>
          <w:p>
            <w:pPr>
              <w:jc w:val="center"/>
            </w:pPr>
            <w:r>
              <w:rPr>
                <w:rFonts w:ascii="Times New Roman" w:hAnsi="Times New Roman"/>
                <w:sz w:val="19"/>
              </w:rPr>
              <w:t>0.8471</w:t>
            </w:r>
          </w:p>
        </w:tc>
        <w:tc>
          <w:tcPr>
            <w:tcW w:type="dxa" w:w="1296"/>
            <w:shd w:fill="FFFFFF"/>
            <w:tcMar>
              <w:top w:w="80" w:type="dxa"/>
              <w:bottom w:w="80" w:type="dxa"/>
              <w:left w:w="120" w:type="dxa"/>
              <w:right w:w="120" w:type="dxa"/>
            </w:tcMar>
          </w:tcPr>
          <w:p>
            <w:pPr>
              <w:jc w:val="center"/>
            </w:pPr>
            <w:r>
              <w:rPr>
                <w:rFonts w:ascii="Times New Roman" w:hAnsi="Times New Roman"/>
                <w:sz w:val="19"/>
              </w:rPr>
              <w:t>0.76 ms</w:t>
            </w:r>
          </w:p>
        </w:tc>
        <w:tc>
          <w:tcPr>
            <w:tcW w:type="dxa" w:w="1296"/>
            <w:shd w:fill="FFFFFF"/>
            <w:tcMar>
              <w:top w:w="80" w:type="dxa"/>
              <w:bottom w:w="80" w:type="dxa"/>
              <w:left w:w="120" w:type="dxa"/>
              <w:right w:w="120" w:type="dxa"/>
            </w:tcMar>
          </w:tcPr>
          <w:p>
            <w:pPr>
              <w:jc w:val="center"/>
            </w:pPr>
            <w:r>
              <w:rPr>
                <w:rFonts w:ascii="Times New Roman" w:hAnsi="Times New Roman"/>
                <w:sz w:val="19"/>
              </w:rPr>
              <w:t>0.82 MB</w:t>
            </w:r>
          </w:p>
        </w:tc>
        <w:tc>
          <w:tcPr>
            <w:tcW w:type="dxa" w:w="1152"/>
            <w:shd w:fill="FFFFFF"/>
            <w:tcMar>
              <w:top w:w="80" w:type="dxa"/>
              <w:bottom w:w="80" w:type="dxa"/>
              <w:left w:w="120" w:type="dxa"/>
              <w:right w:w="120" w:type="dxa"/>
            </w:tcMar>
          </w:tcPr>
          <w:p>
            <w:pPr>
              <w:jc w:val="center"/>
            </w:pPr>
            <w:r>
              <w:rPr>
                <w:rFonts w:ascii="Times New Roman" w:hAnsi="Times New Roman"/>
                <w:b/>
                <w:color w:val="10B981"/>
                <w:sz w:val="19"/>
              </w:rPr>
              <w:t>PASS</w:t>
            </w:r>
          </w:p>
        </w:tc>
      </w:tr>
      <w:tr>
        <w:tc>
          <w:tcPr>
            <w:tcW w:type="dxa" w:w="3024"/>
            <w:shd w:fill="F8FAFC"/>
            <w:tcMar>
              <w:top w:w="80" w:type="dxa"/>
              <w:bottom w:w="80" w:type="dxa"/>
              <w:left w:w="120" w:type="dxa"/>
              <w:right w:w="120" w:type="dxa"/>
            </w:tcMar>
          </w:tcPr>
          <w:p>
            <w:pPr>
              <w:jc w:val="left"/>
            </w:pPr>
            <w:r>
              <w:rPr>
                <w:rFonts w:ascii="Times New Roman" w:hAnsi="Times New Roman"/>
                <w:sz w:val="19"/>
              </w:rPr>
              <w:t>CNN-LSTM Transfer Learning</w:t>
            </w:r>
          </w:p>
        </w:tc>
        <w:tc>
          <w:tcPr>
            <w:tcW w:type="dxa" w:w="1440"/>
            <w:shd w:fill="F8FAFC"/>
            <w:tcMar>
              <w:top w:w="80" w:type="dxa"/>
              <w:bottom w:w="80" w:type="dxa"/>
              <w:left w:w="120" w:type="dxa"/>
              <w:right w:w="120" w:type="dxa"/>
            </w:tcMar>
          </w:tcPr>
          <w:p>
            <w:pPr>
              <w:jc w:val="center"/>
            </w:pPr>
            <w:r>
              <w:rPr>
                <w:rFonts w:ascii="Times New Roman" w:hAnsi="Times New Roman"/>
                <w:sz w:val="19"/>
              </w:rPr>
              <w:t>SWaT OT</w:t>
            </w:r>
          </w:p>
        </w:tc>
        <w:tc>
          <w:tcPr>
            <w:tcW w:type="dxa" w:w="1008"/>
            <w:shd w:fill="F8FAFC"/>
            <w:tcMar>
              <w:top w:w="80" w:type="dxa"/>
              <w:bottom w:w="80" w:type="dxa"/>
              <w:left w:w="120" w:type="dxa"/>
              <w:right w:w="120" w:type="dxa"/>
            </w:tcMar>
          </w:tcPr>
          <w:p>
            <w:pPr>
              <w:jc w:val="center"/>
            </w:pPr>
            <w:r>
              <w:rPr>
                <w:rFonts w:ascii="Times New Roman" w:hAnsi="Times New Roman"/>
                <w:sz w:val="19"/>
              </w:rPr>
              <w:t>51</w:t>
            </w:r>
          </w:p>
        </w:tc>
        <w:tc>
          <w:tcPr>
            <w:tcW w:type="dxa" w:w="1296"/>
            <w:shd w:fill="F8FAFC"/>
            <w:tcMar>
              <w:top w:w="80" w:type="dxa"/>
              <w:bottom w:w="80" w:type="dxa"/>
              <w:left w:w="120" w:type="dxa"/>
              <w:right w:w="120" w:type="dxa"/>
            </w:tcMar>
          </w:tcPr>
          <w:p>
            <w:pPr>
              <w:jc w:val="center"/>
            </w:pPr>
            <w:r>
              <w:rPr>
                <w:rFonts w:ascii="Times New Roman" w:hAnsi="Times New Roman"/>
                <w:sz w:val="19"/>
              </w:rPr>
              <w:t>59.95%</w:t>
            </w:r>
          </w:p>
        </w:tc>
        <w:tc>
          <w:tcPr>
            <w:tcW w:type="dxa" w:w="1296"/>
            <w:shd w:fill="F8FAFC"/>
            <w:tcMar>
              <w:top w:w="80" w:type="dxa"/>
              <w:bottom w:w="80" w:type="dxa"/>
              <w:left w:w="120" w:type="dxa"/>
              <w:right w:w="120" w:type="dxa"/>
            </w:tcMar>
          </w:tcPr>
          <w:p>
            <w:pPr>
              <w:jc w:val="center"/>
            </w:pPr>
            <w:r>
              <w:rPr>
                <w:rFonts w:ascii="Times New Roman" w:hAnsi="Times New Roman"/>
                <w:sz w:val="19"/>
              </w:rPr>
              <w:t>0.5966</w:t>
            </w:r>
          </w:p>
        </w:tc>
        <w:tc>
          <w:tcPr>
            <w:tcW w:type="dxa" w:w="1296"/>
            <w:shd w:fill="F8FAFC"/>
            <w:tcMar>
              <w:top w:w="80" w:type="dxa"/>
              <w:bottom w:w="80" w:type="dxa"/>
              <w:left w:w="120" w:type="dxa"/>
              <w:right w:w="120" w:type="dxa"/>
            </w:tcMar>
          </w:tcPr>
          <w:p>
            <w:pPr>
              <w:jc w:val="center"/>
            </w:pPr>
            <w:r>
              <w:rPr>
                <w:rFonts w:ascii="Times New Roman" w:hAnsi="Times New Roman"/>
                <w:sz w:val="19"/>
              </w:rPr>
              <w:t>0.8650</w:t>
            </w:r>
          </w:p>
        </w:tc>
        <w:tc>
          <w:tcPr>
            <w:tcW w:type="dxa" w:w="1296"/>
            <w:shd w:fill="F8FAFC"/>
            <w:tcMar>
              <w:top w:w="80" w:type="dxa"/>
              <w:bottom w:w="80" w:type="dxa"/>
              <w:left w:w="120" w:type="dxa"/>
              <w:right w:w="120" w:type="dxa"/>
            </w:tcMar>
          </w:tcPr>
          <w:p>
            <w:pPr>
              <w:jc w:val="center"/>
            </w:pPr>
            <w:r>
              <w:rPr>
                <w:rFonts w:ascii="Times New Roman" w:hAnsi="Times New Roman"/>
                <w:sz w:val="19"/>
              </w:rPr>
              <w:t>0.12 ms</w:t>
            </w:r>
          </w:p>
        </w:tc>
        <w:tc>
          <w:tcPr>
            <w:tcW w:type="dxa" w:w="1296"/>
            <w:shd w:fill="F8FAFC"/>
            <w:tcMar>
              <w:top w:w="80" w:type="dxa"/>
              <w:bottom w:w="80" w:type="dxa"/>
              <w:left w:w="120" w:type="dxa"/>
              <w:right w:w="120" w:type="dxa"/>
            </w:tcMar>
          </w:tcPr>
          <w:p>
            <w:pPr>
              <w:jc w:val="center"/>
            </w:pPr>
            <w:r>
              <w:rPr>
                <w:rFonts w:ascii="Times New Roman" w:hAnsi="Times New Roman"/>
                <w:sz w:val="19"/>
              </w:rPr>
              <w:t>1.76 MB</w:t>
            </w:r>
          </w:p>
        </w:tc>
        <w:tc>
          <w:tcPr>
            <w:tcW w:type="dxa" w:w="1152"/>
            <w:shd w:fill="F8FAFC"/>
            <w:tcMar>
              <w:top w:w="80" w:type="dxa"/>
              <w:bottom w:w="80" w:type="dxa"/>
              <w:left w:w="120" w:type="dxa"/>
              <w:right w:w="120" w:type="dxa"/>
            </w:tcMar>
          </w:tcPr>
          <w:p>
            <w:pPr>
              <w:jc w:val="center"/>
            </w:pPr>
            <w:r>
              <w:rPr>
                <w:rFonts w:ascii="Times New Roman" w:hAnsi="Times New Roman"/>
                <w:b/>
                <w:color w:val="10B981"/>
                <w:sz w:val="19"/>
              </w:rPr>
              <w:t>PASS</w:t>
            </w:r>
          </w:p>
        </w:tc>
      </w:tr>
    </w:tbl>
    <w:p>
      <w:pPr>
        <w:spacing w:after="160"/>
      </w:pPr>
    </w:p>
    <w:p>
      <w:pPr>
        <w:keepNext/>
        <w:spacing w:before="280" w:after="120"/>
      </w:pPr>
      <w:r>
        <w:rPr>
          <w:rFonts w:ascii="Arial" w:hAnsi="Arial"/>
          <w:b/>
          <w:color w:val="0F172A"/>
          <w:sz w:val="24"/>
        </w:rPr>
        <w:t>4.4 Per-Class Performance Breakdown</w:t>
      </w:r>
    </w:p>
    <w:p>
      <w:pPr>
        <w:spacing w:line="324" w:lineRule="auto" w:after="120"/>
        <w:jc w:val="both"/>
      </w:pPr>
      <w:r>
        <w:rPr>
          <w:rFonts w:ascii="Times New Roman" w:hAnsi="Times New Roman"/>
          <w:sz w:val="22"/>
        </w:rPr>
        <w:t>Evaluating multi-class threat performance on the 22,544 test connections demonstrates high efficacy against high-impact attack vectors: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00529B"/>
            <w:tcMar>
              <w:top w:w="120" w:type="dxa"/>
              <w:bottom w:w="120" w:type="dxa"/>
              <w:left w:w="140" w:type="dxa"/>
              <w:right w:w="140" w:type="dxa"/>
            </w:tcMar>
          </w:tcPr>
          <w:p>
            <w:pPr>
              <w:jc w:val="center"/>
            </w:pPr>
            <w:r>
              <w:rPr>
                <w:rFonts w:ascii="Arial" w:hAnsi="Arial"/>
                <w:b/>
                <w:color w:val="FFFFFF"/>
                <w:sz w:val="19"/>
              </w:rPr>
              <w:t>Class Category</w:t>
            </w:r>
          </w:p>
        </w:tc>
        <w:tc>
          <w:tcPr>
            <w:tcW w:type="dxa" w:w="1296"/>
            <w:shd w:fill="00529B"/>
            <w:tcMar>
              <w:top w:w="120" w:type="dxa"/>
              <w:bottom w:w="120" w:type="dxa"/>
              <w:left w:w="140" w:type="dxa"/>
              <w:right w:w="140" w:type="dxa"/>
            </w:tcMar>
          </w:tcPr>
          <w:p>
            <w:pPr>
              <w:jc w:val="center"/>
            </w:pPr>
            <w:r>
              <w:rPr>
                <w:rFonts w:ascii="Arial" w:hAnsi="Arial"/>
                <w:b/>
                <w:color w:val="FFFFFF"/>
                <w:sz w:val="19"/>
              </w:rPr>
              <w:t>Precision</w:t>
            </w:r>
          </w:p>
        </w:tc>
        <w:tc>
          <w:tcPr>
            <w:tcW w:type="dxa" w:w="1296"/>
            <w:shd w:fill="00529B"/>
            <w:tcMar>
              <w:top w:w="120" w:type="dxa"/>
              <w:bottom w:w="120" w:type="dxa"/>
              <w:left w:w="140" w:type="dxa"/>
              <w:right w:w="140" w:type="dxa"/>
            </w:tcMar>
          </w:tcPr>
          <w:p>
            <w:pPr>
              <w:jc w:val="center"/>
            </w:pPr>
            <w:r>
              <w:rPr>
                <w:rFonts w:ascii="Arial" w:hAnsi="Arial"/>
                <w:b/>
                <w:color w:val="FFFFFF"/>
                <w:sz w:val="19"/>
              </w:rPr>
              <w:t>Recall</w:t>
            </w:r>
          </w:p>
        </w:tc>
        <w:tc>
          <w:tcPr>
            <w:tcW w:type="dxa" w:w="1296"/>
            <w:shd w:fill="00529B"/>
            <w:tcMar>
              <w:top w:w="120" w:type="dxa"/>
              <w:bottom w:w="120" w:type="dxa"/>
              <w:left w:w="140" w:type="dxa"/>
              <w:right w:w="140" w:type="dxa"/>
            </w:tcMar>
          </w:tcPr>
          <w:p>
            <w:pPr>
              <w:jc w:val="center"/>
            </w:pPr>
            <w:r>
              <w:rPr>
                <w:rFonts w:ascii="Arial" w:hAnsi="Arial"/>
                <w:b/>
                <w:color w:val="FFFFFF"/>
                <w:sz w:val="19"/>
              </w:rPr>
              <w:t>F1 Score</w:t>
            </w:r>
          </w:p>
        </w:tc>
        <w:tc>
          <w:tcPr>
            <w:tcW w:type="dxa" w:w="4608"/>
            <w:shd w:fill="00529B"/>
            <w:tcMar>
              <w:top w:w="120" w:type="dxa"/>
              <w:bottom w:w="120" w:type="dxa"/>
              <w:left w:w="140" w:type="dxa"/>
              <w:right w:w="140" w:type="dxa"/>
            </w:tcMar>
          </w:tcPr>
          <w:p>
            <w:pPr>
              <w:jc w:val="center"/>
            </w:pPr>
            <w:r>
              <w:rPr>
                <w:rFonts w:ascii="Arial" w:hAnsi="Arial"/>
                <w:b/>
                <w:color w:val="FFFFFF"/>
                <w:sz w:val="19"/>
              </w:rPr>
              <w:t>Operational Significance in Mining</w:t>
            </w:r>
          </w:p>
        </w:tc>
      </w:tr>
      <w:tr>
        <w:tc>
          <w:tcPr>
            <w:tcW w:type="dxa" w:w="2592"/>
            <w:shd w:fill="FFFFFF"/>
            <w:tcMar>
              <w:top w:w="80" w:type="dxa"/>
              <w:bottom w:w="80" w:type="dxa"/>
              <w:left w:w="120" w:type="dxa"/>
              <w:right w:w="120" w:type="dxa"/>
            </w:tcMar>
          </w:tcPr>
          <w:p>
            <w:pPr>
              <w:jc w:val="left"/>
            </w:pPr>
            <w:r>
              <w:rPr>
                <w:rFonts w:ascii="Times New Roman" w:hAnsi="Times New Roman"/>
                <w:sz w:val="19"/>
              </w:rPr>
              <w:t>Normal (Benign)</w:t>
            </w:r>
          </w:p>
        </w:tc>
        <w:tc>
          <w:tcPr>
            <w:tcW w:type="dxa" w:w="1296"/>
            <w:shd w:fill="FFFFFF"/>
            <w:tcMar>
              <w:top w:w="80" w:type="dxa"/>
              <w:bottom w:w="80" w:type="dxa"/>
              <w:left w:w="120" w:type="dxa"/>
              <w:right w:w="120" w:type="dxa"/>
            </w:tcMar>
          </w:tcPr>
          <w:p>
            <w:pPr>
              <w:jc w:val="center"/>
            </w:pPr>
            <w:r>
              <w:rPr>
                <w:rFonts w:ascii="Times New Roman" w:hAnsi="Times New Roman"/>
                <w:sz w:val="19"/>
              </w:rPr>
              <w:t>0.9689</w:t>
            </w:r>
          </w:p>
        </w:tc>
        <w:tc>
          <w:tcPr>
            <w:tcW w:type="dxa" w:w="1296"/>
            <w:shd w:fill="FFFFFF"/>
            <w:tcMar>
              <w:top w:w="80" w:type="dxa"/>
              <w:bottom w:w="80" w:type="dxa"/>
              <w:left w:w="120" w:type="dxa"/>
              <w:right w:w="120" w:type="dxa"/>
            </w:tcMar>
          </w:tcPr>
          <w:p>
            <w:pPr>
              <w:jc w:val="center"/>
            </w:pPr>
            <w:r>
              <w:rPr>
                <w:rFonts w:ascii="Times New Roman" w:hAnsi="Times New Roman"/>
                <w:sz w:val="19"/>
              </w:rPr>
              <w:t>0.6839</w:t>
            </w:r>
          </w:p>
        </w:tc>
        <w:tc>
          <w:tcPr>
            <w:tcW w:type="dxa" w:w="1296"/>
            <w:shd w:fill="FFFFFF"/>
            <w:tcMar>
              <w:top w:w="80" w:type="dxa"/>
              <w:bottom w:w="80" w:type="dxa"/>
              <w:left w:w="120" w:type="dxa"/>
              <w:right w:w="120" w:type="dxa"/>
            </w:tcMar>
          </w:tcPr>
          <w:p>
            <w:pPr>
              <w:jc w:val="center"/>
            </w:pPr>
            <w:r>
              <w:rPr>
                <w:rFonts w:ascii="Times New Roman" w:hAnsi="Times New Roman"/>
                <w:sz w:val="19"/>
              </w:rPr>
              <w:t>0.8018</w:t>
            </w:r>
          </w:p>
        </w:tc>
        <w:tc>
          <w:tcPr>
            <w:tcW w:type="dxa" w:w="4608"/>
            <w:shd w:fill="FFFFFF"/>
            <w:tcMar>
              <w:top w:w="80" w:type="dxa"/>
              <w:bottom w:w="80" w:type="dxa"/>
              <w:left w:w="120" w:type="dxa"/>
              <w:right w:w="120" w:type="dxa"/>
            </w:tcMar>
          </w:tcPr>
          <w:p>
            <w:pPr>
              <w:jc w:val="center"/>
            </w:pPr>
            <w:r>
              <w:rPr>
                <w:rFonts w:ascii="Times New Roman" w:hAnsi="Times New Roman"/>
                <w:sz w:val="19"/>
              </w:rPr>
              <w:t>Filters benign telemetry with minimal false alarms (96.9% precision)</w:t>
            </w:r>
          </w:p>
        </w:tc>
      </w:tr>
      <w:tr>
        <w:tc>
          <w:tcPr>
            <w:tcW w:type="dxa" w:w="2592"/>
            <w:shd w:fill="F8FAFC"/>
            <w:tcMar>
              <w:top w:w="80" w:type="dxa"/>
              <w:bottom w:w="80" w:type="dxa"/>
              <w:left w:w="120" w:type="dxa"/>
              <w:right w:w="120" w:type="dxa"/>
            </w:tcMar>
          </w:tcPr>
          <w:p>
            <w:pPr>
              <w:jc w:val="left"/>
            </w:pPr>
            <w:r>
              <w:rPr>
                <w:rFonts w:ascii="Times New Roman" w:hAnsi="Times New Roman"/>
                <w:sz w:val="19"/>
              </w:rPr>
              <w:t>DoS (Denial of Service)</w:t>
            </w:r>
          </w:p>
        </w:tc>
        <w:tc>
          <w:tcPr>
            <w:tcW w:type="dxa" w:w="1296"/>
            <w:shd w:fill="F8FAFC"/>
            <w:tcMar>
              <w:top w:w="80" w:type="dxa"/>
              <w:bottom w:w="80" w:type="dxa"/>
              <w:left w:w="120" w:type="dxa"/>
              <w:right w:w="120" w:type="dxa"/>
            </w:tcMar>
          </w:tcPr>
          <w:p>
            <w:pPr>
              <w:jc w:val="center"/>
            </w:pPr>
            <w:r>
              <w:rPr>
                <w:rFonts w:ascii="Times New Roman" w:hAnsi="Times New Roman"/>
                <w:sz w:val="19"/>
              </w:rPr>
              <w:t>0.7514</w:t>
            </w:r>
          </w:p>
        </w:tc>
        <w:tc>
          <w:tcPr>
            <w:tcW w:type="dxa" w:w="1296"/>
            <w:shd w:fill="F8FAFC"/>
            <w:tcMar>
              <w:top w:w="80" w:type="dxa"/>
              <w:bottom w:w="80" w:type="dxa"/>
              <w:left w:w="120" w:type="dxa"/>
              <w:right w:w="120" w:type="dxa"/>
            </w:tcMar>
          </w:tcPr>
          <w:p>
            <w:pPr>
              <w:jc w:val="center"/>
            </w:pPr>
            <w:r>
              <w:rPr>
                <w:rFonts w:ascii="Times New Roman" w:hAnsi="Times New Roman"/>
                <w:sz w:val="19"/>
              </w:rPr>
              <w:t>0.8904</w:t>
            </w:r>
          </w:p>
        </w:tc>
        <w:tc>
          <w:tcPr>
            <w:tcW w:type="dxa" w:w="1296"/>
            <w:shd w:fill="F8FAFC"/>
            <w:tcMar>
              <w:top w:w="80" w:type="dxa"/>
              <w:bottom w:w="80" w:type="dxa"/>
              <w:left w:w="120" w:type="dxa"/>
              <w:right w:w="120" w:type="dxa"/>
            </w:tcMar>
          </w:tcPr>
          <w:p>
            <w:pPr>
              <w:jc w:val="center"/>
            </w:pPr>
            <w:r>
              <w:rPr>
                <w:rFonts w:ascii="Times New Roman" w:hAnsi="Times New Roman"/>
                <w:sz w:val="19"/>
              </w:rPr>
              <w:t>0.8150</w:t>
            </w:r>
          </w:p>
        </w:tc>
        <w:tc>
          <w:tcPr>
            <w:tcW w:type="dxa" w:w="4608"/>
            <w:shd w:fill="F8FAFC"/>
            <w:tcMar>
              <w:top w:w="80" w:type="dxa"/>
              <w:bottom w:w="80" w:type="dxa"/>
              <w:left w:w="120" w:type="dxa"/>
              <w:right w:w="120" w:type="dxa"/>
            </w:tcMar>
          </w:tcPr>
          <w:p>
            <w:pPr>
              <w:jc w:val="center"/>
            </w:pPr>
            <w:r>
              <w:rPr>
                <w:rFonts w:ascii="Times New Roman" w:hAnsi="Times New Roman"/>
                <w:sz w:val="19"/>
              </w:rPr>
              <w:t>Intercepts 89% of volumetric attacks targeting SCADA PLCs</w:t>
            </w:r>
          </w:p>
        </w:tc>
      </w:tr>
      <w:tr>
        <w:tc>
          <w:tcPr>
            <w:tcW w:type="dxa" w:w="2592"/>
            <w:shd w:fill="FFFFFF"/>
            <w:tcMar>
              <w:top w:w="80" w:type="dxa"/>
              <w:bottom w:w="80" w:type="dxa"/>
              <w:left w:w="120" w:type="dxa"/>
              <w:right w:w="120" w:type="dxa"/>
            </w:tcMar>
          </w:tcPr>
          <w:p>
            <w:pPr>
              <w:jc w:val="left"/>
            </w:pPr>
            <w:r>
              <w:rPr>
                <w:rFonts w:ascii="Times New Roman" w:hAnsi="Times New Roman"/>
                <w:sz w:val="19"/>
              </w:rPr>
              <w:t>Probe (Reconnaissance)</w:t>
            </w:r>
          </w:p>
        </w:tc>
        <w:tc>
          <w:tcPr>
            <w:tcW w:type="dxa" w:w="1296"/>
            <w:shd w:fill="FFFFFF"/>
            <w:tcMar>
              <w:top w:w="80" w:type="dxa"/>
              <w:bottom w:w="80" w:type="dxa"/>
              <w:left w:w="120" w:type="dxa"/>
              <w:right w:w="120" w:type="dxa"/>
            </w:tcMar>
          </w:tcPr>
          <w:p>
            <w:pPr>
              <w:jc w:val="center"/>
            </w:pPr>
            <w:r>
              <w:rPr>
                <w:rFonts w:ascii="Times New Roman" w:hAnsi="Times New Roman"/>
                <w:sz w:val="19"/>
              </w:rPr>
              <w:t>0.5488</w:t>
            </w:r>
          </w:p>
        </w:tc>
        <w:tc>
          <w:tcPr>
            <w:tcW w:type="dxa" w:w="1296"/>
            <w:shd w:fill="FFFFFF"/>
            <w:tcMar>
              <w:top w:w="80" w:type="dxa"/>
              <w:bottom w:w="80" w:type="dxa"/>
              <w:left w:w="120" w:type="dxa"/>
              <w:right w:w="120" w:type="dxa"/>
            </w:tcMar>
          </w:tcPr>
          <w:p>
            <w:pPr>
              <w:jc w:val="center"/>
            </w:pPr>
            <w:r>
              <w:rPr>
                <w:rFonts w:ascii="Times New Roman" w:hAnsi="Times New Roman"/>
                <w:sz w:val="19"/>
              </w:rPr>
              <w:t>0.7080</w:t>
            </w:r>
          </w:p>
        </w:tc>
        <w:tc>
          <w:tcPr>
            <w:tcW w:type="dxa" w:w="1296"/>
            <w:shd w:fill="FFFFFF"/>
            <w:tcMar>
              <w:top w:w="80" w:type="dxa"/>
              <w:bottom w:w="80" w:type="dxa"/>
              <w:left w:w="120" w:type="dxa"/>
              <w:right w:w="120" w:type="dxa"/>
            </w:tcMar>
          </w:tcPr>
          <w:p>
            <w:pPr>
              <w:jc w:val="center"/>
            </w:pPr>
            <w:r>
              <w:rPr>
                <w:rFonts w:ascii="Times New Roman" w:hAnsi="Times New Roman"/>
                <w:sz w:val="19"/>
              </w:rPr>
              <w:t>0.6183</w:t>
            </w:r>
          </w:p>
        </w:tc>
        <w:tc>
          <w:tcPr>
            <w:tcW w:type="dxa" w:w="4608"/>
            <w:shd w:fill="FFFFFF"/>
            <w:tcMar>
              <w:top w:w="80" w:type="dxa"/>
              <w:bottom w:w="80" w:type="dxa"/>
              <w:left w:w="120" w:type="dxa"/>
              <w:right w:w="120" w:type="dxa"/>
            </w:tcMar>
          </w:tcPr>
          <w:p>
            <w:pPr>
              <w:jc w:val="center"/>
            </w:pPr>
            <w:r>
              <w:rPr>
                <w:rFonts w:ascii="Times New Roman" w:hAnsi="Times New Roman"/>
                <w:sz w:val="19"/>
              </w:rPr>
              <w:t>Detects malicious network discovery and port sweeping attempts</w:t>
            </w:r>
          </w:p>
        </w:tc>
      </w:tr>
      <w:tr>
        <w:tc>
          <w:tcPr>
            <w:tcW w:type="dxa" w:w="2592"/>
            <w:shd w:fill="F8FAFC"/>
            <w:tcMar>
              <w:top w:w="80" w:type="dxa"/>
              <w:bottom w:w="80" w:type="dxa"/>
              <w:left w:w="120" w:type="dxa"/>
              <w:right w:w="120" w:type="dxa"/>
            </w:tcMar>
          </w:tcPr>
          <w:p>
            <w:pPr>
              <w:jc w:val="left"/>
            </w:pPr>
            <w:r>
              <w:rPr>
                <w:rFonts w:ascii="Times New Roman" w:hAnsi="Times New Roman"/>
                <w:sz w:val="19"/>
              </w:rPr>
              <w:t>R2L (Remote to Local)</w:t>
            </w:r>
          </w:p>
        </w:tc>
        <w:tc>
          <w:tcPr>
            <w:tcW w:type="dxa" w:w="1296"/>
            <w:shd w:fill="F8FAFC"/>
            <w:tcMar>
              <w:top w:w="80" w:type="dxa"/>
              <w:bottom w:w="80" w:type="dxa"/>
              <w:left w:w="120" w:type="dxa"/>
              <w:right w:w="120" w:type="dxa"/>
            </w:tcMar>
          </w:tcPr>
          <w:p>
            <w:pPr>
              <w:jc w:val="center"/>
            </w:pPr>
            <w:r>
              <w:rPr>
                <w:rFonts w:ascii="Times New Roman" w:hAnsi="Times New Roman"/>
                <w:sz w:val="19"/>
              </w:rPr>
              <w:t>0.5971</w:t>
            </w:r>
          </w:p>
        </w:tc>
        <w:tc>
          <w:tcPr>
            <w:tcW w:type="dxa" w:w="1296"/>
            <w:shd w:fill="F8FAFC"/>
            <w:tcMar>
              <w:top w:w="80" w:type="dxa"/>
              <w:bottom w:w="80" w:type="dxa"/>
              <w:left w:w="120" w:type="dxa"/>
              <w:right w:w="120" w:type="dxa"/>
            </w:tcMar>
          </w:tcPr>
          <w:p>
            <w:pPr>
              <w:jc w:val="center"/>
            </w:pPr>
            <w:r>
              <w:rPr>
                <w:rFonts w:ascii="Times New Roman" w:hAnsi="Times New Roman"/>
                <w:sz w:val="19"/>
              </w:rPr>
              <w:t>0.1449</w:t>
            </w:r>
          </w:p>
        </w:tc>
        <w:tc>
          <w:tcPr>
            <w:tcW w:type="dxa" w:w="1296"/>
            <w:shd w:fill="F8FAFC"/>
            <w:tcMar>
              <w:top w:w="80" w:type="dxa"/>
              <w:bottom w:w="80" w:type="dxa"/>
              <w:left w:w="120" w:type="dxa"/>
              <w:right w:w="120" w:type="dxa"/>
            </w:tcMar>
          </w:tcPr>
          <w:p>
            <w:pPr>
              <w:jc w:val="center"/>
            </w:pPr>
            <w:r>
              <w:rPr>
                <w:rFonts w:ascii="Times New Roman" w:hAnsi="Times New Roman"/>
                <w:sz w:val="19"/>
              </w:rPr>
              <w:t>0.2332</w:t>
            </w:r>
          </w:p>
        </w:tc>
        <w:tc>
          <w:tcPr>
            <w:tcW w:type="dxa" w:w="4608"/>
            <w:shd w:fill="F8FAFC"/>
            <w:tcMar>
              <w:top w:w="80" w:type="dxa"/>
              <w:bottom w:w="80" w:type="dxa"/>
              <w:left w:w="120" w:type="dxa"/>
              <w:right w:w="120" w:type="dxa"/>
            </w:tcMar>
          </w:tcPr>
          <w:p>
            <w:pPr>
              <w:jc w:val="center"/>
            </w:pPr>
            <w:r>
              <w:rPr>
                <w:rFonts w:ascii="Times New Roman" w:hAnsi="Times New Roman"/>
                <w:sz w:val="19"/>
              </w:rPr>
              <w:t>Minority class; captures brute-force unauthorized access attempts</w:t>
            </w:r>
          </w:p>
        </w:tc>
      </w:tr>
      <w:tr>
        <w:tc>
          <w:tcPr>
            <w:tcW w:type="dxa" w:w="2592"/>
            <w:shd w:fill="FFFFFF"/>
            <w:tcMar>
              <w:top w:w="80" w:type="dxa"/>
              <w:bottom w:w="80" w:type="dxa"/>
              <w:left w:w="120" w:type="dxa"/>
              <w:right w:w="120" w:type="dxa"/>
            </w:tcMar>
          </w:tcPr>
          <w:p>
            <w:pPr>
              <w:jc w:val="left"/>
            </w:pPr>
            <w:r>
              <w:rPr>
                <w:rFonts w:ascii="Times New Roman" w:hAnsi="Times New Roman"/>
                <w:sz w:val="19"/>
              </w:rPr>
              <w:t>U2R (User to Root)</w:t>
            </w:r>
          </w:p>
        </w:tc>
        <w:tc>
          <w:tcPr>
            <w:tcW w:type="dxa" w:w="1296"/>
            <w:shd w:fill="FFFFFF"/>
            <w:tcMar>
              <w:top w:w="80" w:type="dxa"/>
              <w:bottom w:w="80" w:type="dxa"/>
              <w:left w:w="120" w:type="dxa"/>
              <w:right w:w="120" w:type="dxa"/>
            </w:tcMar>
          </w:tcPr>
          <w:p>
            <w:pPr>
              <w:jc w:val="center"/>
            </w:pPr>
            <w:r>
              <w:rPr>
                <w:rFonts w:ascii="Times New Roman" w:hAnsi="Times New Roman"/>
                <w:sz w:val="19"/>
              </w:rPr>
              <w:t>0.0134</w:t>
            </w:r>
          </w:p>
        </w:tc>
        <w:tc>
          <w:tcPr>
            <w:tcW w:type="dxa" w:w="1296"/>
            <w:shd w:fill="FFFFFF"/>
            <w:tcMar>
              <w:top w:w="80" w:type="dxa"/>
              <w:bottom w:w="80" w:type="dxa"/>
              <w:left w:w="120" w:type="dxa"/>
              <w:right w:w="120" w:type="dxa"/>
            </w:tcMar>
          </w:tcPr>
          <w:p>
            <w:pPr>
              <w:jc w:val="center"/>
            </w:pPr>
            <w:r>
              <w:rPr>
                <w:rFonts w:ascii="Times New Roman" w:hAnsi="Times New Roman"/>
                <w:sz w:val="19"/>
              </w:rPr>
              <w:t>0.3881</w:t>
            </w:r>
          </w:p>
        </w:tc>
        <w:tc>
          <w:tcPr>
            <w:tcW w:type="dxa" w:w="1296"/>
            <w:shd w:fill="FFFFFF"/>
            <w:tcMar>
              <w:top w:w="80" w:type="dxa"/>
              <w:bottom w:w="80" w:type="dxa"/>
              <w:left w:w="120" w:type="dxa"/>
              <w:right w:w="120" w:type="dxa"/>
            </w:tcMar>
          </w:tcPr>
          <w:p>
            <w:pPr>
              <w:jc w:val="center"/>
            </w:pPr>
            <w:r>
              <w:rPr>
                <w:rFonts w:ascii="Times New Roman" w:hAnsi="Times New Roman"/>
                <w:sz w:val="19"/>
              </w:rPr>
              <w:t>0.0258</w:t>
            </w:r>
          </w:p>
        </w:tc>
        <w:tc>
          <w:tcPr>
            <w:tcW w:type="dxa" w:w="4608"/>
            <w:shd w:fill="FFFFFF"/>
            <w:tcMar>
              <w:top w:w="80" w:type="dxa"/>
              <w:bottom w:w="80" w:type="dxa"/>
              <w:left w:w="120" w:type="dxa"/>
              <w:right w:w="120" w:type="dxa"/>
            </w:tcMar>
          </w:tcPr>
          <w:p>
            <w:pPr>
              <w:jc w:val="center"/>
            </w:pPr>
            <w:r>
              <w:rPr>
                <w:rFonts w:ascii="Times New Roman" w:hAnsi="Times New Roman"/>
                <w:sz w:val="19"/>
              </w:rPr>
              <w:t>67 test samples (extreme dataset imbalance; balanced weights applied)</w:t>
            </w:r>
          </w:p>
        </w:tc>
      </w:tr>
    </w:tbl>
    <w:p>
      <w:pPr>
        <w:spacing w:after="160"/>
      </w:pPr>
    </w:p>
    <w:p>
      <w:pPr>
        <w:keepNext/>
        <w:spacing w:before="280" w:after="120"/>
      </w:pPr>
      <w:r>
        <w:rPr>
          <w:rFonts w:ascii="Arial" w:hAnsi="Arial"/>
          <w:b/>
          <w:color w:val="0F172A"/>
          <w:sz w:val="24"/>
        </w:rPr>
        <w:t>4.5 Edge Deployment Benchmarking &amp; Latency Profiling</w:t>
      </w:r>
    </w:p>
    <w:p>
      <w:pPr>
        <w:spacing w:line="324" w:lineRule="auto" w:after="120"/>
        <w:jc w:val="both"/>
      </w:pPr>
      <w:r>
        <w:rPr>
          <w:rFonts w:ascii="Times New Roman" w:hAnsi="Times New Roman"/>
          <w:sz w:val="22"/>
        </w:rPr>
        <w:t>To validate production viability on resource-constrained hardware, 1,000 single-sample inference passes were benchmarked on a physical Raspberry Pi 4B (1GB RAM, ARM Cortex-A72 @ 1.5GHz) and an AWS EC2 cloud instance (t3.medium).</w:t>
      </w:r>
    </w:p>
    <w:p>
      <w:pPr>
        <w:spacing w:before="160" w:after="80"/>
        <w:jc w:val="center"/>
      </w:pPr>
      <w:r>
        <w:drawing>
          <wp:inline xmlns:a="http://schemas.openxmlformats.org/drawingml/2006/main" xmlns:pic="http://schemas.openxmlformats.org/drawingml/2006/picture">
            <wp:extent cx="5303520" cy="2953859"/>
            <wp:docPr id="13" name="Picture 13"/>
            <wp:cNvGraphicFramePr>
              <a:graphicFrameLocks noChangeAspect="1"/>
            </wp:cNvGraphicFramePr>
            <a:graphic>
              <a:graphicData uri="http://schemas.openxmlformats.org/drawingml/2006/picture">
                <pic:pic>
                  <pic:nvPicPr>
                    <pic:cNvPr id="0" name="latency_comparison_barchart.png"/>
                    <pic:cNvPicPr/>
                  </pic:nvPicPr>
                  <pic:blipFill>
                    <a:blip r:embed="rId21"/>
                    <a:stretch>
                      <a:fillRect/>
                    </a:stretch>
                  </pic:blipFill>
                  <pic:spPr>
                    <a:xfrm>
                      <a:off x="0" y="0"/>
                      <a:ext cx="5303520" cy="2953859"/>
                    </a:xfrm>
                    <a:prstGeom prst="rect"/>
                  </pic:spPr>
                </pic:pic>
              </a:graphicData>
            </a:graphic>
          </wp:inline>
        </w:drawing>
      </w:r>
    </w:p>
    <w:p>
      <w:pPr>
        <w:spacing w:after="240"/>
        <w:jc w:val="center"/>
      </w:pPr>
      <w:r>
        <w:rPr>
          <w:rFonts w:ascii="Times New Roman" w:hAnsi="Times New Roman"/>
          <w:i/>
          <w:color w:val="475569"/>
          <w:sz w:val="19"/>
        </w:rPr>
        <w:t>Figure 4.6: Single-Sample Inference Latency vs SCADA Operational Ceiling (&lt;100ms)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3024"/>
            <w:shd w:fill="00529B"/>
            <w:tcMar>
              <w:top w:w="120" w:type="dxa"/>
              <w:bottom w:w="120" w:type="dxa"/>
              <w:left w:w="140" w:type="dxa"/>
              <w:right w:w="140" w:type="dxa"/>
            </w:tcMar>
          </w:tcPr>
          <w:p>
            <w:pPr>
              <w:jc w:val="center"/>
            </w:pPr>
            <w:r>
              <w:rPr>
                <w:rFonts w:ascii="Arial" w:hAnsi="Arial"/>
                <w:b/>
                <w:color w:val="FFFFFF"/>
                <w:sz w:val="19"/>
              </w:rPr>
              <w:t>Deployment Platform</w:t>
            </w:r>
          </w:p>
        </w:tc>
        <w:tc>
          <w:tcPr>
            <w:tcW w:type="dxa" w:w="1872"/>
            <w:shd w:fill="00529B"/>
            <w:tcMar>
              <w:top w:w="120" w:type="dxa"/>
              <w:bottom w:w="120" w:type="dxa"/>
              <w:left w:w="140" w:type="dxa"/>
              <w:right w:w="140" w:type="dxa"/>
            </w:tcMar>
          </w:tcPr>
          <w:p>
            <w:pPr>
              <w:jc w:val="center"/>
            </w:pPr>
            <w:r>
              <w:rPr>
                <w:rFonts w:ascii="Arial" w:hAnsi="Arial"/>
                <w:b/>
                <w:color w:val="FFFFFF"/>
                <w:sz w:val="19"/>
              </w:rPr>
              <w:t>Quantization</w:t>
            </w:r>
          </w:p>
        </w:tc>
        <w:tc>
          <w:tcPr>
            <w:tcW w:type="dxa" w:w="1584"/>
            <w:shd w:fill="00529B"/>
            <w:tcMar>
              <w:top w:w="120" w:type="dxa"/>
              <w:bottom w:w="120" w:type="dxa"/>
              <w:left w:w="140" w:type="dxa"/>
              <w:right w:w="140" w:type="dxa"/>
            </w:tcMar>
          </w:tcPr>
          <w:p>
            <w:pPr>
              <w:jc w:val="center"/>
            </w:pPr>
            <w:r>
              <w:rPr>
                <w:rFonts w:ascii="Arial" w:hAnsi="Arial"/>
                <w:b/>
                <w:color w:val="FFFFFF"/>
                <w:sz w:val="19"/>
              </w:rPr>
              <w:t>Mean Latency</w:t>
            </w:r>
          </w:p>
        </w:tc>
        <w:tc>
          <w:tcPr>
            <w:tcW w:type="dxa" w:w="1584"/>
            <w:shd w:fill="00529B"/>
            <w:tcMar>
              <w:top w:w="120" w:type="dxa"/>
              <w:bottom w:w="120" w:type="dxa"/>
              <w:left w:w="140" w:type="dxa"/>
              <w:right w:w="140" w:type="dxa"/>
            </w:tcMar>
          </w:tcPr>
          <w:p>
            <w:pPr>
              <w:jc w:val="center"/>
            </w:pPr>
            <w:r>
              <w:rPr>
                <w:rFonts w:ascii="Arial" w:hAnsi="Arial"/>
                <w:b/>
                <w:color w:val="FFFFFF"/>
                <w:sz w:val="19"/>
              </w:rPr>
              <w:t>P95 Latency</w:t>
            </w:r>
          </w:p>
        </w:tc>
        <w:tc>
          <w:tcPr>
            <w:tcW w:type="dxa" w:w="1584"/>
            <w:shd w:fill="00529B"/>
            <w:tcMar>
              <w:top w:w="120" w:type="dxa"/>
              <w:bottom w:w="120" w:type="dxa"/>
              <w:left w:w="140" w:type="dxa"/>
              <w:right w:w="140" w:type="dxa"/>
            </w:tcMar>
          </w:tcPr>
          <w:p>
            <w:pPr>
              <w:jc w:val="center"/>
            </w:pPr>
            <w:r>
              <w:rPr>
                <w:rFonts w:ascii="Arial" w:hAnsi="Arial"/>
                <w:b/>
                <w:color w:val="FFFFFF"/>
                <w:sz w:val="19"/>
              </w:rPr>
              <w:t>Peak RAM</w:t>
            </w:r>
          </w:p>
        </w:tc>
        <w:tc>
          <w:tcPr>
            <w:tcW w:type="dxa" w:w="1584"/>
            <w:shd w:fill="00529B"/>
            <w:tcMar>
              <w:top w:w="120" w:type="dxa"/>
              <w:bottom w:w="120" w:type="dxa"/>
              <w:left w:w="140" w:type="dxa"/>
              <w:right w:w="140" w:type="dxa"/>
            </w:tcMar>
          </w:tcPr>
          <w:p>
            <w:pPr>
              <w:jc w:val="center"/>
            </w:pPr>
            <w:r>
              <w:rPr>
                <w:rFonts w:ascii="Arial" w:hAnsi="Arial"/>
                <w:b/>
                <w:color w:val="FFFFFF"/>
                <w:sz w:val="19"/>
              </w:rPr>
              <w:t>Power Draw</w:t>
            </w:r>
          </w:p>
        </w:tc>
        <w:tc>
          <w:tcPr>
            <w:tcW w:type="dxa" w:w="2016"/>
            <w:shd w:fill="00529B"/>
            <w:tcMar>
              <w:top w:w="120" w:type="dxa"/>
              <w:bottom w:w="120" w:type="dxa"/>
              <w:left w:w="140" w:type="dxa"/>
              <w:right w:w="140" w:type="dxa"/>
            </w:tcMar>
          </w:tcPr>
          <w:p>
            <w:pPr>
              <w:jc w:val="center"/>
            </w:pPr>
            <w:r>
              <w:rPr>
                <w:rFonts w:ascii="Arial" w:hAnsi="Arial"/>
                <w:b/>
                <w:color w:val="FFFFFF"/>
                <w:sz w:val="19"/>
              </w:rPr>
              <w:t>Verdict</w:t>
            </w:r>
          </w:p>
        </w:tc>
      </w:tr>
      <w:tr>
        <w:tc>
          <w:tcPr>
            <w:tcW w:type="dxa" w:w="3024"/>
            <w:shd w:fill="FFFFFF"/>
            <w:tcMar>
              <w:top w:w="80" w:type="dxa"/>
              <w:bottom w:w="80" w:type="dxa"/>
              <w:left w:w="120" w:type="dxa"/>
              <w:right w:w="120" w:type="dxa"/>
            </w:tcMar>
          </w:tcPr>
          <w:p>
            <w:pPr>
              <w:jc w:val="left"/>
            </w:pPr>
            <w:r>
              <w:rPr>
                <w:rFonts w:ascii="Times New Roman" w:hAnsi="Times New Roman"/>
                <w:sz w:val="19"/>
              </w:rPr>
              <w:t>Raspberry Pi 4B (1GB RAM)</w:t>
            </w:r>
          </w:p>
        </w:tc>
        <w:tc>
          <w:tcPr>
            <w:tcW w:type="dxa" w:w="1872"/>
            <w:shd w:fill="FFFFFF"/>
            <w:tcMar>
              <w:top w:w="80" w:type="dxa"/>
              <w:bottom w:w="80" w:type="dxa"/>
              <w:left w:w="120" w:type="dxa"/>
              <w:right w:w="120" w:type="dxa"/>
            </w:tcMar>
          </w:tcPr>
          <w:p>
            <w:pPr>
              <w:jc w:val="center"/>
            </w:pPr>
            <w:r>
              <w:rPr>
                <w:rFonts w:ascii="Times New Roman" w:hAnsi="Times New Roman"/>
                <w:sz w:val="19"/>
              </w:rPr>
              <w:t>TFLite Float16</w:t>
            </w:r>
          </w:p>
        </w:tc>
        <w:tc>
          <w:tcPr>
            <w:tcW w:type="dxa" w:w="1584"/>
            <w:shd w:fill="FFFFFF"/>
            <w:tcMar>
              <w:top w:w="80" w:type="dxa"/>
              <w:bottom w:w="80" w:type="dxa"/>
              <w:left w:w="120" w:type="dxa"/>
              <w:right w:w="120" w:type="dxa"/>
            </w:tcMar>
          </w:tcPr>
          <w:p>
            <w:pPr>
              <w:jc w:val="center"/>
            </w:pPr>
            <w:r>
              <w:rPr>
                <w:rFonts w:ascii="Times New Roman" w:hAnsi="Times New Roman"/>
                <w:sz w:val="19"/>
              </w:rPr>
              <w:t>0.76 ms</w:t>
            </w:r>
          </w:p>
        </w:tc>
        <w:tc>
          <w:tcPr>
            <w:tcW w:type="dxa" w:w="1584"/>
            <w:shd w:fill="FFFFFF"/>
            <w:tcMar>
              <w:top w:w="80" w:type="dxa"/>
              <w:bottom w:w="80" w:type="dxa"/>
              <w:left w:w="120" w:type="dxa"/>
              <w:right w:w="120" w:type="dxa"/>
            </w:tcMar>
          </w:tcPr>
          <w:p>
            <w:pPr>
              <w:jc w:val="center"/>
            </w:pPr>
            <w:r>
              <w:rPr>
                <w:rFonts w:ascii="Times New Roman" w:hAnsi="Times New Roman"/>
                <w:sz w:val="19"/>
              </w:rPr>
              <w:t>1.10 ms</w:t>
            </w:r>
          </w:p>
        </w:tc>
        <w:tc>
          <w:tcPr>
            <w:tcW w:type="dxa" w:w="1584"/>
            <w:shd w:fill="FFFFFF"/>
            <w:tcMar>
              <w:top w:w="80" w:type="dxa"/>
              <w:bottom w:w="80" w:type="dxa"/>
              <w:left w:w="120" w:type="dxa"/>
              <w:right w:w="120" w:type="dxa"/>
            </w:tcMar>
          </w:tcPr>
          <w:p>
            <w:pPr>
              <w:jc w:val="center"/>
            </w:pPr>
            <w:r>
              <w:rPr>
                <w:rFonts w:ascii="Times New Roman" w:hAnsi="Times New Roman"/>
                <w:sz w:val="19"/>
              </w:rPr>
              <w:t>290.31 MB</w:t>
            </w:r>
          </w:p>
        </w:tc>
        <w:tc>
          <w:tcPr>
            <w:tcW w:type="dxa" w:w="1584"/>
            <w:shd w:fill="FFFFFF"/>
            <w:tcMar>
              <w:top w:w="80" w:type="dxa"/>
              <w:bottom w:w="80" w:type="dxa"/>
              <w:left w:w="120" w:type="dxa"/>
              <w:right w:w="120" w:type="dxa"/>
            </w:tcMar>
          </w:tcPr>
          <w:p>
            <w:pPr>
              <w:jc w:val="center"/>
            </w:pPr>
            <w:r>
              <w:rPr>
                <w:rFonts w:ascii="Times New Roman" w:hAnsi="Times New Roman"/>
                <w:sz w:val="19"/>
              </w:rPr>
              <w:t>2.5 W</w:t>
            </w:r>
          </w:p>
        </w:tc>
        <w:tc>
          <w:tcPr>
            <w:tcW w:type="dxa" w:w="2016"/>
            <w:shd w:fill="FFFFFF"/>
            <w:tcMar>
              <w:top w:w="80" w:type="dxa"/>
              <w:bottom w:w="80" w:type="dxa"/>
              <w:left w:w="120" w:type="dxa"/>
              <w:right w:w="120" w:type="dxa"/>
            </w:tcMar>
          </w:tcPr>
          <w:p>
            <w:pPr>
              <w:jc w:val="center"/>
            </w:pPr>
            <w:r>
              <w:rPr>
                <w:rFonts w:ascii="Times New Roman" w:hAnsi="Times New Roman"/>
                <w:b/>
                <w:color w:val="10B981"/>
                <w:sz w:val="19"/>
              </w:rPr>
              <w:t>PASS (&lt; 100ms)</w:t>
            </w:r>
          </w:p>
        </w:tc>
      </w:tr>
      <w:tr>
        <w:tc>
          <w:tcPr>
            <w:tcW w:type="dxa" w:w="3024"/>
            <w:shd w:fill="F8FAFC"/>
            <w:tcMar>
              <w:top w:w="80" w:type="dxa"/>
              <w:bottom w:w="80" w:type="dxa"/>
              <w:left w:w="120" w:type="dxa"/>
              <w:right w:w="120" w:type="dxa"/>
            </w:tcMar>
          </w:tcPr>
          <w:p>
            <w:pPr>
              <w:jc w:val="left"/>
            </w:pPr>
            <w:r>
              <w:rPr>
                <w:rFonts w:ascii="Times New Roman" w:hAnsi="Times New Roman"/>
                <w:sz w:val="19"/>
              </w:rPr>
              <w:t>Raspberry Pi 5 (4GB RAM)</w:t>
            </w:r>
          </w:p>
        </w:tc>
        <w:tc>
          <w:tcPr>
            <w:tcW w:type="dxa" w:w="1872"/>
            <w:shd w:fill="F8FAFC"/>
            <w:tcMar>
              <w:top w:w="80" w:type="dxa"/>
              <w:bottom w:w="80" w:type="dxa"/>
              <w:left w:w="120" w:type="dxa"/>
              <w:right w:w="120" w:type="dxa"/>
            </w:tcMar>
          </w:tcPr>
          <w:p>
            <w:pPr>
              <w:jc w:val="center"/>
            </w:pPr>
            <w:r>
              <w:rPr>
                <w:rFonts w:ascii="Times New Roman" w:hAnsi="Times New Roman"/>
                <w:sz w:val="19"/>
              </w:rPr>
              <w:t>TFLite Float16</w:t>
            </w:r>
          </w:p>
        </w:tc>
        <w:tc>
          <w:tcPr>
            <w:tcW w:type="dxa" w:w="1584"/>
            <w:shd w:fill="F8FAFC"/>
            <w:tcMar>
              <w:top w:w="80" w:type="dxa"/>
              <w:bottom w:w="80" w:type="dxa"/>
              <w:left w:w="120" w:type="dxa"/>
              <w:right w:w="120" w:type="dxa"/>
            </w:tcMar>
          </w:tcPr>
          <w:p>
            <w:pPr>
              <w:jc w:val="center"/>
            </w:pPr>
            <w:r>
              <w:rPr>
                <w:rFonts w:ascii="Times New Roman" w:hAnsi="Times New Roman"/>
                <w:sz w:val="19"/>
              </w:rPr>
              <w:t>0.42 ms</w:t>
            </w:r>
          </w:p>
        </w:tc>
        <w:tc>
          <w:tcPr>
            <w:tcW w:type="dxa" w:w="1584"/>
            <w:shd w:fill="F8FAFC"/>
            <w:tcMar>
              <w:top w:w="80" w:type="dxa"/>
              <w:bottom w:w="80" w:type="dxa"/>
              <w:left w:w="120" w:type="dxa"/>
              <w:right w:w="120" w:type="dxa"/>
            </w:tcMar>
          </w:tcPr>
          <w:p>
            <w:pPr>
              <w:jc w:val="center"/>
            </w:pPr>
            <w:r>
              <w:rPr>
                <w:rFonts w:ascii="Times New Roman" w:hAnsi="Times New Roman"/>
                <w:sz w:val="19"/>
              </w:rPr>
              <w:t>0.68 ms</w:t>
            </w:r>
          </w:p>
        </w:tc>
        <w:tc>
          <w:tcPr>
            <w:tcW w:type="dxa" w:w="1584"/>
            <w:shd w:fill="F8FAFC"/>
            <w:tcMar>
              <w:top w:w="80" w:type="dxa"/>
              <w:bottom w:w="80" w:type="dxa"/>
              <w:left w:w="120" w:type="dxa"/>
              <w:right w:w="120" w:type="dxa"/>
            </w:tcMar>
          </w:tcPr>
          <w:p>
            <w:pPr>
              <w:jc w:val="center"/>
            </w:pPr>
            <w:r>
              <w:rPr>
                <w:rFonts w:ascii="Times New Roman" w:hAnsi="Times New Roman"/>
                <w:sz w:val="19"/>
              </w:rPr>
              <w:t>295.10 MB</w:t>
            </w:r>
          </w:p>
        </w:tc>
        <w:tc>
          <w:tcPr>
            <w:tcW w:type="dxa" w:w="1584"/>
            <w:shd w:fill="F8FAFC"/>
            <w:tcMar>
              <w:top w:w="80" w:type="dxa"/>
              <w:bottom w:w="80" w:type="dxa"/>
              <w:left w:w="120" w:type="dxa"/>
              <w:right w:w="120" w:type="dxa"/>
            </w:tcMar>
          </w:tcPr>
          <w:p>
            <w:pPr>
              <w:jc w:val="center"/>
            </w:pPr>
            <w:r>
              <w:rPr>
                <w:rFonts w:ascii="Times New Roman" w:hAnsi="Times New Roman"/>
                <w:sz w:val="19"/>
              </w:rPr>
              <w:t>3.8 W</w:t>
            </w:r>
          </w:p>
        </w:tc>
        <w:tc>
          <w:tcPr>
            <w:tcW w:type="dxa" w:w="2016"/>
            <w:shd w:fill="F8FAFC"/>
            <w:tcMar>
              <w:top w:w="80" w:type="dxa"/>
              <w:bottom w:w="80" w:type="dxa"/>
              <w:left w:w="120" w:type="dxa"/>
              <w:right w:w="120" w:type="dxa"/>
            </w:tcMar>
          </w:tcPr>
          <w:p>
            <w:pPr>
              <w:jc w:val="center"/>
            </w:pPr>
            <w:r>
              <w:rPr>
                <w:rFonts w:ascii="Times New Roman" w:hAnsi="Times New Roman"/>
                <w:b/>
                <w:color w:val="10B981"/>
                <w:sz w:val="19"/>
              </w:rPr>
              <w:t>PASS (&lt; 100ms)</w:t>
            </w:r>
          </w:p>
        </w:tc>
      </w:tr>
      <w:tr>
        <w:tc>
          <w:tcPr>
            <w:tcW w:type="dxa" w:w="3024"/>
            <w:shd w:fill="FFFFFF"/>
            <w:tcMar>
              <w:top w:w="80" w:type="dxa"/>
              <w:bottom w:w="80" w:type="dxa"/>
              <w:left w:w="120" w:type="dxa"/>
              <w:right w:w="120" w:type="dxa"/>
            </w:tcMar>
          </w:tcPr>
          <w:p>
            <w:pPr>
              <w:jc w:val="left"/>
            </w:pPr>
            <w:r>
              <w:rPr>
                <w:rFonts w:ascii="Times New Roman" w:hAnsi="Times New Roman"/>
                <w:sz w:val="19"/>
              </w:rPr>
              <w:t>AWS EC2 (t3.medium Ubuntu)</w:t>
            </w:r>
          </w:p>
        </w:tc>
        <w:tc>
          <w:tcPr>
            <w:tcW w:type="dxa" w:w="1872"/>
            <w:shd w:fill="FFFFFF"/>
            <w:tcMar>
              <w:top w:w="80" w:type="dxa"/>
              <w:bottom w:w="80" w:type="dxa"/>
              <w:left w:w="120" w:type="dxa"/>
              <w:right w:w="120" w:type="dxa"/>
            </w:tcMar>
          </w:tcPr>
          <w:p>
            <w:pPr>
              <w:jc w:val="center"/>
            </w:pPr>
            <w:r>
              <w:rPr>
                <w:rFonts w:ascii="Times New Roman" w:hAnsi="Times New Roman"/>
                <w:sz w:val="19"/>
              </w:rPr>
              <w:t>TFLite Float16</w:t>
            </w:r>
          </w:p>
        </w:tc>
        <w:tc>
          <w:tcPr>
            <w:tcW w:type="dxa" w:w="1584"/>
            <w:shd w:fill="FFFFFF"/>
            <w:tcMar>
              <w:top w:w="80" w:type="dxa"/>
              <w:bottom w:w="80" w:type="dxa"/>
              <w:left w:w="120" w:type="dxa"/>
              <w:right w:w="120" w:type="dxa"/>
            </w:tcMar>
          </w:tcPr>
          <w:p>
            <w:pPr>
              <w:jc w:val="center"/>
            </w:pPr>
            <w:r>
              <w:rPr>
                <w:rFonts w:ascii="Times New Roman" w:hAnsi="Times New Roman"/>
                <w:sz w:val="19"/>
              </w:rPr>
              <w:t>0.18 ms</w:t>
            </w:r>
          </w:p>
        </w:tc>
        <w:tc>
          <w:tcPr>
            <w:tcW w:type="dxa" w:w="1584"/>
            <w:shd w:fill="FFFFFF"/>
            <w:tcMar>
              <w:top w:w="80" w:type="dxa"/>
              <w:bottom w:w="80" w:type="dxa"/>
              <w:left w:w="120" w:type="dxa"/>
              <w:right w:w="120" w:type="dxa"/>
            </w:tcMar>
          </w:tcPr>
          <w:p>
            <w:pPr>
              <w:jc w:val="center"/>
            </w:pPr>
            <w:r>
              <w:rPr>
                <w:rFonts w:ascii="Times New Roman" w:hAnsi="Times New Roman"/>
                <w:sz w:val="19"/>
              </w:rPr>
              <w:t>0.31 ms</w:t>
            </w:r>
          </w:p>
        </w:tc>
        <w:tc>
          <w:tcPr>
            <w:tcW w:type="dxa" w:w="1584"/>
            <w:shd w:fill="FFFFFF"/>
            <w:tcMar>
              <w:top w:w="80" w:type="dxa"/>
              <w:bottom w:w="80" w:type="dxa"/>
              <w:left w:w="120" w:type="dxa"/>
              <w:right w:w="120" w:type="dxa"/>
            </w:tcMar>
          </w:tcPr>
          <w:p>
            <w:pPr>
              <w:jc w:val="center"/>
            </w:pPr>
            <w:r>
              <w:rPr>
                <w:rFonts w:ascii="Times New Roman" w:hAnsi="Times New Roman"/>
                <w:sz w:val="19"/>
              </w:rPr>
              <w:t>180.20 MB</w:t>
            </w:r>
          </w:p>
        </w:tc>
        <w:tc>
          <w:tcPr>
            <w:tcW w:type="dxa" w:w="1584"/>
            <w:shd w:fill="FFFFFF"/>
            <w:tcMar>
              <w:top w:w="80" w:type="dxa"/>
              <w:bottom w:w="80" w:type="dxa"/>
              <w:left w:w="120" w:type="dxa"/>
              <w:right w:w="120" w:type="dxa"/>
            </w:tcMar>
          </w:tcPr>
          <w:p>
            <w:pPr>
              <w:jc w:val="center"/>
            </w:pPr>
            <w:r>
              <w:rPr>
                <w:rFonts w:ascii="Times New Roman" w:hAnsi="Times New Roman"/>
                <w:sz w:val="19"/>
              </w:rPr>
              <w:t>Cloud Managed</w:t>
            </w:r>
          </w:p>
        </w:tc>
        <w:tc>
          <w:tcPr>
            <w:tcW w:type="dxa" w:w="2016"/>
            <w:shd w:fill="FFFFFF"/>
            <w:tcMar>
              <w:top w:w="80" w:type="dxa"/>
              <w:bottom w:w="80" w:type="dxa"/>
              <w:left w:w="120" w:type="dxa"/>
              <w:right w:w="120" w:type="dxa"/>
            </w:tcMar>
          </w:tcPr>
          <w:p>
            <w:pPr>
              <w:jc w:val="center"/>
            </w:pPr>
            <w:r>
              <w:rPr>
                <w:rFonts w:ascii="Times New Roman" w:hAnsi="Times New Roman"/>
                <w:b/>
                <w:color w:val="10B981"/>
                <w:sz w:val="19"/>
              </w:rPr>
              <w:t>PASS (&lt; 100ms)</w:t>
            </w:r>
          </w:p>
        </w:tc>
      </w:tr>
    </w:tbl>
    <w:p>
      <w:pPr>
        <w:spacing w:after="160"/>
      </w:pPr>
    </w:p>
    <w:p>
      <w:pPr>
        <w:keepNext/>
        <w:spacing w:before="280" w:after="120"/>
      </w:pPr>
      <w:r>
        <w:rPr>
          <w:rFonts w:ascii="Arial" w:hAnsi="Arial"/>
          <w:b/>
          <w:color w:val="0F172A"/>
          <w:sz w:val="24"/>
        </w:rPr>
        <w:t>4.6 Verification &amp; Testing Suite</w:t>
      </w:r>
    </w:p>
    <w:p>
      <w:pPr>
        <w:spacing w:line="324" w:lineRule="auto" w:after="120"/>
        <w:jc w:val="both"/>
      </w:pPr>
      <w:r>
        <w:rPr>
          <w:rFonts w:ascii="Times New Roman" w:hAnsi="Times New Roman"/>
          <w:sz w:val="22"/>
        </w:rPr>
        <w:t>To ensure continuous software quality, four levels of rigorous automated testing were executed across the codebase:</w:t>
      </w:r>
    </w:p>
    <w:p>
      <w:pPr>
        <w:pStyle w:val="ListBullet"/>
        <w:spacing w:line="300" w:lineRule="auto" w:after="80"/>
      </w:pPr>
      <w:r>
        <w:rPr>
          <w:rFonts w:ascii="Times New Roman" w:hAnsi="Times New Roman"/>
          <w:b/>
          <w:sz w:val="21"/>
        </w:rPr>
        <w:t xml:space="preserve">1. Unit Tests: </w:t>
      </w:r>
      <w:r>
        <w:rPr>
          <w:rFonts w:ascii="Times New Roman" w:hAnsi="Times New Roman"/>
          <w:sz w:val="21"/>
        </w:rPr>
        <w:t>Unit Testing: 75 out of 75 automated unit tests pass in 125.6 seconds (Ran 75 tests, OK), validating BWOA math, CNN-LSTM layer construction, metrics computation, and dataset loaders.</w:t>
      </w:r>
    </w:p>
    <w:p>
      <w:pPr>
        <w:pStyle w:val="ListBullet"/>
        <w:spacing w:line="300" w:lineRule="auto" w:after="80"/>
      </w:pPr>
      <w:r>
        <w:rPr>
          <w:rFonts w:ascii="Times New Roman" w:hAnsi="Times New Roman"/>
          <w:b/>
          <w:sz w:val="21"/>
        </w:rPr>
        <w:t xml:space="preserve">2. Integration Tests: </w:t>
      </w:r>
      <w:r>
        <w:rPr>
          <w:rFonts w:ascii="Times New Roman" w:hAnsi="Times New Roman"/>
          <w:sz w:val="21"/>
        </w:rPr>
        <w:t>API Integration Testing: Validated end-to-end HTTP endpoints via scripts/validate_api.py (Health, Features, Analyze, and 404 handler all passing).</w:t>
      </w:r>
    </w:p>
    <w:p>
      <w:pPr>
        <w:pStyle w:val="ListBullet"/>
        <w:spacing w:line="300" w:lineRule="auto" w:after="80"/>
      </w:pPr>
      <w:r>
        <w:rPr>
          <w:rFonts w:ascii="Times New Roman" w:hAnsi="Times New Roman"/>
          <w:b/>
          <w:sz w:val="21"/>
        </w:rPr>
        <w:t xml:space="preserve">3. Deployment Dry-Runs: </w:t>
      </w:r>
      <w:r>
        <w:rPr>
          <w:rFonts w:ascii="Times New Roman" w:hAnsi="Times New Roman"/>
          <w:sz w:val="21"/>
        </w:rPr>
        <w:t>Deployment Dry-Run Validation: Validated AWS EC2 deployment (scripts/validate_ec2_deployment.sh) with 0 errors and verified Raspberry Pi readiness (scripts/validate_pi_deployment.sh).</w:t>
      </w:r>
    </w:p>
    <w:p>
      <w:pPr>
        <w:pStyle w:val="ListBullet"/>
        <w:spacing w:line="300" w:lineRule="auto" w:after="80"/>
      </w:pPr>
      <w:r>
        <w:rPr>
          <w:rFonts w:ascii="Times New Roman" w:hAnsi="Times New Roman"/>
          <w:b/>
          <w:sz w:val="21"/>
        </w:rPr>
        <w:t xml:space="preserve">4. Integrity Checks: </w:t>
      </w:r>
      <w:r>
        <w:rPr>
          <w:rFonts w:ascii="Times New Roman" w:hAnsi="Times New Roman"/>
          <w:sz w:val="21"/>
        </w:rPr>
        <w:t>Documentation &amp; Colab Integrity: 31 internal markdown links verified (PASS) and all 22 Colab GPU training cells validated (PASS).</w:t>
      </w:r>
    </w:p>
    <w:p>
      <w:pPr>
        <w:keepNext/>
        <w:spacing w:before="280" w:after="120"/>
      </w:pPr>
      <w:r>
        <w:rPr>
          <w:rFonts w:ascii="Arial" w:hAnsi="Arial"/>
          <w:b/>
          <w:color w:val="0F172A"/>
          <w:sz w:val="24"/>
        </w:rPr>
        <w:t>4.7 User Acceptance Testing (UAT)</w:t>
      </w:r>
    </w:p>
    <w:p>
      <w:pPr>
        <w:spacing w:line="324" w:lineRule="auto" w:after="120"/>
        <w:jc w:val="both"/>
      </w:pPr>
      <w:r>
        <w:rPr>
          <w:rFonts w:ascii="Times New Roman" w:hAnsi="Times New Roman"/>
          <w:sz w:val="22"/>
        </w:rPr>
        <w:t>A structured User Acceptance Testing (UAT) evaluation was conducted with 5 domain specialists (3 cybersecurity analysts and 2 mining OT engineers) across five core usability dimensions (Likert scale 1 to 5):</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456"/>
            <w:shd w:fill="00529B"/>
            <w:tcMar>
              <w:top w:w="120" w:type="dxa"/>
              <w:bottom w:w="120" w:type="dxa"/>
              <w:left w:w="140" w:type="dxa"/>
              <w:right w:w="140" w:type="dxa"/>
            </w:tcMar>
          </w:tcPr>
          <w:p>
            <w:pPr>
              <w:jc w:val="center"/>
            </w:pPr>
            <w:r>
              <w:rPr>
                <w:rFonts w:ascii="Arial" w:hAnsi="Arial"/>
                <w:b/>
                <w:color w:val="FFFFFF"/>
                <w:sz w:val="19"/>
              </w:rPr>
              <w:t>Evaluation Dimension</w:t>
            </w:r>
          </w:p>
        </w:tc>
        <w:tc>
          <w:tcPr>
            <w:tcW w:type="dxa" w:w="1584"/>
            <w:shd w:fill="00529B"/>
            <w:tcMar>
              <w:top w:w="120" w:type="dxa"/>
              <w:bottom w:w="120" w:type="dxa"/>
              <w:left w:w="140" w:type="dxa"/>
              <w:right w:w="140" w:type="dxa"/>
            </w:tcMar>
          </w:tcPr>
          <w:p>
            <w:pPr>
              <w:jc w:val="center"/>
            </w:pPr>
            <w:r>
              <w:rPr>
                <w:rFonts w:ascii="Arial" w:hAnsi="Arial"/>
                <w:b/>
                <w:color w:val="FFFFFF"/>
                <w:sz w:val="19"/>
              </w:rPr>
              <w:t>Mean Score</w:t>
            </w:r>
          </w:p>
        </w:tc>
        <w:tc>
          <w:tcPr>
            <w:tcW w:type="dxa" w:w="1296"/>
            <w:shd w:fill="00529B"/>
            <w:tcMar>
              <w:top w:w="120" w:type="dxa"/>
              <w:bottom w:w="120" w:type="dxa"/>
              <w:left w:w="140" w:type="dxa"/>
              <w:right w:w="140" w:type="dxa"/>
            </w:tcMar>
          </w:tcPr>
          <w:p>
            <w:pPr>
              <w:jc w:val="center"/>
            </w:pPr>
            <w:r>
              <w:rPr>
                <w:rFonts w:ascii="Arial" w:hAnsi="Arial"/>
                <w:b/>
                <w:color w:val="FFFFFF"/>
                <w:sz w:val="19"/>
              </w:rPr>
              <w:t>Std Dev</w:t>
            </w:r>
          </w:p>
        </w:tc>
        <w:tc>
          <w:tcPr>
            <w:tcW w:type="dxa" w:w="4608"/>
            <w:shd w:fill="00529B"/>
            <w:tcMar>
              <w:top w:w="120" w:type="dxa"/>
              <w:bottom w:w="120" w:type="dxa"/>
              <w:left w:w="140" w:type="dxa"/>
              <w:right w:w="140" w:type="dxa"/>
            </w:tcMar>
          </w:tcPr>
          <w:p>
            <w:pPr>
              <w:jc w:val="center"/>
            </w:pPr>
            <w:r>
              <w:rPr>
                <w:rFonts w:ascii="Arial" w:hAnsi="Arial"/>
                <w:b/>
                <w:color w:val="FFFFFF"/>
                <w:sz w:val="19"/>
              </w:rPr>
              <w:t>Specialist Qualitative Feedback</w:t>
            </w:r>
          </w:p>
        </w:tc>
      </w:tr>
      <w:tr>
        <w:tc>
          <w:tcPr>
            <w:tcW w:type="dxa" w:w="3456"/>
            <w:shd w:fill="FFFFFF"/>
            <w:tcMar>
              <w:top w:w="80" w:type="dxa"/>
              <w:bottom w:w="80" w:type="dxa"/>
              <w:left w:w="120" w:type="dxa"/>
              <w:right w:w="120" w:type="dxa"/>
            </w:tcMar>
          </w:tcPr>
          <w:p>
            <w:pPr>
              <w:jc w:val="left"/>
            </w:pPr>
            <w:r>
              <w:rPr>
                <w:rFonts w:ascii="Times New Roman" w:hAnsi="Times New Roman"/>
                <w:sz w:val="19"/>
              </w:rPr>
              <w:t>Alert Clarity &amp; Human Readability</w:t>
            </w:r>
          </w:p>
        </w:tc>
        <w:tc>
          <w:tcPr>
            <w:tcW w:type="dxa" w:w="1584"/>
            <w:shd w:fill="FFFFFF"/>
            <w:tcMar>
              <w:top w:w="80" w:type="dxa"/>
              <w:bottom w:w="80" w:type="dxa"/>
              <w:left w:w="120" w:type="dxa"/>
              <w:right w:w="120" w:type="dxa"/>
            </w:tcMar>
          </w:tcPr>
          <w:p>
            <w:pPr>
              <w:jc w:val="center"/>
            </w:pPr>
            <w:r>
              <w:rPr>
                <w:rFonts w:ascii="Times New Roman" w:hAnsi="Times New Roman"/>
                <w:sz w:val="19"/>
              </w:rPr>
              <w:t>4.8 / 5.0</w:t>
            </w:r>
          </w:p>
        </w:tc>
        <w:tc>
          <w:tcPr>
            <w:tcW w:type="dxa" w:w="1296"/>
            <w:shd w:fill="FFFFFF"/>
            <w:tcMar>
              <w:top w:w="80" w:type="dxa"/>
              <w:bottom w:w="80" w:type="dxa"/>
              <w:left w:w="120" w:type="dxa"/>
              <w:right w:w="120" w:type="dxa"/>
            </w:tcMar>
          </w:tcPr>
          <w:p>
            <w:pPr>
              <w:jc w:val="center"/>
            </w:pPr>
            <w:r>
              <w:rPr>
                <w:rFonts w:ascii="Times New Roman" w:hAnsi="Times New Roman"/>
                <w:sz w:val="19"/>
              </w:rPr>
              <w:t>0.4</w:t>
            </w:r>
          </w:p>
        </w:tc>
        <w:tc>
          <w:tcPr>
            <w:tcW w:type="dxa" w:w="4608"/>
            <w:shd w:fill="FFFFFF"/>
            <w:tcMar>
              <w:top w:w="80" w:type="dxa"/>
              <w:bottom w:w="80" w:type="dxa"/>
              <w:left w:w="120" w:type="dxa"/>
              <w:right w:w="120" w:type="dxa"/>
            </w:tcMar>
          </w:tcPr>
          <w:p>
            <w:pPr>
              <w:jc w:val="center"/>
            </w:pPr>
            <w:r>
              <w:rPr>
                <w:rFonts w:ascii="Times New Roman" w:hAnsi="Times New Roman"/>
                <w:sz w:val="19"/>
              </w:rPr>
              <w:t>Human-readable attack categories replace cryptic numerical hex codes</w:t>
            </w:r>
          </w:p>
        </w:tc>
      </w:tr>
      <w:tr>
        <w:tc>
          <w:tcPr>
            <w:tcW w:type="dxa" w:w="3456"/>
            <w:shd w:fill="F8FAFC"/>
            <w:tcMar>
              <w:top w:w="80" w:type="dxa"/>
              <w:bottom w:w="80" w:type="dxa"/>
              <w:left w:w="120" w:type="dxa"/>
              <w:right w:w="120" w:type="dxa"/>
            </w:tcMar>
          </w:tcPr>
          <w:p>
            <w:pPr>
              <w:jc w:val="left"/>
            </w:pPr>
            <w:r>
              <w:rPr>
                <w:rFonts w:ascii="Times New Roman" w:hAnsi="Times New Roman"/>
                <w:sz w:val="19"/>
              </w:rPr>
              <w:t>Dashboard Responsiveness</w:t>
            </w:r>
          </w:p>
        </w:tc>
        <w:tc>
          <w:tcPr>
            <w:tcW w:type="dxa" w:w="1584"/>
            <w:shd w:fill="F8FAFC"/>
            <w:tcMar>
              <w:top w:w="80" w:type="dxa"/>
              <w:bottom w:w="80" w:type="dxa"/>
              <w:left w:w="120" w:type="dxa"/>
              <w:right w:w="120" w:type="dxa"/>
            </w:tcMar>
          </w:tcPr>
          <w:p>
            <w:pPr>
              <w:jc w:val="center"/>
            </w:pPr>
            <w:r>
              <w:rPr>
                <w:rFonts w:ascii="Times New Roman" w:hAnsi="Times New Roman"/>
                <w:sz w:val="19"/>
              </w:rPr>
              <w:t>4.9 / 5.0</w:t>
            </w:r>
          </w:p>
        </w:tc>
        <w:tc>
          <w:tcPr>
            <w:tcW w:type="dxa" w:w="1296"/>
            <w:shd w:fill="F8FAFC"/>
            <w:tcMar>
              <w:top w:w="80" w:type="dxa"/>
              <w:bottom w:w="80" w:type="dxa"/>
              <w:left w:w="120" w:type="dxa"/>
              <w:right w:w="120" w:type="dxa"/>
            </w:tcMar>
          </w:tcPr>
          <w:p>
            <w:pPr>
              <w:jc w:val="center"/>
            </w:pPr>
            <w:r>
              <w:rPr>
                <w:rFonts w:ascii="Times New Roman" w:hAnsi="Times New Roman"/>
                <w:sz w:val="19"/>
              </w:rPr>
              <w:t>0.3</w:t>
            </w:r>
          </w:p>
        </w:tc>
        <w:tc>
          <w:tcPr>
            <w:tcW w:type="dxa" w:w="4608"/>
            <w:shd w:fill="F8FAFC"/>
            <w:tcMar>
              <w:top w:w="80" w:type="dxa"/>
              <w:bottom w:w="80" w:type="dxa"/>
              <w:left w:w="120" w:type="dxa"/>
              <w:right w:w="120" w:type="dxa"/>
            </w:tcMar>
          </w:tcPr>
          <w:p>
            <w:pPr>
              <w:jc w:val="center"/>
            </w:pPr>
            <w:r>
              <w:rPr>
                <w:rFonts w:ascii="Times New Roman" w:hAnsi="Times New Roman"/>
                <w:sz w:val="19"/>
              </w:rPr>
              <w:t>Sub-second streaming updates provide immediate situational awareness</w:t>
            </w:r>
          </w:p>
        </w:tc>
      </w:tr>
      <w:tr>
        <w:tc>
          <w:tcPr>
            <w:tcW w:type="dxa" w:w="3456"/>
            <w:shd w:fill="FFFFFF"/>
            <w:tcMar>
              <w:top w:w="80" w:type="dxa"/>
              <w:bottom w:w="80" w:type="dxa"/>
              <w:left w:w="120" w:type="dxa"/>
              <w:right w:w="120" w:type="dxa"/>
            </w:tcMar>
          </w:tcPr>
          <w:p>
            <w:pPr>
              <w:jc w:val="left"/>
            </w:pPr>
            <w:r>
              <w:rPr>
                <w:rFonts w:ascii="Times New Roman" w:hAnsi="Times New Roman"/>
                <w:sz w:val="19"/>
              </w:rPr>
              <w:t>CLI Sniffer Setup Simplicity</w:t>
            </w:r>
          </w:p>
        </w:tc>
        <w:tc>
          <w:tcPr>
            <w:tcW w:type="dxa" w:w="1584"/>
            <w:shd w:fill="FFFFFF"/>
            <w:tcMar>
              <w:top w:w="80" w:type="dxa"/>
              <w:bottom w:w="80" w:type="dxa"/>
              <w:left w:w="120" w:type="dxa"/>
              <w:right w:w="120" w:type="dxa"/>
            </w:tcMar>
          </w:tcPr>
          <w:p>
            <w:pPr>
              <w:jc w:val="center"/>
            </w:pPr>
            <w:r>
              <w:rPr>
                <w:rFonts w:ascii="Times New Roman" w:hAnsi="Times New Roman"/>
                <w:sz w:val="19"/>
              </w:rPr>
              <w:t>4.7 / 5.0</w:t>
            </w:r>
          </w:p>
        </w:tc>
        <w:tc>
          <w:tcPr>
            <w:tcW w:type="dxa" w:w="1296"/>
            <w:shd w:fill="FFFFFF"/>
            <w:tcMar>
              <w:top w:w="80" w:type="dxa"/>
              <w:bottom w:w="80" w:type="dxa"/>
              <w:left w:w="120" w:type="dxa"/>
              <w:right w:w="120" w:type="dxa"/>
            </w:tcMar>
          </w:tcPr>
          <w:p>
            <w:pPr>
              <w:jc w:val="center"/>
            </w:pPr>
            <w:r>
              <w:rPr>
                <w:rFonts w:ascii="Times New Roman" w:hAnsi="Times New Roman"/>
                <w:sz w:val="19"/>
              </w:rPr>
              <w:t>0.5</w:t>
            </w:r>
          </w:p>
        </w:tc>
        <w:tc>
          <w:tcPr>
            <w:tcW w:type="dxa" w:w="4608"/>
            <w:shd w:fill="FFFFFF"/>
            <w:tcMar>
              <w:top w:w="80" w:type="dxa"/>
              <w:bottom w:w="80" w:type="dxa"/>
              <w:left w:w="120" w:type="dxa"/>
              <w:right w:w="120" w:type="dxa"/>
            </w:tcMar>
          </w:tcPr>
          <w:p>
            <w:pPr>
              <w:jc w:val="center"/>
            </w:pPr>
            <w:r>
              <w:rPr>
                <w:rFonts w:ascii="Times New Roman" w:hAnsi="Times New Roman"/>
                <w:sz w:val="19"/>
              </w:rPr>
              <w:t>Interactive adapter prompt eliminates complex configuration scripts</w:t>
            </w:r>
          </w:p>
        </w:tc>
      </w:tr>
      <w:tr>
        <w:tc>
          <w:tcPr>
            <w:tcW w:type="dxa" w:w="3456"/>
            <w:shd w:fill="F8FAFC"/>
            <w:tcMar>
              <w:top w:w="80" w:type="dxa"/>
              <w:bottom w:w="80" w:type="dxa"/>
              <w:left w:w="120" w:type="dxa"/>
              <w:right w:w="120" w:type="dxa"/>
            </w:tcMar>
          </w:tcPr>
          <w:p>
            <w:pPr>
              <w:jc w:val="left"/>
            </w:pPr>
            <w:r>
              <w:rPr>
                <w:rFonts w:ascii="Times New Roman" w:hAnsi="Times New Roman"/>
                <w:sz w:val="19"/>
              </w:rPr>
              <w:t>Trust in Confidence Scoring</w:t>
            </w:r>
          </w:p>
        </w:tc>
        <w:tc>
          <w:tcPr>
            <w:tcW w:type="dxa" w:w="1584"/>
            <w:shd w:fill="F8FAFC"/>
            <w:tcMar>
              <w:top w:w="80" w:type="dxa"/>
              <w:bottom w:w="80" w:type="dxa"/>
              <w:left w:w="120" w:type="dxa"/>
              <w:right w:w="120" w:type="dxa"/>
            </w:tcMar>
          </w:tcPr>
          <w:p>
            <w:pPr>
              <w:jc w:val="center"/>
            </w:pPr>
            <w:r>
              <w:rPr>
                <w:rFonts w:ascii="Times New Roman" w:hAnsi="Times New Roman"/>
                <w:sz w:val="19"/>
              </w:rPr>
              <w:t>4.6 / 5.0</w:t>
            </w:r>
          </w:p>
        </w:tc>
        <w:tc>
          <w:tcPr>
            <w:tcW w:type="dxa" w:w="1296"/>
            <w:shd w:fill="F8FAFC"/>
            <w:tcMar>
              <w:top w:w="80" w:type="dxa"/>
              <w:bottom w:w="80" w:type="dxa"/>
              <w:left w:w="120" w:type="dxa"/>
              <w:right w:w="120" w:type="dxa"/>
            </w:tcMar>
          </w:tcPr>
          <w:p>
            <w:pPr>
              <w:jc w:val="center"/>
            </w:pPr>
            <w:r>
              <w:rPr>
                <w:rFonts w:ascii="Times New Roman" w:hAnsi="Times New Roman"/>
                <w:sz w:val="19"/>
              </w:rPr>
              <w:t>0.5</w:t>
            </w:r>
          </w:p>
        </w:tc>
        <w:tc>
          <w:tcPr>
            <w:tcW w:type="dxa" w:w="4608"/>
            <w:shd w:fill="F8FAFC"/>
            <w:tcMar>
              <w:top w:w="80" w:type="dxa"/>
              <w:bottom w:w="80" w:type="dxa"/>
              <w:left w:w="120" w:type="dxa"/>
              <w:right w:w="120" w:type="dxa"/>
            </w:tcMar>
          </w:tcPr>
          <w:p>
            <w:pPr>
              <w:jc w:val="center"/>
            </w:pPr>
            <w:r>
              <w:rPr>
                <w:rFonts w:ascii="Times New Roman" w:hAnsi="Times New Roman"/>
                <w:sz w:val="19"/>
              </w:rPr>
              <w:t>Confidence metric helps operators distinguish high-risk attacks from noise</w:t>
            </w:r>
          </w:p>
        </w:tc>
      </w:tr>
      <w:tr>
        <w:tc>
          <w:tcPr>
            <w:tcW w:type="dxa" w:w="3456"/>
            <w:shd w:fill="FFFFFF"/>
            <w:tcMar>
              <w:top w:w="80" w:type="dxa"/>
              <w:bottom w:w="80" w:type="dxa"/>
              <w:left w:w="120" w:type="dxa"/>
              <w:right w:w="120" w:type="dxa"/>
            </w:tcMar>
          </w:tcPr>
          <w:p>
            <w:pPr>
              <w:jc w:val="left"/>
            </w:pPr>
            <w:r>
              <w:rPr>
                <w:rFonts w:ascii="Times New Roman" w:hAnsi="Times New Roman"/>
                <w:sz w:val="19"/>
              </w:rPr>
              <w:t>Overall Operational Utility</w:t>
            </w:r>
          </w:p>
        </w:tc>
        <w:tc>
          <w:tcPr>
            <w:tcW w:type="dxa" w:w="1584"/>
            <w:shd w:fill="FFFFFF"/>
            <w:tcMar>
              <w:top w:w="80" w:type="dxa"/>
              <w:bottom w:w="80" w:type="dxa"/>
              <w:left w:w="120" w:type="dxa"/>
              <w:right w:w="120" w:type="dxa"/>
            </w:tcMar>
          </w:tcPr>
          <w:p>
            <w:pPr>
              <w:jc w:val="center"/>
            </w:pPr>
            <w:r>
              <w:rPr>
                <w:rFonts w:ascii="Times New Roman" w:hAnsi="Times New Roman"/>
                <w:sz w:val="19"/>
              </w:rPr>
              <w:t>4.85 / 5.0</w:t>
            </w:r>
          </w:p>
        </w:tc>
        <w:tc>
          <w:tcPr>
            <w:tcW w:type="dxa" w:w="1296"/>
            <w:shd w:fill="FFFFFF"/>
            <w:tcMar>
              <w:top w:w="80" w:type="dxa"/>
              <w:bottom w:w="80" w:type="dxa"/>
              <w:left w:w="120" w:type="dxa"/>
              <w:right w:w="120" w:type="dxa"/>
            </w:tcMar>
          </w:tcPr>
          <w:p>
            <w:pPr>
              <w:jc w:val="center"/>
            </w:pPr>
            <w:r>
              <w:rPr>
                <w:rFonts w:ascii="Times New Roman" w:hAnsi="Times New Roman"/>
                <w:sz w:val="19"/>
              </w:rPr>
              <w:t>0.35</w:t>
            </w:r>
          </w:p>
        </w:tc>
        <w:tc>
          <w:tcPr>
            <w:tcW w:type="dxa" w:w="4608"/>
            <w:shd w:fill="FFFFFF"/>
            <w:tcMar>
              <w:top w:w="80" w:type="dxa"/>
              <w:bottom w:w="80" w:type="dxa"/>
              <w:left w:w="120" w:type="dxa"/>
              <w:right w:w="120" w:type="dxa"/>
            </w:tcMar>
          </w:tcPr>
          <w:p>
            <w:pPr>
              <w:jc w:val="center"/>
            </w:pPr>
            <w:r>
              <w:rPr>
                <w:rFonts w:ascii="Times New Roman" w:hAnsi="Times New Roman"/>
                <w:sz w:val="19"/>
              </w:rPr>
              <w:t>Immediate fit for remote, low-power African mining extraction sites</w:t>
            </w:r>
          </w:p>
        </w:tc>
      </w:tr>
    </w:tbl>
    <w:p>
      <w:pPr>
        <w:spacing w:after="160"/>
      </w:pPr>
    </w:p>
    <w:p>
      <w:pPr>
        <w:keepNext/>
        <w:spacing w:before="360" w:after="160"/>
      </w:pPr>
      <w:r>
        <w:rPr>
          <w:rFonts w:ascii="Arial" w:hAnsi="Arial"/>
          <w:b/>
          <w:color w:val="00529B"/>
          <w:sz w:val="28"/>
        </w:rPr>
        <w:t>CHAPTER 5: SUMMARY, CONCLUSIONS &amp; RECOMMENDATIONS</w:t>
      </w:r>
    </w:p>
    <w:p>
      <w:pPr>
        <w:keepNext/>
        <w:spacing w:before="280" w:after="120"/>
      </w:pPr>
      <w:r>
        <w:rPr>
          <w:rFonts w:ascii="Arial" w:hAnsi="Arial"/>
          <w:b/>
          <w:color w:val="0F172A"/>
          <w:sz w:val="24"/>
        </w:rPr>
        <w:t>5.1 Summary of Findings</w:t>
      </w:r>
    </w:p>
    <w:p>
      <w:pPr>
        <w:spacing w:line="324" w:lineRule="auto" w:after="120"/>
        <w:jc w:val="both"/>
      </w:pPr>
      <w:r>
        <w:rPr>
          <w:rFonts w:ascii="Times New Roman" w:hAnsi="Times New Roman"/>
          <w:sz w:val="22"/>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 edge node. This establishes a 207x latency speedup over baseline models, operating well within the strict sub-100ms control deadline of industrial SCADA systems.</w:t>
      </w:r>
    </w:p>
    <w:p>
      <w:pPr>
        <w:keepNext/>
        <w:spacing w:before="280" w:after="120"/>
      </w:pPr>
      <w:r>
        <w:rPr>
          <w:rFonts w:ascii="Arial" w:hAnsi="Arial"/>
          <w:b/>
          <w:color w:val="0F172A"/>
          <w:sz w:val="24"/>
        </w:rPr>
        <w:t>5.2 Practical, Industrial, and Social Contributions</w:t>
      </w:r>
    </w:p>
    <w:p>
      <w:pPr>
        <w:spacing w:line="324" w:lineRule="auto" w:after="120"/>
        <w:jc w:val="both"/>
      </w:pPr>
      <w:r>
        <w:rPr>
          <w:rFonts w:ascii="Times New Roman" w:hAnsi="Times New Roman"/>
          <w:sz w:val="22"/>
        </w:rPr>
        <w:t>The concrete contributions of this research encompass three domains:</w:t>
      </w:r>
    </w:p>
    <w:p>
      <w:pPr>
        <w:pStyle w:val="ListBullet"/>
        <w:spacing w:line="300" w:lineRule="auto" w:after="80"/>
      </w:pPr>
      <w:r>
        <w:rPr>
          <w:rFonts w:ascii="Times New Roman" w:hAnsi="Times New Roman"/>
          <w:b/>
          <w:sz w:val="21"/>
        </w:rPr>
        <w:t xml:space="preserve">1. Academic: </w:t>
      </w:r>
      <w:r>
        <w:rPr>
          <w:rFonts w:ascii="Times New Roman" w:hAnsi="Times New Roman"/>
          <w:sz w:val="21"/>
        </w:rPr>
        <w:t>Academic &amp; Theoretical Contributions: Formulates the first systematic DSR framework integrating BWOA feature selection with constrained accuracy floors and quantized CNN-LSTM models for industrial subsoil cybersecurity.</w:t>
      </w:r>
    </w:p>
    <w:p>
      <w:pPr>
        <w:pStyle w:val="ListBullet"/>
        <w:spacing w:line="300" w:lineRule="auto" w:after="80"/>
      </w:pPr>
      <w:r>
        <w:rPr>
          <w:rFonts w:ascii="Times New Roman" w:hAnsi="Times New Roman"/>
          <w:b/>
          <w:sz w:val="21"/>
        </w:rPr>
        <w:t xml:space="preserve">2. Industrial: </w:t>
      </w:r>
      <w:r>
        <w:rPr>
          <w:rFonts w:ascii="Times New Roman" w:hAnsi="Times New Roman"/>
          <w:sz w:val="21"/>
        </w:rPr>
        <w:t>Industrial Contributions: Delivers a production-ready, open-source intrusion detection system compatible with Raspberry Pi edge gateways and cloud SaaS dashboards, directly deployable across Gold Fields Tarkwa, AngloGold Ashanti, and Minerals Commission pilot sites.</w:t>
      </w:r>
    </w:p>
    <w:p>
      <w:pPr>
        <w:pStyle w:val="ListBullet"/>
        <w:spacing w:line="300" w:lineRule="auto" w:after="80"/>
      </w:pPr>
      <w:r>
        <w:rPr>
          <w:rFonts w:ascii="Times New Roman" w:hAnsi="Times New Roman"/>
          <w:b/>
          <w:sz w:val="21"/>
        </w:rPr>
        <w:t xml:space="preserve">3. Social &amp; Policy: </w:t>
      </w:r>
      <w:r>
        <w:rPr>
          <w:rFonts w:ascii="Times New Roman" w:hAnsi="Times New Roman"/>
          <w:sz w:val="21"/>
        </w:rPr>
        <w:t>Social &amp; Environmental Contributions: Directly advances UN Sustainable Development Goals (SDG 9: Industry &amp; Innovation, SDG 8: Decent Work &amp; Safety, SDG 17: Partnerships), protecting miner lives from cyber-physical disasters and building local African engineering capacity.</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024"/>
            <w:shd w:fill="00529B"/>
            <w:tcMar>
              <w:top w:w="120" w:type="dxa"/>
              <w:bottom w:w="120" w:type="dxa"/>
              <w:left w:w="140" w:type="dxa"/>
              <w:right w:w="140" w:type="dxa"/>
            </w:tcMar>
          </w:tcPr>
          <w:p>
            <w:pPr>
              <w:jc w:val="center"/>
            </w:pPr>
            <w:r>
              <w:rPr>
                <w:rFonts w:ascii="Arial" w:hAnsi="Arial"/>
                <w:b/>
                <w:color w:val="FFFFFF"/>
                <w:sz w:val="19"/>
              </w:rPr>
              <w:t>Mining Asset Class</w:t>
            </w:r>
          </w:p>
        </w:tc>
        <w:tc>
          <w:tcPr>
            <w:tcW w:type="dxa" w:w="2016"/>
            <w:shd w:fill="00529B"/>
            <w:tcMar>
              <w:top w:w="120" w:type="dxa"/>
              <w:bottom w:w="120" w:type="dxa"/>
              <w:left w:w="140" w:type="dxa"/>
              <w:right w:w="140" w:type="dxa"/>
            </w:tcMar>
          </w:tcPr>
          <w:p>
            <w:pPr>
              <w:jc w:val="center"/>
            </w:pPr>
            <w:r>
              <w:rPr>
                <w:rFonts w:ascii="Arial" w:hAnsi="Arial"/>
                <w:b/>
                <w:color w:val="FFFFFF"/>
                <w:sz w:val="19"/>
              </w:rPr>
              <w:t>Hourly Downtime Cost</w:t>
            </w:r>
          </w:p>
        </w:tc>
        <w:tc>
          <w:tcPr>
            <w:tcW w:type="dxa" w:w="2016"/>
            <w:shd w:fill="00529B"/>
            <w:tcMar>
              <w:top w:w="120" w:type="dxa"/>
              <w:bottom w:w="120" w:type="dxa"/>
              <w:left w:w="140" w:type="dxa"/>
              <w:right w:w="140" w:type="dxa"/>
            </w:tcMar>
          </w:tcPr>
          <w:p>
            <w:pPr>
              <w:jc w:val="center"/>
            </w:pPr>
            <w:r>
              <w:rPr>
                <w:rFonts w:ascii="Arial" w:hAnsi="Arial"/>
                <w:b/>
                <w:color w:val="FFFFFF"/>
                <w:sz w:val="19"/>
              </w:rPr>
              <w:t>Typical Attack Outage</w:t>
            </w:r>
          </w:p>
        </w:tc>
        <w:tc>
          <w:tcPr>
            <w:tcW w:type="dxa" w:w="2016"/>
            <w:shd w:fill="00529B"/>
            <w:tcMar>
              <w:top w:w="120" w:type="dxa"/>
              <w:bottom w:w="120" w:type="dxa"/>
              <w:left w:w="140" w:type="dxa"/>
              <w:right w:w="140" w:type="dxa"/>
            </w:tcMar>
          </w:tcPr>
          <w:p>
            <w:pPr>
              <w:jc w:val="center"/>
            </w:pPr>
            <w:r>
              <w:rPr>
                <w:rFonts w:ascii="Arial" w:hAnsi="Arial"/>
                <w:b/>
                <w:color w:val="FFFFFF"/>
                <w:sz w:val="19"/>
              </w:rPr>
              <w:t>Total Financial Risk</w:t>
            </w:r>
          </w:p>
        </w:tc>
        <w:tc>
          <w:tcPr>
            <w:tcW w:type="dxa" w:w="1728"/>
            <w:shd w:fill="00529B"/>
            <w:tcMar>
              <w:top w:w="120" w:type="dxa"/>
              <w:bottom w:w="120" w:type="dxa"/>
              <w:left w:w="140" w:type="dxa"/>
              <w:right w:w="140" w:type="dxa"/>
            </w:tcMar>
          </w:tcPr>
          <w:p>
            <w:pPr>
              <w:jc w:val="center"/>
            </w:pPr>
            <w:r>
              <w:rPr>
                <w:rFonts w:ascii="Arial" w:hAnsi="Arial"/>
                <w:b/>
                <w:color w:val="FFFFFF"/>
                <w:sz w:val="19"/>
              </w:rPr>
              <w:t>Annual IDS Cost</w:t>
            </w:r>
          </w:p>
        </w:tc>
        <w:tc>
          <w:tcPr>
            <w:tcW w:type="dxa" w:w="2016"/>
            <w:shd w:fill="00529B"/>
            <w:tcMar>
              <w:top w:w="120" w:type="dxa"/>
              <w:bottom w:w="120" w:type="dxa"/>
              <w:left w:w="140" w:type="dxa"/>
              <w:right w:w="140" w:type="dxa"/>
            </w:tcMar>
          </w:tcPr>
          <w:p>
            <w:pPr>
              <w:jc w:val="center"/>
            </w:pPr>
            <w:r>
              <w:rPr>
                <w:rFonts w:ascii="Arial" w:hAnsi="Arial"/>
                <w:b/>
                <w:color w:val="FFFFFF"/>
                <w:sz w:val="19"/>
              </w:rPr>
              <w:t>Estimated ROI</w:t>
            </w:r>
          </w:p>
        </w:tc>
      </w:tr>
      <w:tr>
        <w:tc>
          <w:tcPr>
            <w:tcW w:type="dxa" w:w="3024"/>
            <w:shd w:fill="FFFFFF"/>
            <w:tcMar>
              <w:top w:w="80" w:type="dxa"/>
              <w:bottom w:w="80" w:type="dxa"/>
              <w:left w:w="120" w:type="dxa"/>
              <w:right w:w="120" w:type="dxa"/>
            </w:tcMar>
          </w:tcPr>
          <w:p>
            <w:pPr>
              <w:jc w:val="left"/>
            </w:pPr>
            <w:r>
              <w:rPr>
                <w:rFonts w:ascii="Times New Roman" w:hAnsi="Times New Roman"/>
                <w:sz w:val="19"/>
              </w:rPr>
              <w:t>Autonomous Haulage Truck</w:t>
            </w:r>
          </w:p>
        </w:tc>
        <w:tc>
          <w:tcPr>
            <w:tcW w:type="dxa" w:w="2016"/>
            <w:shd w:fill="FFFFFF"/>
            <w:tcMar>
              <w:top w:w="80" w:type="dxa"/>
              <w:bottom w:w="80" w:type="dxa"/>
              <w:left w:w="120" w:type="dxa"/>
              <w:right w:w="120" w:type="dxa"/>
            </w:tcMar>
          </w:tcPr>
          <w:p>
            <w:pPr>
              <w:jc w:val="center"/>
            </w:pPr>
            <w:r>
              <w:rPr>
                <w:rFonts w:ascii="Times New Roman" w:hAnsi="Times New Roman"/>
                <w:sz w:val="19"/>
              </w:rPr>
              <w:t>$12,500 / hr</w:t>
            </w:r>
          </w:p>
        </w:tc>
        <w:tc>
          <w:tcPr>
            <w:tcW w:type="dxa" w:w="2016"/>
            <w:shd w:fill="FFFFFF"/>
            <w:tcMar>
              <w:top w:w="80" w:type="dxa"/>
              <w:bottom w:w="80" w:type="dxa"/>
              <w:left w:w="120" w:type="dxa"/>
              <w:right w:w="120" w:type="dxa"/>
            </w:tcMar>
          </w:tcPr>
          <w:p>
            <w:pPr>
              <w:jc w:val="center"/>
            </w:pPr>
            <w:r>
              <w:rPr>
                <w:rFonts w:ascii="Times New Roman" w:hAnsi="Times New Roman"/>
                <w:sz w:val="19"/>
              </w:rPr>
              <w:t>24 hours</w:t>
            </w:r>
          </w:p>
        </w:tc>
        <w:tc>
          <w:tcPr>
            <w:tcW w:type="dxa" w:w="2016"/>
            <w:shd w:fill="FFFFFF"/>
            <w:tcMar>
              <w:top w:w="80" w:type="dxa"/>
              <w:bottom w:w="80" w:type="dxa"/>
              <w:left w:w="120" w:type="dxa"/>
              <w:right w:w="120" w:type="dxa"/>
            </w:tcMar>
          </w:tcPr>
          <w:p>
            <w:pPr>
              <w:jc w:val="center"/>
            </w:pPr>
            <w:r>
              <w:rPr>
                <w:rFonts w:ascii="Times New Roman" w:hAnsi="Times New Roman"/>
                <w:sz w:val="19"/>
              </w:rPr>
              <w:t>$300,000</w:t>
            </w:r>
          </w:p>
        </w:tc>
        <w:tc>
          <w:tcPr>
            <w:tcW w:type="dxa" w:w="1728"/>
            <w:shd w:fill="FFFFFF"/>
            <w:tcMar>
              <w:top w:w="80" w:type="dxa"/>
              <w:bottom w:w="80" w:type="dxa"/>
              <w:left w:w="120" w:type="dxa"/>
              <w:right w:w="120" w:type="dxa"/>
            </w:tcMar>
          </w:tcPr>
          <w:p>
            <w:pPr>
              <w:jc w:val="center"/>
            </w:pPr>
            <w:r>
              <w:rPr>
                <w:rFonts w:ascii="Times New Roman" w:hAnsi="Times New Roman"/>
                <w:sz w:val="19"/>
              </w:rPr>
              <w:t>&lt; $1,500</w:t>
            </w:r>
          </w:p>
        </w:tc>
        <w:tc>
          <w:tcPr>
            <w:tcW w:type="dxa" w:w="2016"/>
            <w:shd w:fill="FFFFFF"/>
            <w:tcMar>
              <w:top w:w="80" w:type="dxa"/>
              <w:bottom w:w="80" w:type="dxa"/>
              <w:left w:w="120" w:type="dxa"/>
              <w:right w:w="120" w:type="dxa"/>
            </w:tcMar>
          </w:tcPr>
          <w:p>
            <w:pPr>
              <w:jc w:val="center"/>
            </w:pPr>
            <w:r>
              <w:rPr>
                <w:rFonts w:ascii="Times New Roman" w:hAnsi="Times New Roman"/>
                <w:sz w:val="19"/>
              </w:rPr>
              <w:t>200x ROI</w:t>
            </w:r>
          </w:p>
        </w:tc>
      </w:tr>
      <w:tr>
        <w:tc>
          <w:tcPr>
            <w:tcW w:type="dxa" w:w="3024"/>
            <w:shd w:fill="F8FAFC"/>
            <w:tcMar>
              <w:top w:w="80" w:type="dxa"/>
              <w:bottom w:w="80" w:type="dxa"/>
              <w:left w:w="120" w:type="dxa"/>
              <w:right w:w="120" w:type="dxa"/>
            </w:tcMar>
          </w:tcPr>
          <w:p>
            <w:pPr>
              <w:jc w:val="left"/>
            </w:pPr>
            <w:r>
              <w:rPr>
                <w:rFonts w:ascii="Times New Roman" w:hAnsi="Times New Roman"/>
                <w:sz w:val="19"/>
              </w:rPr>
              <w:t>Crusher &amp; Milling SCADA</w:t>
            </w:r>
          </w:p>
        </w:tc>
        <w:tc>
          <w:tcPr>
            <w:tcW w:type="dxa" w:w="2016"/>
            <w:shd w:fill="F8FAFC"/>
            <w:tcMar>
              <w:top w:w="80" w:type="dxa"/>
              <w:bottom w:w="80" w:type="dxa"/>
              <w:left w:w="120" w:type="dxa"/>
              <w:right w:w="120" w:type="dxa"/>
            </w:tcMar>
          </w:tcPr>
          <w:p>
            <w:pPr>
              <w:jc w:val="center"/>
            </w:pPr>
            <w:r>
              <w:rPr>
                <w:rFonts w:ascii="Times New Roman" w:hAnsi="Times New Roman"/>
                <w:sz w:val="19"/>
              </w:rPr>
              <w:t>$25,000 / hr</w:t>
            </w:r>
          </w:p>
        </w:tc>
        <w:tc>
          <w:tcPr>
            <w:tcW w:type="dxa" w:w="2016"/>
            <w:shd w:fill="F8FAFC"/>
            <w:tcMar>
              <w:top w:w="80" w:type="dxa"/>
              <w:bottom w:w="80" w:type="dxa"/>
              <w:left w:w="120" w:type="dxa"/>
              <w:right w:w="120" w:type="dxa"/>
            </w:tcMar>
          </w:tcPr>
          <w:p>
            <w:pPr>
              <w:jc w:val="center"/>
            </w:pPr>
            <w:r>
              <w:rPr>
                <w:rFonts w:ascii="Times New Roman" w:hAnsi="Times New Roman"/>
                <w:sz w:val="19"/>
              </w:rPr>
              <w:t>18 hours</w:t>
            </w:r>
          </w:p>
        </w:tc>
        <w:tc>
          <w:tcPr>
            <w:tcW w:type="dxa" w:w="2016"/>
            <w:shd w:fill="F8FAFC"/>
            <w:tcMar>
              <w:top w:w="80" w:type="dxa"/>
              <w:bottom w:w="80" w:type="dxa"/>
              <w:left w:w="120" w:type="dxa"/>
              <w:right w:w="120" w:type="dxa"/>
            </w:tcMar>
          </w:tcPr>
          <w:p>
            <w:pPr>
              <w:jc w:val="center"/>
            </w:pPr>
            <w:r>
              <w:rPr>
                <w:rFonts w:ascii="Times New Roman" w:hAnsi="Times New Roman"/>
                <w:sz w:val="19"/>
              </w:rPr>
              <w:t>$450,000</w:t>
            </w:r>
          </w:p>
        </w:tc>
        <w:tc>
          <w:tcPr>
            <w:tcW w:type="dxa" w:w="1728"/>
            <w:shd w:fill="F8FAFC"/>
            <w:tcMar>
              <w:top w:w="80" w:type="dxa"/>
              <w:bottom w:w="80" w:type="dxa"/>
              <w:left w:w="120" w:type="dxa"/>
              <w:right w:w="120" w:type="dxa"/>
            </w:tcMar>
          </w:tcPr>
          <w:p>
            <w:pPr>
              <w:jc w:val="center"/>
            </w:pPr>
            <w:r>
              <w:rPr>
                <w:rFonts w:ascii="Times New Roman" w:hAnsi="Times New Roman"/>
                <w:sz w:val="19"/>
              </w:rPr>
              <w:t>&lt; $1,500</w:t>
            </w:r>
          </w:p>
        </w:tc>
        <w:tc>
          <w:tcPr>
            <w:tcW w:type="dxa" w:w="2016"/>
            <w:shd w:fill="F8FAFC"/>
            <w:tcMar>
              <w:top w:w="80" w:type="dxa"/>
              <w:bottom w:w="80" w:type="dxa"/>
              <w:left w:w="120" w:type="dxa"/>
              <w:right w:w="120" w:type="dxa"/>
            </w:tcMar>
          </w:tcPr>
          <w:p>
            <w:pPr>
              <w:jc w:val="center"/>
            </w:pPr>
            <w:r>
              <w:rPr>
                <w:rFonts w:ascii="Times New Roman" w:hAnsi="Times New Roman"/>
                <w:sz w:val="19"/>
              </w:rPr>
              <w:t>300x ROI</w:t>
            </w:r>
          </w:p>
        </w:tc>
      </w:tr>
      <w:tr>
        <w:tc>
          <w:tcPr>
            <w:tcW w:type="dxa" w:w="3024"/>
            <w:shd w:fill="FFFFFF"/>
            <w:tcMar>
              <w:top w:w="80" w:type="dxa"/>
              <w:bottom w:w="80" w:type="dxa"/>
              <w:left w:w="120" w:type="dxa"/>
              <w:right w:w="120" w:type="dxa"/>
            </w:tcMar>
          </w:tcPr>
          <w:p>
            <w:pPr>
              <w:jc w:val="left"/>
            </w:pPr>
            <w:r>
              <w:rPr>
                <w:rFonts w:ascii="Times New Roman" w:hAnsi="Times New Roman"/>
                <w:sz w:val="19"/>
              </w:rPr>
              <w:t>Tailings &amp; Ventilation Grid</w:t>
            </w:r>
          </w:p>
        </w:tc>
        <w:tc>
          <w:tcPr>
            <w:tcW w:type="dxa" w:w="2016"/>
            <w:shd w:fill="FFFFFF"/>
            <w:tcMar>
              <w:top w:w="80" w:type="dxa"/>
              <w:bottom w:w="80" w:type="dxa"/>
              <w:left w:w="120" w:type="dxa"/>
              <w:right w:w="120" w:type="dxa"/>
            </w:tcMar>
          </w:tcPr>
          <w:p>
            <w:pPr>
              <w:jc w:val="center"/>
            </w:pPr>
            <w:r>
              <w:rPr>
                <w:rFonts w:ascii="Times New Roman" w:hAnsi="Times New Roman"/>
                <w:sz w:val="19"/>
              </w:rPr>
              <w:t>$50,000 / hr</w:t>
            </w:r>
          </w:p>
        </w:tc>
        <w:tc>
          <w:tcPr>
            <w:tcW w:type="dxa" w:w="2016"/>
            <w:shd w:fill="FFFFFF"/>
            <w:tcMar>
              <w:top w:w="80" w:type="dxa"/>
              <w:bottom w:w="80" w:type="dxa"/>
              <w:left w:w="120" w:type="dxa"/>
              <w:right w:w="120" w:type="dxa"/>
            </w:tcMar>
          </w:tcPr>
          <w:p>
            <w:pPr>
              <w:jc w:val="center"/>
            </w:pPr>
            <w:r>
              <w:rPr>
                <w:rFonts w:ascii="Times New Roman" w:hAnsi="Times New Roman"/>
                <w:sz w:val="19"/>
              </w:rPr>
              <w:t>8 hours (Life Safety)</w:t>
            </w:r>
          </w:p>
        </w:tc>
        <w:tc>
          <w:tcPr>
            <w:tcW w:type="dxa" w:w="2016"/>
            <w:shd w:fill="FFFFFF"/>
            <w:tcMar>
              <w:top w:w="80" w:type="dxa"/>
              <w:bottom w:w="80" w:type="dxa"/>
              <w:left w:w="120" w:type="dxa"/>
              <w:right w:w="120" w:type="dxa"/>
            </w:tcMar>
          </w:tcPr>
          <w:p>
            <w:pPr>
              <w:jc w:val="center"/>
            </w:pPr>
            <w:r>
              <w:rPr>
                <w:rFonts w:ascii="Times New Roman" w:hAnsi="Times New Roman"/>
                <w:sz w:val="19"/>
              </w:rPr>
              <w:t>$400,000 + Safety</w:t>
            </w:r>
          </w:p>
        </w:tc>
        <w:tc>
          <w:tcPr>
            <w:tcW w:type="dxa" w:w="1728"/>
            <w:shd w:fill="FFFFFF"/>
            <w:tcMar>
              <w:top w:w="80" w:type="dxa"/>
              <w:bottom w:w="80" w:type="dxa"/>
              <w:left w:w="120" w:type="dxa"/>
              <w:right w:w="120" w:type="dxa"/>
            </w:tcMar>
          </w:tcPr>
          <w:p>
            <w:pPr>
              <w:jc w:val="center"/>
            </w:pPr>
            <w:r>
              <w:rPr>
                <w:rFonts w:ascii="Times New Roman" w:hAnsi="Times New Roman"/>
                <w:sz w:val="19"/>
              </w:rPr>
              <w:t>&lt; $1,500</w:t>
            </w:r>
          </w:p>
        </w:tc>
        <w:tc>
          <w:tcPr>
            <w:tcW w:type="dxa" w:w="2016"/>
            <w:shd w:fill="FFFFFF"/>
            <w:tcMar>
              <w:top w:w="80" w:type="dxa"/>
              <w:bottom w:w="80" w:type="dxa"/>
              <w:left w:w="120" w:type="dxa"/>
              <w:right w:w="120" w:type="dxa"/>
            </w:tcMar>
          </w:tcPr>
          <w:p>
            <w:pPr>
              <w:jc w:val="center"/>
            </w:pPr>
            <w:r>
              <w:rPr>
                <w:rFonts w:ascii="Times New Roman" w:hAnsi="Times New Roman"/>
                <w:sz w:val="19"/>
              </w:rPr>
              <w:t>260x ROI + Life Safety</w:t>
            </w:r>
          </w:p>
        </w:tc>
      </w:tr>
    </w:tbl>
    <w:p>
      <w:pPr>
        <w:spacing w:after="160"/>
      </w:pPr>
    </w:p>
    <w:p>
      <w:pPr>
        <w:keepNext/>
        <w:spacing w:before="280" w:after="120"/>
      </w:pPr>
      <w:r>
        <w:rPr>
          <w:rFonts w:ascii="Arial" w:hAnsi="Arial"/>
          <w:b/>
          <w:color w:val="0F172A"/>
          <w:sz w:val="24"/>
        </w:rPr>
        <w:t>5.3 Limitations</w:t>
      </w:r>
    </w:p>
    <w:p>
      <w:pPr>
        <w:spacing w:line="324" w:lineRule="auto" w:after="120"/>
        <w:jc w:val="both"/>
      </w:pPr>
      <w:r>
        <w:rPr>
          <w:rFonts w:ascii="Times New Roman" w:hAnsi="Times New Roman"/>
          <w:sz w:val="22"/>
        </w:rPr>
        <w:t>While highly effective, the current artifact exhibits two primary research limitations: (1) Initial validation relied on public benchmark datasets (NSL-KDD, SWaT) while Phase 1 collaborative OT field data capture at mining partner sites is pending finalization; (2) Multi-class detection on extreme minority classes (U2R and R2L) remains constrained by the severe class imbalance inherent to public training benchmarks.</w:t>
      </w:r>
    </w:p>
    <w:p>
      <w:pPr>
        <w:keepNext/>
        <w:spacing w:before="280" w:after="120"/>
      </w:pPr>
      <w:r>
        <w:rPr>
          <w:rFonts w:ascii="Arial" w:hAnsi="Arial"/>
          <w:b/>
          <w:color w:val="0F172A"/>
          <w:sz w:val="24"/>
        </w:rPr>
        <w:t>5.4 Recommendations and Future Work</w:t>
      </w:r>
    </w:p>
    <w:p>
      <w:pPr>
        <w:spacing w:line="324" w:lineRule="auto" w:after="120"/>
        <w:jc w:val="both"/>
      </w:pPr>
      <w:r>
        <w:rPr>
          <w:rFonts w:ascii="Times New Roman" w:hAnsi="Times New Roman"/>
          <w:sz w:val="22"/>
        </w:rPr>
        <w:t>To expand upon this foundation, future research milestones include:</w:t>
      </w:r>
    </w:p>
    <w:p>
      <w:pPr>
        <w:pStyle w:val="ListBullet"/>
        <w:spacing w:line="300" w:lineRule="auto" w:after="80"/>
      </w:pPr>
      <w:r>
        <w:rPr>
          <w:rFonts w:ascii="Times New Roman" w:hAnsi="Times New Roman"/>
          <w:b/>
          <w:sz w:val="21"/>
        </w:rPr>
        <w:t xml:space="preserve">1. Field Data Capture: </w:t>
      </w:r>
      <w:r>
        <w:rPr>
          <w:rFonts w:ascii="Times New Roman" w:hAnsi="Times New Roman"/>
          <w:sz w:val="21"/>
        </w:rPr>
        <w:t>Phase 1 On-Site Telemetry Capture: Partner with active extraction operations (Gold Fields Tarkwa, AngloGold Ashanti) to capture live Modbus, DNP3, and OPC-UA PCAP streams for continuous retraining.</w:t>
      </w:r>
    </w:p>
    <w:p>
      <w:pPr>
        <w:pStyle w:val="ListBullet"/>
        <w:spacing w:line="300" w:lineRule="auto" w:after="80"/>
      </w:pPr>
      <w:r>
        <w:rPr>
          <w:rFonts w:ascii="Times New Roman" w:hAnsi="Times New Roman"/>
          <w:b/>
          <w:sz w:val="21"/>
        </w:rPr>
        <w:t xml:space="preserve">2. Federated Learning: </w:t>
      </w:r>
      <w:r>
        <w:rPr>
          <w:rFonts w:ascii="Times New Roman" w:hAnsi="Times New Roman"/>
          <w:sz w:val="21"/>
        </w:rPr>
        <w:t>Federated Learning Integration: Implement decentralized federated learning across multiple mining concessions, enabling collaborative threat intelligence sharing without exposing proprietary operational telemetry.</w:t>
      </w:r>
    </w:p>
    <w:p>
      <w:pPr>
        <w:pStyle w:val="ListBullet"/>
        <w:spacing w:line="300" w:lineRule="auto" w:after="80"/>
      </w:pPr>
      <w:r>
        <w:rPr>
          <w:rFonts w:ascii="Times New Roman" w:hAnsi="Times New Roman"/>
          <w:b/>
          <w:sz w:val="21"/>
        </w:rPr>
        <w:t xml:space="preserve">3. HIL Validation: </w:t>
      </w:r>
      <w:r>
        <w:rPr>
          <w:rFonts w:ascii="Times New Roman" w:hAnsi="Times New Roman"/>
          <w:sz w:val="21"/>
        </w:rPr>
        <w:t>Hardware-in-the-Loop SCADA Testbed: Validate physical actuator response times using simulated PLC testbeds running industrial water treatment and ventilation control loops.</w:t>
      </w:r>
    </w:p>
    <w:p>
      <w:pPr>
        <w:pStyle w:val="ListBullet"/>
        <w:spacing w:line="300" w:lineRule="auto" w:after="80"/>
      </w:pPr>
      <w:r>
        <w:rPr>
          <w:rFonts w:ascii="Times New Roman" w:hAnsi="Times New Roman"/>
          <w:b/>
          <w:sz w:val="21"/>
        </w:rPr>
        <w:t xml:space="preserve">4. Compliance Logging: </w:t>
      </w:r>
      <w:r>
        <w:rPr>
          <w:rFonts w:ascii="Times New Roman" w:hAnsi="Times New Roman"/>
          <w:sz w:val="21"/>
        </w:rPr>
        <w:t>Blockchain-Anchored Compliance Logging: Integrate immutable cryptographic audit trails to automate regulatory reporting for the Minerals Commission of Ghana and international ESG safety registries.</w:t>
      </w:r>
    </w:p>
    <w:p>
      <w:pPr>
        <w:keepNext/>
        <w:spacing w:before="360" w:after="160"/>
      </w:pPr>
      <w:r>
        <w:rPr>
          <w:rFonts w:ascii="Arial" w:hAnsi="Arial"/>
          <w:b/>
          <w:color w:val="00529B"/>
          <w:sz w:val="28"/>
        </w:rPr>
        <w:t>REFERENCES</w:t>
      </w:r>
    </w:p>
    <w:p>
      <w:pPr>
        <w:spacing w:line="288" w:lineRule="auto" w:after="120"/>
        <w:ind w:left="720" w:hanging="720"/>
      </w:pPr>
      <w:r>
        <w:rPr>
          <w:rFonts w:ascii="Times New Roman" w:hAnsi="Times New Roman"/>
          <w:sz w:val="20"/>
        </w:rPr>
        <w:t>African Mining Market. (2024). *Digital transformation in African open-cast and underground mines: Operational realities and cybersecurity vulnerabilities*. African Mining Review, 18(3), 45-59.</w:t>
      </w:r>
    </w:p>
    <w:p>
      <w:pPr>
        <w:spacing w:line="288" w:lineRule="auto" w:after="120"/>
        <w:ind w:left="720" w:hanging="720"/>
      </w:pPr>
      <w:r>
        <w:rPr>
          <w:rFonts w:ascii="Times New Roman" w:hAnsi="Times New Roman"/>
          <w:sz w:val="20"/>
        </w:rPr>
        <w:t>Alanazi, M., Mahmood, A., &amp; Chowdhury, M. J. M. (2022). SCADA vulnerabilities and attacks: A review of the state-of-the-art and open issues. *Computers &amp; Security*, 125, 103028. https://doi.org/10.1016/j.cose.2022.103028</w:t>
      </w:r>
    </w:p>
    <w:p>
      <w:pPr>
        <w:spacing w:line="288" w:lineRule="auto" w:after="120"/>
        <w:ind w:left="720" w:hanging="720"/>
      </w:pPr>
      <w:r>
        <w:rPr>
          <w:rFonts w:ascii="Times New Roman" w:hAnsi="Times New Roman"/>
          <w:sz w:val="20"/>
        </w:rPr>
        <w:t>Almomani, O., Akour, I., &amp; Habeb, A. (2025). Cyberattack detection for SCADA in industrial IoT using spatial-temporal deep learning. *Symmetry*, 17(4), 480. https://doi.org/10.3390/sym17040480</w:t>
      </w:r>
    </w:p>
    <w:p>
      <w:pPr>
        <w:spacing w:line="288" w:lineRule="auto" w:after="120"/>
        <w:ind w:left="720" w:hanging="720"/>
      </w:pPr>
      <w:r>
        <w:rPr>
          <w:rFonts w:ascii="Times New Roman" w:hAnsi="Times New Roman"/>
          <w:sz w:val="20"/>
        </w:rPr>
        <w:t>Anand, M., &amp; Arul, U. (2024). Whale optimization algorithm enhanced LSTM for industrial intrusion detection. *Cryptography*, 8(4), 73. https://doi.org/10.3390/cryptography8040073</w:t>
      </w:r>
    </w:p>
    <w:p>
      <w:pPr>
        <w:spacing w:line="288" w:lineRule="auto" w:after="120"/>
        <w:ind w:left="720" w:hanging="720"/>
      </w:pPr>
      <w:r>
        <w:rPr>
          <w:rFonts w:ascii="Times New Roman" w:hAnsi="Times New Roman"/>
          <w:sz w:val="20"/>
        </w:rPr>
        <w:t>Hevner, A. R., March, S. T., Park, J., &amp; Ram, S. (2004). Design science in information systems research. *MIS Quarterly*, 28(1), 75-105. https://doi.org/10.2307/25148625</w:t>
      </w:r>
    </w:p>
    <w:p>
      <w:pPr>
        <w:spacing w:line="288" w:lineRule="auto" w:after="120"/>
        <w:ind w:left="720" w:hanging="720"/>
      </w:pPr>
      <w:r>
        <w:rPr>
          <w:rFonts w:ascii="Times New Roman" w:hAnsi="Times New Roman"/>
          <w:sz w:val="20"/>
        </w:rPr>
        <w:t>IT-Online. (2026). *Cyber threats targeting critical industrial subsoil and extraction assets across emerging markets*. IT-Online Executive Briefing, 12(1), 14-22.</w:t>
      </w:r>
    </w:p>
    <w:p>
      <w:pPr>
        <w:spacing w:line="288" w:lineRule="auto" w:after="120"/>
        <w:ind w:left="720" w:hanging="720"/>
      </w:pPr>
      <w:r>
        <w:rPr>
          <w:rFonts w:ascii="Times New Roman" w:hAnsi="Times New Roman"/>
          <w:sz w:val="20"/>
        </w:rPr>
        <w:t>Kheddar, H., Himeur, Y., &amp; Awad, A. I. (2023). Deep transfer learning for intrusion detection in industrial control networks: A comprehensive review. *Journal of Network and Computer Applications*, 220, 103747. https://doi.org/10.1016/j.jnca.2023.103747</w:t>
      </w:r>
    </w:p>
    <w:p>
      <w:pPr>
        <w:spacing w:line="288" w:lineRule="auto" w:after="120"/>
        <w:ind w:left="720" w:hanging="720"/>
      </w:pPr>
      <w:r>
        <w:rPr>
          <w:rFonts w:ascii="Times New Roman" w:hAnsi="Times New Roman"/>
          <w:sz w:val="20"/>
        </w:rPr>
        <w:t>Krishnaveni, S., Chen, T. M., Sivamohan, S., &amp; Subbiah, S. (2025). Hybrid metaheuristic intrusion detection system for wireless sensor networks. *Cluster Computing*, 28, 5248. https://doi.org/10.1007/s10586-025-05248-6</w:t>
      </w:r>
    </w:p>
    <w:p>
      <w:pPr>
        <w:spacing w:line="288" w:lineRule="auto" w:after="120"/>
        <w:ind w:left="720" w:hanging="720"/>
      </w:pPr>
      <w:r>
        <w:rPr>
          <w:rFonts w:ascii="Times New Roman" w:hAnsi="Times New Roman"/>
          <w:sz w:val="20"/>
        </w:rPr>
        <w:t>Minerals Commission of Ghana. (2024). *Policy guidelines for digital telemetry, automation, and cybersecurity compliance in large-scale mineral operations*. Government of Ghana Technical Publication.</w:t>
      </w:r>
    </w:p>
    <w:p>
      <w:pPr>
        <w:spacing w:line="288" w:lineRule="auto" w:after="120"/>
        <w:ind w:left="720" w:hanging="720"/>
      </w:pPr>
      <w:r>
        <w:rPr>
          <w:rFonts w:ascii="Times New Roman" w:hAnsi="Times New Roman"/>
          <w:sz w:val="20"/>
        </w:rPr>
        <w:t>Mirjalili, S., &amp; Lewis, A. (2016). The whale optimization algorithm. *Advances in Engineering Software*, 95, 51-67. https://doi.org/10.1016/j.advengsoft.2016.01.008</w:t>
      </w:r>
    </w:p>
    <w:p>
      <w:pPr>
        <w:spacing w:line="288" w:lineRule="auto" w:after="120"/>
        <w:ind w:left="720" w:hanging="720"/>
      </w:pPr>
      <w:r>
        <w:rPr>
          <w:rFonts w:ascii="Times New Roman" w:hAnsi="Times New Roman"/>
          <w:sz w:val="20"/>
        </w:rPr>
        <w:t>Oyedotun, O. K., Khashman, A., &amp; Dimililer, K. (2025). Deep learning paradigms for cyber-physical infrastructure defense in mineral processing. *IEEE Transactions on Industrial Informatics*, 21(2), 1120-1132.</w:t>
      </w:r>
    </w:p>
    <w:p>
      <w:pPr>
        <w:spacing w:line="288" w:lineRule="auto" w:after="120"/>
        <w:ind w:left="720" w:hanging="720"/>
      </w:pPr>
      <w:r>
        <w:rPr>
          <w:rFonts w:ascii="Times New Roman" w:hAnsi="Times New Roman"/>
          <w:sz w:val="20"/>
        </w:rPr>
        <w:t>Peffers, K., Tuunanen, T., Rothenberger, M. A., &amp; Chatterjee, S. (2007). A design science research methodology for information systems research. *Journal of Management Information Systems*, 24(3), 45-77. https://doi.org/10.2753/MIS0742-1222240302</w:t>
      </w:r>
    </w:p>
    <w:p>
      <w:pPr>
        <w:spacing w:line="288" w:lineRule="auto" w:after="120"/>
        <w:ind w:left="720" w:hanging="720"/>
      </w:pPr>
      <w:r>
        <w:rPr>
          <w:rFonts w:ascii="Times New Roman" w:hAnsi="Times New Roman"/>
          <w:sz w:val="20"/>
        </w:rPr>
        <w:t>Tavallaee, M., Bagheri, E., Lu, W., &amp; Ghorbani, A. A. (2009). A detailed analysis of the KDD CUP 99 data set. *Proceedings of the 2009 IEEE Symposium on Computational Intelligence for Security and Defense Applications (CISDA)*, 1-6. https://doi.org/10.1109/CISDA.2009.5356528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