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A3E0"/>
          <w:bottom w:val="single" w:sz="12" w:space="0" w:color="00A3E0"/>
          <w:left w:val="single" w:sz="12" w:space="0" w:color="00A3E0"/>
          <w:right w:val="single" w:sz="12" w:space="0" w:color="00A3E0"/>
          <w:insideH w:val="single" w:sz="12" w:space="0" w:color="00A3E0"/>
          <w:insideV w:val="single" w:sz="12" w:space="0" w:color="00A3E0"/>
        </w:tblBorders>
      </w:tblPr>
      <w:tblGrid>
        <w:gridCol w:w="13536"/>
      </w:tblGrid>
      <w:tr>
        <w:tc>
          <w:tcPr>
            <w:tcW w:type="dxa" w:w="13536"/>
            <w:shd w:fill="0B1D3A"/>
            <w:tcMar>
              <w:top w:w="200" w:type="dxa"/>
              <w:bottom w:w="200" w:type="dxa"/>
              <w:left w:w="250" w:type="dxa"/>
              <w:right w:w="2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4AF37"/>
                <w:sz w:val="52"/>
              </w:rPr>
              <w:t>⛏️ SECURING THE DIGITAL MINE</w:t>
              <w:br/>
            </w:r>
            <w:r>
              <w:rPr>
                <w:rFonts w:ascii="Arial" w:hAnsi="Arial"/>
                <w:b/>
                <w:color w:val="FFFFFF"/>
                <w:sz w:val="28"/>
              </w:rPr>
              <w:t>A Metaheuristic-Optimized Deep Learning Framework for Edge Intrusion Detection in IoT-Enabled Mineral Operations</w:t>
              <w:br/>
            </w:r>
            <w:r>
              <w:rPr>
                <w:rFonts w:ascii="Arial" w:hAnsi="Arial"/>
                <w:b/>
                <w:color w:val="00A3E0"/>
                <w:sz w:val="23"/>
              </w:rPr>
              <w:t>RUSSIAN-AFRICAN FORUM-CONTEST OF YOUNG SCIENTISTS 2026 | TRACK 3: SMART SUBSOIL</w:t>
              <w:br/>
              <w:t>Under the Auspices of UNESCO | Empress Catherine II Saint Petersburg Mining University</w:t>
              <w:br/>
            </w:r>
            <w:r>
              <w:rPr>
                <w:rFonts w:ascii="Times New Roman" w:hAnsi="Times New Roman"/>
                <w:i/>
                <w:color w:val="E2E8F0"/>
                <w:sz w:val="22"/>
              </w:rPr>
              <w:t>John Okyere (Lead), Ezekeil Baah, Clement Baffour, Parker Paa Annobil, George Akwesi Bonnah</w:t>
              <w:br/>
              <w:t>Department of ICT, University of Education, Winneba &amp; Kayaba Labs | hello@johnokyere.xyz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3536"/>
      </w:tblGrid>
      <w:tr>
        <w:tc>
          <w:tcPr>
            <w:tcW w:type="dxa" w:w="13536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color w:val="00529B"/>
                <w:sz w:val="28"/>
              </w:rPr>
              <w:t>■ 1. PROBLEM &amp; INDUSTRIAL MINING CONTEXT</w:t>
              <w:br/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Digital Subsoil Transformation: </w:t>
            </w:r>
            <w:r>
              <w:rPr>
                <w:rFonts w:ascii="Times New Roman" w:hAnsi="Times New Roman"/>
                <w:color w:val="1E293B"/>
                <w:sz w:val="22"/>
              </w:rPr>
              <w:t>African and Russian mining complexes are deploying IoT sensors, autonomous haulage, and SCADA telemetry to optimize ore yield.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The Air-Gap Myth is Dead: </w:t>
            </w:r>
            <w:r>
              <w:rPr>
                <w:rFonts w:ascii="Times New Roman" w:hAnsi="Times New Roman"/>
                <w:color w:val="1E293B"/>
                <w:sz w:val="22"/>
              </w:rPr>
              <w:t>Connecting OT networks to cloud digital twins creates massive attack surfaces for ransomware and Modbus command injection.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Catastrophic Downtime Costs: </w:t>
            </w:r>
            <w:r>
              <w:rPr>
                <w:rFonts w:ascii="Times New Roman" w:hAnsi="Times New Roman"/>
                <w:color w:val="1E293B"/>
                <w:sz w:val="22"/>
              </w:rPr>
              <w:t>Unplanned mining downtime costs USD $50,000 to $500,000 per hour, while cyber disruption of ventilation systems endangers human lives.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Existing Tools Fail on the Edge: </w:t>
            </w:r>
            <w:r>
              <w:rPr>
                <w:rFonts w:ascii="Times New Roman" w:hAnsi="Times New Roman"/>
                <w:color w:val="1E293B"/>
                <w:sz w:val="22"/>
              </w:rPr>
              <w:t>Heavyweight enterprise IDS tools require 150+ milliseconds to analyze 41 features, violating the 100ms SCADA control loop limit on low-power 1GB RAM edge devices.</w:t>
            </w:r>
          </w:p>
          <w:p>
            <w:pPr>
              <w:spacing w:before="16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3840" cy="389584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ing_scada_flowch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0" cy="3895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3536"/>
      </w:tblGrid>
      <w:tr>
        <w:tc>
          <w:tcPr>
            <w:tcW w:type="dxa" w:w="13536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color w:val="00529B"/>
                <w:sz w:val="28"/>
              </w:rPr>
              <w:t>■ 2. 4-LAYER SYSTEM ARCHITECTURE &amp; BWOA METHODOLOGY</w:t>
              <w:br/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Layer 1 (Ingestion): </w:t>
            </w:r>
            <w:r>
              <w:rPr>
                <w:rFonts w:ascii="Times New Roman" w:hAnsi="Times New Roman"/>
                <w:color w:val="1E293B"/>
                <w:sz w:val="22"/>
              </w:rPr>
              <w:t>Promiscuous packet capture of Modbus, DNP3, and OPC-UA traffic via @mhiskall282/unesco-mine-sec-cli sniffer agent.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Layer 2 (BWOA Pruning): </w:t>
            </w:r>
            <w:r>
              <w:rPr>
                <w:rFonts w:ascii="Times New Roman" w:hAnsi="Times New Roman"/>
                <w:color w:val="1E293B"/>
                <w:sz w:val="22"/>
              </w:rPr>
              <w:t>Binary Whale Optimization Algorithm reduces 41 features down to 10 optimal dimensions (75.61% compression) with 92.31% RF CV validation accuracy.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Layer 3 (Deep Learning): </w:t>
            </w:r>
            <w:r>
              <w:rPr>
                <w:rFonts w:ascii="Times New Roman" w:hAnsi="Times New Roman"/>
                <w:color w:val="1E293B"/>
                <w:sz w:val="22"/>
              </w:rPr>
              <w:t>Spatial-temporal Conv1D-LSTM hybrid neural network compressed via Float16 quantization to 0.82 MB.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Layer 4 (Operational SaaS): </w:t>
            </w:r>
            <w:r>
              <w:rPr>
                <w:rFonts w:ascii="Times New Roman" w:hAnsi="Times New Roman"/>
                <w:color w:val="1E293B"/>
                <w:sz w:val="22"/>
              </w:rPr>
              <w:t>FastAPI inference server (port 8001) linked to multi-tenant Laravel Livewire SaaS dashboard for sub-second alert broadcasting.</w:t>
            </w:r>
          </w:p>
          <w:p>
            <w:pPr>
              <w:spacing w:before="16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3840" cy="46134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0" cy="46134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3536"/>
      </w:tblGrid>
      <w:tr>
        <w:tc>
          <w:tcPr>
            <w:tcW w:type="dxa" w:w="13536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color w:val="00529B"/>
                <w:sz w:val="28"/>
              </w:rPr>
              <w:t>■ 3. EMPIRICAL BENCHMARKS &amp; EDGE HARDWARE READINESS</w:t>
              <w:br/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70.56% Multi-Class Accuracy: </w:t>
            </w:r>
            <w:r>
              <w:rPr>
                <w:rFonts w:ascii="Times New Roman" w:hAnsi="Times New Roman"/>
                <w:color w:val="1E293B"/>
                <w:sz w:val="22"/>
              </w:rPr>
              <w:t>Evaluated on 22,544 held-out NSL-KDD test samples with 0.7127 Macro F1-score and 0.8471 AUC-ROC.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96.89% Benign Precision: </w:t>
            </w:r>
            <w:r>
              <w:rPr>
                <w:rFonts w:ascii="Times New Roman" w:hAnsi="Times New Roman"/>
                <w:color w:val="1E293B"/>
                <w:sz w:val="22"/>
              </w:rPr>
              <w:t>Virtually eliminates false operational shutdowns in active mineral processing circuits.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89.04% DoS Attack Recall: </w:t>
            </w:r>
            <w:r>
              <w:rPr>
                <w:rFonts w:ascii="Times New Roman" w:hAnsi="Times New Roman"/>
                <w:color w:val="1E293B"/>
                <w:sz w:val="22"/>
              </w:rPr>
              <w:t>Intercepts 89% of volumetric attacks targeting industrial programmable logic controllers (PLCs).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0.76ms Inference Latency: </w:t>
            </w:r>
            <w:r>
              <w:rPr>
                <w:rFonts w:ascii="Times New Roman" w:hAnsi="Times New Roman"/>
                <w:color w:val="1E293B"/>
                <w:sz w:val="22"/>
              </w:rPr>
              <w:t>Executes 207x faster than baseline on a physical Raspberry Pi 4B (1GB RAM), easily passing the sub-100ms SCADA control loop limit.</w:t>
            </w:r>
          </w:p>
          <w:p>
            <w:pPr>
              <w:spacing w:before="16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3840" cy="4379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ncy_comparison_barcha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0" cy="4379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3536"/>
      </w:tblGrid>
      <w:tr>
        <w:tc>
          <w:tcPr>
            <w:tcW w:type="dxa" w:w="13536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color w:val="00529B"/>
                <w:sz w:val="28"/>
              </w:rPr>
              <w:t>■ 4. SUSTAINABILITY, UN SDG IMPACT &amp; OPEN-SOURCE ARTIFACTS</w:t>
              <w:br/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SDG 9 (Industry &amp; Innovation): </w:t>
            </w:r>
            <w:r>
              <w:rPr>
                <w:rFonts w:ascii="Times New Roman" w:hAnsi="Times New Roman"/>
                <w:color w:val="1E293B"/>
                <w:sz w:val="22"/>
              </w:rPr>
              <w:t>Hardens critical mining cyber-physical infrastructure against zero-day exploits, safeguarding vital mineral supply chains.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SDG 8 (Decent Work &amp; Safety): </w:t>
            </w:r>
            <w:r>
              <w:rPr>
                <w:rFonts w:ascii="Times New Roman" w:hAnsi="Times New Roman"/>
                <w:color w:val="1E293B"/>
                <w:sz w:val="22"/>
              </w:rPr>
              <w:t>Protects underground worker lives by preventing cyber manipulation of toxic gas sensors and ventilation grids.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SDG 17 (Partnerships): </w:t>
            </w:r>
            <w:r>
              <w:rPr>
                <w:rFonts w:ascii="Times New Roman" w:hAnsi="Times New Roman"/>
                <w:color w:val="1E293B"/>
                <w:sz w:val="22"/>
              </w:rPr>
              <w:t>Fosters bilateral Russian-African scientific collaboration, open-source technology transfer, and local technical capacity building.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Economic ROI (200x - 300x): </w:t>
            </w:r>
            <w:r>
              <w:rPr>
                <w:rFonts w:ascii="Times New Roman" w:hAnsi="Times New Roman"/>
                <w:color w:val="1E293B"/>
                <w:sz w:val="22"/>
              </w:rPr>
              <w:t>Preventing a single 24-hour ransomware outage on a ball mill or haulage fleet saves $300k to $450k against an annual deployment cost &lt; $1,500.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/>
                <w:b/>
                <w:color w:val="1E293B"/>
                <w:sz w:val="22"/>
              </w:rPr>
              <w:t xml:space="preserve">• Open-Source Repository: </w:t>
            </w:r>
            <w:r>
              <w:rPr>
                <w:rFonts w:ascii="Times New Roman" w:hAnsi="Times New Roman"/>
                <w:color w:val="1E293B"/>
                <w:sz w:val="22"/>
              </w:rPr>
              <w:t>Full source code, notebooks, test suites, and NPM package available at: https://github.com/mhiskall282/Securing-the-Digital-Mine-UNESCO-Project</w:t>
            </w:r>
          </w:p>
          <w:p>
            <w:pPr>
              <w:spacing w:before="16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3840" cy="46290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shboard_wirefra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0" cy="4629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sectPr w:rsidR="00FC693F" w:rsidRPr="0006063C" w:rsidSect="00034616">
      <w:pgSz w:w="15840" w:h="2448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