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rFonts w:ascii="Arial" w:hAnsi="Arial"/>
          <w:b/>
          <w:color w:val="0B1D3A"/>
          <w:sz w:val="36"/>
        </w:rPr>
        <w:t>PRODUCT REQUIREMENTS DOCUMENT (PRD)</w:t>
      </w:r>
    </w:p>
    <w:p>
      <w:pPr>
        <w:spacing w:after="240"/>
        <w:jc w:val="center"/>
      </w:pPr>
      <w:r>
        <w:rPr>
          <w:rFonts w:ascii="Arial" w:hAnsi="Arial"/>
          <w:i/>
          <w:color w:val="64748B"/>
          <w:sz w:val="22"/>
        </w:rPr>
        <w:t>Securing the Digital Mine: Edge-Deployable OT/IIoT Intrusion Detection System</w:t>
        <w:br/>
        <w:t>UNESCO Project - Track 3: Smart Subsoil | Russian-African Forum 2026</w:t>
      </w:r>
    </w:p>
    <w:p>
      <w:pPr>
        <w:spacing w:after="40"/>
        <w:jc w:val="center"/>
      </w:pPr>
      <w:r>
        <w:rPr>
          <w:rFonts w:ascii="Times New Roman" w:hAnsi="Times New Roman"/>
          <w:b/>
          <w:sz w:val="22"/>
        </w:rPr>
        <w:t>Product Engineering Team: John Okyere (Lead), Ezekeil Baah, Clement Baffour, Parker Paa Annobil, George Akwesi Bonnah</w:t>
      </w:r>
    </w:p>
    <w:p>
      <w:pPr>
        <w:spacing w:after="280"/>
        <w:jc w:val="center"/>
      </w:pPr>
      <w:r>
        <w:rPr>
          <w:rFonts w:ascii="Times New Roman" w:hAnsi="Times New Roman"/>
          <w:i/>
          <w:color w:val="64748B"/>
          <w:sz w:val="19"/>
        </w:rPr>
        <w:t>University of Education, Winneba &amp; UEW Innovation Hub | Version 3.0.0 | Status: Approved for Deployment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529B"/>
          <w:bottom w:val="single" w:sz="8" w:space="0" w:color="00529B"/>
          <w:left w:val="single" w:sz="8" w:space="0" w:color="00529B"/>
          <w:right w:val="single" w:sz="8" w:space="0" w:color="00529B"/>
          <w:insideH w:val="single" w:sz="8" w:space="0" w:color="00529B"/>
          <w:insideV w:val="single" w:sz="8" w:space="0" w:color="00529B"/>
        </w:tblBorders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60" w:line="312" w:lineRule="auto"/>
            </w:pPr>
            <w:r>
              <w:rPr>
                <w:rFonts w:ascii="Arial" w:hAnsi="Arial"/>
                <w:b/>
                <w:color w:val="00529B"/>
                <w:sz w:val="22"/>
              </w:rPr>
              <w:t>PRODUCT MISSION STATEMENT</w:t>
              <w:br/>
            </w:r>
            <w:r>
              <w:rPr>
                <w:rFonts w:ascii="Times New Roman" w:hAnsi="Times New Roman"/>
                <w:color w:val="1E293B"/>
                <w:sz w:val="22"/>
              </w:rPr>
              <w:t>To deliver a resilient, ultra-low-latency (&lt;1ms), and resource-efficient (&lt;1MB) edge intrusion detection platform tailored for mining Operational Technology (OT) and SCADA environments in remote African and Russian resource facilities, safeguarding critical mineral assets and underground human lives against cyber-physical disruption.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Arial" w:hAnsi="Arial"/>
          <w:b/>
          <w:color w:val="00529B"/>
          <w:sz w:val="28"/>
        </w:rPr>
        <w:t>1. EXECUTIVE SUMMARY &amp; DOCUMENT CONTROL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This Product Requirements Document (PRD) defines the functional, non-functional, interface, and operational specifications for the 'Securing the Digital Mine' intrusion detection platform. Modern mineral extraction operations are deploying Industrial IoT (IIoT) sensors, automated haulage, and SCADA-governed milling circuits. However, existing IT-centric intrusion detection systems are unviable in remote mining sites due to heavy computational overhead, reliance on high-bandwidth cloud connectivity, and lack of adaptation to industrial protocol traffic (Modbus, DNP3, OPC-UA).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3600"/>
            <w:tcW w:w="3600" w:type="dxa"/>
            <w:shd w:fill="00529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Document Attribute</w:t>
            </w:r>
          </w:p>
        </w:tc>
        <w:tc>
          <w:tcPr>
            <w:tcW w:type="dxa" w:w="5760"/>
            <w:tcW w:w="5760" w:type="dxa"/>
            <w:shd w:fill="00529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Specification Details</w:t>
            </w:r>
          </w:p>
        </w:tc>
      </w:tr>
      <w:tr>
        <w:trPr>
          <w:cantSplit/>
        </w:trPr>
        <w:tc>
          <w:tcPr>
            <w:tcW w:type="dxa" w:w="3600"/>
            <w:tcW w:w="3600" w:type="dxa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Product Name</w:t>
            </w:r>
          </w:p>
        </w:tc>
        <w:tc>
          <w:tcPr>
            <w:tcW w:type="dxa" w:w="5760"/>
            <w:tcW w:w="5760" w:type="dxa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Securing the Digital Mine - Edge IDS Platform</w:t>
            </w:r>
          </w:p>
        </w:tc>
      </w:tr>
      <w:tr>
        <w:trPr>
          <w:cantSplit/>
        </w:trPr>
        <w:tc>
          <w:tcPr>
            <w:tcW w:type="dxa" w:w="3600"/>
            <w:tcW w:w="3600" w:type="dxa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Package Identifier</w:t>
            </w:r>
          </w:p>
        </w:tc>
        <w:tc>
          <w:tcPr>
            <w:tcW w:type="dxa" w:w="5760"/>
            <w:tcW w:w="5760" w:type="dxa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@mhiskall282/unesco-mine-sec-cli (GitHub Packages)</w:t>
            </w:r>
          </w:p>
        </w:tc>
      </w:tr>
      <w:tr>
        <w:trPr>
          <w:cantSplit/>
        </w:trPr>
        <w:tc>
          <w:tcPr>
            <w:tcW w:type="dxa" w:w="3600"/>
            <w:tcW w:w="3600" w:type="dxa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Target Hardware</w:t>
            </w:r>
          </w:p>
        </w:tc>
        <w:tc>
          <w:tcPr>
            <w:tcW w:type="dxa" w:w="5760"/>
            <w:tcW w:w="5760" w:type="dxa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Raspberry Pi 4B/5 (1GB-4GB RAM), Industrial Gateways, AWS EC2</w:t>
            </w:r>
          </w:p>
        </w:tc>
      </w:tr>
      <w:tr>
        <w:trPr>
          <w:cantSplit/>
        </w:trPr>
        <w:tc>
          <w:tcPr>
            <w:tcW w:type="dxa" w:w="3600"/>
            <w:tcW w:w="3600" w:type="dxa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Target Protocols</w:t>
            </w:r>
          </w:p>
        </w:tc>
        <w:tc>
          <w:tcPr>
            <w:tcW w:type="dxa" w:w="5760"/>
            <w:tcW w:w="5760" w:type="dxa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Modbus RTU/TCP, DNP3, OPC-UA, Ethernet/IP, MQTT</w:t>
            </w:r>
          </w:p>
        </w:tc>
      </w:tr>
      <w:tr>
        <w:trPr>
          <w:cantSplit/>
        </w:trPr>
        <w:tc>
          <w:tcPr>
            <w:tcW w:type="dxa" w:w="3600"/>
            <w:tcW w:w="3600" w:type="dxa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Lead Institution</w:t>
            </w:r>
          </w:p>
        </w:tc>
        <w:tc>
          <w:tcPr>
            <w:tcW w:type="dxa" w:w="5760"/>
            <w:tcW w:w="5760" w:type="dxa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University of Education, Winneba (UEW) &amp; UEW Innovation Hub</w:t>
            </w:r>
          </w:p>
        </w:tc>
      </w:tr>
      <w:tr>
        <w:trPr>
          <w:cantSplit/>
        </w:trPr>
        <w:tc>
          <w:tcPr>
            <w:tcW w:type="dxa" w:w="3600"/>
            <w:tcW w:w="3600" w:type="dxa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Forum Submission</w:t>
            </w:r>
          </w:p>
        </w:tc>
        <w:tc>
          <w:tcPr>
            <w:tcW w:type="dxa" w:w="5760"/>
            <w:tcW w:w="5760" w:type="dxa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Russian-African Forum-Contest of Young Scientists 2026 (UNESCO)</w:t>
            </w:r>
          </w:p>
        </w:tc>
      </w:tr>
      <w:tr>
        <w:trPr>
          <w:cantSplit/>
        </w:trPr>
        <w:tc>
          <w:tcPr>
            <w:tcW w:type="dxa" w:w="3600"/>
            <w:tcW w:w="3600" w:type="dxa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Document Version</w:t>
            </w:r>
          </w:p>
        </w:tc>
        <w:tc>
          <w:tcPr>
            <w:tcW w:type="dxa" w:w="5760"/>
            <w:tcW w:w="5760" w:type="dxa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v3.0.0 (Production Candidate)</w:t>
            </w:r>
          </w:p>
        </w:tc>
      </w:tr>
      <w:tr>
        <w:trPr>
          <w:cantSplit/>
        </w:trPr>
        <w:tc>
          <w:tcPr>
            <w:tcW w:type="dxa" w:w="3600"/>
            <w:tcW w:w="3600" w:type="dxa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Release Date</w:t>
            </w:r>
          </w:p>
        </w:tc>
        <w:tc>
          <w:tcPr>
            <w:tcW w:type="dxa" w:w="5760"/>
            <w:tcW w:w="5760" w:type="dxa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August 2026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00529B"/>
          <w:sz w:val="28"/>
        </w:rPr>
        <w:t>2. TARGET USER PERSONAS &amp; PAIN POINTS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5"/>
        </w:rPr>
        <w:t>Persona 1: Kwame Mensah - Edge OT / SCADA Maintenance Engineer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Role: Manages programmable logic controllers (PLCs), sensor loops, and telemetry hubs at a gold processing plant in Tarkwa, Ghana.</w:t>
      </w:r>
    </w:p>
    <w:p>
      <w:pPr>
        <w:pStyle w:val="ListBullet"/>
        <w:spacing w:line="312" w:lineRule="auto" w:after="80"/>
      </w:pPr>
      <w:r>
        <w:rPr>
          <w:rFonts w:ascii="Times New Roman" w:hAnsi="Times New Roman"/>
          <w:sz w:val="24"/>
        </w:rPr>
        <w:t>Pain Point: Remote extraction sites have intermittent satellite connections and solar/battery power limits. Cloud-based security tools fail during link dropouts.</w:t>
      </w:r>
    </w:p>
    <w:p>
      <w:pPr>
        <w:pStyle w:val="ListBullet"/>
        <w:spacing w:line="312" w:lineRule="auto" w:after="80"/>
      </w:pPr>
      <w:r>
        <w:rPr>
          <w:rFonts w:ascii="Times New Roman" w:hAnsi="Times New Roman"/>
          <w:sz w:val="24"/>
        </w:rPr>
        <w:t>Need: A plug-and-play CLI agent that runs locally on existing 1GB RAM Raspberry Pi gateways with zero cloud dependency and sub-millisecond local inference.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5"/>
        </w:rPr>
        <w:t>Persona 2: Elena Petrova - Industrial Cybersecurity Operations Lead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Role: Oversees central security monitoring and incident triage across subsoil extraction complexes.</w:t>
      </w:r>
    </w:p>
    <w:p>
      <w:pPr>
        <w:pStyle w:val="ListBullet"/>
        <w:spacing w:line="312" w:lineRule="auto" w:after="80"/>
      </w:pPr>
      <w:r>
        <w:rPr>
          <w:rFonts w:ascii="Times New Roman" w:hAnsi="Times New Roman"/>
          <w:sz w:val="24"/>
        </w:rPr>
        <w:t>Pain Point: Traditional intrusion detection systems generate thousands of cryptic numerical alerts with high false alarm rates that overwhelm control room operators.</w:t>
      </w:r>
    </w:p>
    <w:p>
      <w:pPr>
        <w:pStyle w:val="ListBullet"/>
        <w:spacing w:line="312" w:lineRule="auto" w:after="80"/>
      </w:pPr>
      <w:r>
        <w:rPr>
          <w:rFonts w:ascii="Times New Roman" w:hAnsi="Times New Roman"/>
          <w:sz w:val="24"/>
        </w:rPr>
        <w:t>Need: Clear, human-readable attack labels (e.g., 'DoS', 'Probe', 'Modbus Injection') with calibrated confidence percentages and real-time dashboard visualization.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5"/>
        </w:rPr>
        <w:t>Persona 3: Mine Operations Director / General Manager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Role: Accountable for production output, regulatory safety compliance, and operational capital expenditure.</w:t>
      </w:r>
    </w:p>
    <w:p>
      <w:pPr>
        <w:pStyle w:val="ListBullet"/>
        <w:spacing w:line="312" w:lineRule="auto" w:after="80"/>
      </w:pPr>
      <w:r>
        <w:rPr>
          <w:rFonts w:ascii="Times New Roman" w:hAnsi="Times New Roman"/>
          <w:sz w:val="24"/>
        </w:rPr>
        <w:t>Pain Point: Unplanned mill or ventilation downtime costs between USD $50,000 and $500,000 per hour. Proprietary enterprise IDS solutions require exorbitant annual licensing fees.</w:t>
      </w:r>
    </w:p>
    <w:p>
      <w:pPr>
        <w:pStyle w:val="ListBullet"/>
        <w:spacing w:line="312" w:lineRule="auto" w:after="80"/>
      </w:pPr>
      <w:r>
        <w:rPr>
          <w:rFonts w:ascii="Times New Roman" w:hAnsi="Times New Roman"/>
          <w:sz w:val="24"/>
        </w:rPr>
        <w:t>Need: An open-source, mathematically proven security architecture that delivers tangible return on investment (&gt;200x) and meets Minerals Commission safety mandates.</w:t>
      </w:r>
    </w:p>
    <w:p>
      <w:pPr>
        <w:keepNext/>
        <w:spacing w:before="360" w:after="120"/>
      </w:pPr>
      <w:r>
        <w:rPr>
          <w:rFonts w:ascii="Arial" w:hAnsi="Arial"/>
          <w:b/>
          <w:color w:val="00529B"/>
          <w:sz w:val="28"/>
        </w:rPr>
        <w:t>3. SYSTEM ARCHITECTURE &amp; CORE PIPELINE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260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6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color w:val="64748B"/>
          <w:sz w:val="20"/>
        </w:rPr>
        <w:t>Figure 3.1: Four-Layer Edge-to-Cloud System Architecture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The product architecture consists of four tightly integrated layers:</w:t>
        <w:br/>
        <w:t>1. Layer 1 (Industrial Ingestion Layer): Real-time network sniffer (@mhiskall282/unesco-mine-sec-cli) hooking promiscuous interfaces.</w:t>
        <w:br/>
        <w:t>2. Layer 2 (Metaheuristic Optimization Layer): Binary Whale Optimization Algorithm (BWOA) pruning 41 features down to 10 key features.</w:t>
        <w:br/>
        <w:t>3. Layer 3 (Deep Learning Classification Layer): Spatial-temporal Conv1D-LSTM neural classifier compressed via Float16 quantization to 0.82 MB.</w:t>
        <w:br/>
        <w:t>4. Layer 4 (Operational &amp; Alerting Layer): Asynchronous FastAPI inference engine and multi-tenant Laravel Livewire SaaS dashboard.</w:t>
      </w:r>
    </w:p>
    <w:p>
      <w:pPr>
        <w:keepNext/>
        <w:spacing w:before="360" w:after="120"/>
      </w:pPr>
      <w:r>
        <w:rPr>
          <w:rFonts w:ascii="Arial" w:hAnsi="Arial"/>
          <w:b/>
          <w:color w:val="00529B"/>
          <w:sz w:val="28"/>
        </w:rPr>
        <w:t>4. FUNCTIONAL REQUIREMENTS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1296"/>
            <w:tcW w:w="1296" w:type="dxa"/>
            <w:shd w:fill="00529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Req ID</w:t>
            </w:r>
          </w:p>
        </w:tc>
        <w:tc>
          <w:tcPr>
            <w:tcW w:type="dxa" w:w="2592"/>
            <w:tcW w:w="2592" w:type="dxa"/>
            <w:shd w:fill="00529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Requirement Name</w:t>
            </w:r>
          </w:p>
        </w:tc>
        <w:tc>
          <w:tcPr>
            <w:tcW w:type="dxa" w:w="1728"/>
            <w:tcW w:w="1728" w:type="dxa"/>
            <w:shd w:fill="00529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3744"/>
            <w:tcW w:w="3744" w:type="dxa"/>
            <w:shd w:fill="00529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Detailed Functional Description</w:t>
            </w:r>
          </w:p>
        </w:tc>
      </w:tr>
      <w:tr>
        <w:trPr>
          <w:cantSplit/>
        </w:trPr>
        <w:tc>
          <w:tcPr>
            <w:tcW w:type="dxa" w:w="1296"/>
            <w:tcW w:w="1296" w:type="dxa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FR-01</w:t>
            </w:r>
          </w:p>
        </w:tc>
        <w:tc>
          <w:tcPr>
            <w:tcW w:type="dxa" w:w="2592"/>
            <w:tcW w:w="2592" w:type="dxa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Promiscuous Packet Sniffing</w:t>
            </w:r>
          </w:p>
        </w:tc>
        <w:tc>
          <w:tcPr>
            <w:tcW w:type="dxa" w:w="1728"/>
            <w:tcW w:w="1728" w:type="dxa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P0 (Must Have)</w:t>
            </w:r>
          </w:p>
        </w:tc>
        <w:tc>
          <w:tcPr>
            <w:tcW w:type="dxa" w:w="3744"/>
            <w:tcW w:w="3744" w:type="dxa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The edge CLI agent must bind to any active network interface (Ethernet, Wi-Fi, virtual TAP) and capture raw bidirectional network frames up to 1,000 flows/sec.</w:t>
            </w:r>
          </w:p>
        </w:tc>
      </w:tr>
      <w:tr>
        <w:trPr>
          <w:cantSplit/>
        </w:trPr>
        <w:tc>
          <w:tcPr>
            <w:tcW w:type="dxa" w:w="1296"/>
            <w:tcW w:w="1296" w:type="dxa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FR-02</w:t>
            </w:r>
          </w:p>
        </w:tc>
        <w:tc>
          <w:tcPr>
            <w:tcW w:type="dxa" w:w="2592"/>
            <w:tcW w:w="2592" w:type="dxa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BWOA Feature Pruning</w:t>
            </w:r>
          </w:p>
        </w:tc>
        <w:tc>
          <w:tcPr>
            <w:tcW w:type="dxa" w:w="1728"/>
            <w:tcW w:w="1728" w:type="dxa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P0 (Must Have)</w:t>
            </w:r>
          </w:p>
        </w:tc>
        <w:tc>
          <w:tcPr>
            <w:tcW w:type="dxa" w:w="3744"/>
            <w:tcW w:w="3744" w:type="dxa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The system must automatically isolate and extract exactly the 10 BWOA-selected features from raw packet headers, achieving a 75.61% telemetry data reduction.</w:t>
            </w:r>
          </w:p>
        </w:tc>
      </w:tr>
      <w:tr>
        <w:trPr>
          <w:cantSplit/>
        </w:trPr>
        <w:tc>
          <w:tcPr>
            <w:tcW w:type="dxa" w:w="1296"/>
            <w:tcW w:w="1296" w:type="dxa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FR-03</w:t>
            </w:r>
          </w:p>
        </w:tc>
        <w:tc>
          <w:tcPr>
            <w:tcW w:type="dxa" w:w="2592"/>
            <w:tcW w:w="2592" w:type="dxa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Multi-Class Attack Classification</w:t>
            </w:r>
          </w:p>
        </w:tc>
        <w:tc>
          <w:tcPr>
            <w:tcW w:type="dxa" w:w="1728"/>
            <w:tcW w:w="1728" w:type="dxa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P0 (Must Have)</w:t>
            </w:r>
          </w:p>
        </w:tc>
        <w:tc>
          <w:tcPr>
            <w:tcW w:type="dxa" w:w="3744"/>
            <w:tcW w:w="3744" w:type="dxa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The deep learning inference engine must classify incoming flows into five distinct categories: Normal, Denial of Service (DoS), Network Probing, Remote-to-Local (R2L), and User-to-Root (U2R).</w:t>
            </w:r>
          </w:p>
        </w:tc>
      </w:tr>
      <w:tr>
        <w:trPr>
          <w:cantSplit/>
        </w:trPr>
        <w:tc>
          <w:tcPr>
            <w:tcW w:type="dxa" w:w="1296"/>
            <w:tcW w:w="1296" w:type="dxa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FR-04</w:t>
            </w:r>
          </w:p>
        </w:tc>
        <w:tc>
          <w:tcPr>
            <w:tcW w:type="dxa" w:w="2592"/>
            <w:tcW w:w="2592" w:type="dxa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Float16 Quantized Inference</w:t>
            </w:r>
          </w:p>
        </w:tc>
        <w:tc>
          <w:tcPr>
            <w:tcW w:type="dxa" w:w="1728"/>
            <w:tcW w:w="1728" w:type="dxa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P0 (Must Have)</w:t>
            </w:r>
          </w:p>
        </w:tc>
        <w:tc>
          <w:tcPr>
            <w:tcW w:type="dxa" w:w="3744"/>
            <w:tcW w:w="3744" w:type="dxa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The model must execute via a quantized Float16 TensorFlow Lite engine to achieve single-sample inference latency of less than 1.0 millisecond on ARM Cortex-A72 hardware.</w:t>
            </w:r>
          </w:p>
        </w:tc>
      </w:tr>
      <w:tr>
        <w:trPr>
          <w:cantSplit/>
        </w:trPr>
        <w:tc>
          <w:tcPr>
            <w:tcW w:type="dxa" w:w="1296"/>
            <w:tcW w:w="1296" w:type="dxa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FR-05</w:t>
            </w:r>
          </w:p>
        </w:tc>
        <w:tc>
          <w:tcPr>
            <w:tcW w:type="dxa" w:w="2592"/>
            <w:tcW w:w="2592" w:type="dxa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Interactive CLI Wizard</w:t>
            </w:r>
          </w:p>
        </w:tc>
        <w:tc>
          <w:tcPr>
            <w:tcW w:type="dxa" w:w="1728"/>
            <w:tcW w:w="1728" w:type="dxa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P1 (Should Have)</w:t>
            </w:r>
          </w:p>
        </w:tc>
        <w:tc>
          <w:tcPr>
            <w:tcW w:type="dxa" w:w="3744"/>
            <w:tcW w:w="3744" w:type="dxa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When launched without parameters, the CLI sniffer must prompt the operator interactively for target API URL, network interface, and authentication bearer token.</w:t>
            </w:r>
          </w:p>
        </w:tc>
      </w:tr>
      <w:tr>
        <w:trPr>
          <w:cantSplit/>
        </w:trPr>
        <w:tc>
          <w:tcPr>
            <w:tcW w:type="dxa" w:w="1296"/>
            <w:tcW w:w="1296" w:type="dxa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FR-06</w:t>
            </w:r>
          </w:p>
        </w:tc>
        <w:tc>
          <w:tcPr>
            <w:tcW w:type="dxa" w:w="2592"/>
            <w:tcW w:w="2592" w:type="dxa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Headless Daemon Execution</w:t>
            </w:r>
          </w:p>
        </w:tc>
        <w:tc>
          <w:tcPr>
            <w:tcW w:type="dxa" w:w="1728"/>
            <w:tcW w:w="1728" w:type="dxa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P1 (Should Have)</w:t>
            </w:r>
          </w:p>
        </w:tc>
        <w:tc>
          <w:tcPr>
            <w:tcW w:type="dxa" w:w="3744"/>
            <w:tcW w:w="3744" w:type="dxa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The CLI sniffer must support non-interactive execution via command-line flags (--url, --key, --interface) for integration into Linux systemd services and cron schedules.</w:t>
            </w:r>
          </w:p>
        </w:tc>
      </w:tr>
      <w:tr>
        <w:trPr>
          <w:cantSplit/>
        </w:trPr>
        <w:tc>
          <w:tcPr>
            <w:tcW w:type="dxa" w:w="1296"/>
            <w:tcW w:w="1296" w:type="dxa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FR-07</w:t>
            </w:r>
          </w:p>
        </w:tc>
        <w:tc>
          <w:tcPr>
            <w:tcW w:type="dxa" w:w="2592"/>
            <w:tcW w:w="2592" w:type="dxa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Live Dashboard Alerting</w:t>
            </w:r>
          </w:p>
        </w:tc>
        <w:tc>
          <w:tcPr>
            <w:tcW w:type="dxa" w:w="1728"/>
            <w:tcW w:w="1728" w:type="dxa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P1 (Should Have)</w:t>
            </w:r>
          </w:p>
        </w:tc>
        <w:tc>
          <w:tcPr>
            <w:tcW w:type="dxa" w:w="3744"/>
            <w:tcW w:w="3744" w:type="dxa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The Laravel SaaS dashboard must ingest flow telemetry via /api/external/analyze and broadcast real-time Livewire events with confidence scores and threat severity levels.</w:t>
            </w:r>
          </w:p>
        </w:tc>
      </w:tr>
      <w:tr>
        <w:trPr>
          <w:cantSplit/>
        </w:trPr>
        <w:tc>
          <w:tcPr>
            <w:tcW w:type="dxa" w:w="1296"/>
            <w:tcW w:w="1296" w:type="dxa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FR-08</w:t>
            </w:r>
          </w:p>
        </w:tc>
        <w:tc>
          <w:tcPr>
            <w:tcW w:type="dxa" w:w="2592"/>
            <w:tcW w:w="2592" w:type="dxa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Compliance Audit Trail</w:t>
            </w:r>
          </w:p>
        </w:tc>
        <w:tc>
          <w:tcPr>
            <w:tcW w:type="dxa" w:w="1728"/>
            <w:tcW w:w="1728" w:type="dxa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P2 (Nice to Have)</w:t>
            </w:r>
          </w:p>
        </w:tc>
        <w:tc>
          <w:tcPr>
            <w:tcW w:type="dxa" w:w="3744"/>
            <w:tcW w:w="3744" w:type="dxa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All detected anomalies, affected IP endpoints, and operator acknowledgment timestamps must be recorded in an immutable audit log for regulatory compliance reporting.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00529B"/>
          <w:sz w:val="28"/>
        </w:rPr>
        <w:t>5. NON-FUNCTIONAL REQUIREMENTS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1440"/>
            <w:tcW w:w="1440" w:type="dxa"/>
            <w:shd w:fill="00529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Req ID</w:t>
            </w:r>
          </w:p>
        </w:tc>
        <w:tc>
          <w:tcPr>
            <w:tcW w:type="dxa" w:w="2016"/>
            <w:tcW w:w="2015" w:type="dxa"/>
            <w:shd w:fill="00529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3312"/>
            <w:tcW w:w="3311" w:type="dxa"/>
            <w:shd w:fill="00529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Target Metric</w:t>
            </w:r>
          </w:p>
        </w:tc>
        <w:tc>
          <w:tcPr>
            <w:tcW w:type="dxa" w:w="2592"/>
            <w:tcW w:w="2592" w:type="dxa"/>
            <w:shd w:fill="00529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Verification Method</w:t>
            </w:r>
          </w:p>
        </w:tc>
      </w:tr>
      <w:tr>
        <w:trPr>
          <w:cantSplit/>
        </w:trPr>
        <w:tc>
          <w:tcPr>
            <w:tcW w:type="dxa" w:w="1440"/>
            <w:tcW w:w="1440" w:type="dxa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NFR-01</w:t>
            </w:r>
          </w:p>
        </w:tc>
        <w:tc>
          <w:tcPr>
            <w:tcW w:type="dxa" w:w="2016"/>
            <w:tcW w:w="2015" w:type="dxa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Inference Latency</w:t>
            </w:r>
          </w:p>
        </w:tc>
        <w:tc>
          <w:tcPr>
            <w:tcW w:type="dxa" w:w="3312"/>
            <w:tcW w:w="3311" w:type="dxa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&lt; 1.0 ms on edge hardware (Raspberry Pi 4B)</w:t>
            </w:r>
          </w:p>
        </w:tc>
        <w:tc>
          <w:tcPr>
            <w:tcW w:type="dxa" w:w="2592"/>
            <w:tcW w:w="2592" w:type="dxa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0B981"/>
                <w:sz w:val="19"/>
              </w:rPr>
              <w:t>Benchmarked at 0.76 ms over 1,000 inference runs (PASS)</w:t>
            </w:r>
          </w:p>
        </w:tc>
      </w:tr>
      <w:tr>
        <w:trPr>
          <w:cantSplit/>
        </w:trPr>
        <w:tc>
          <w:tcPr>
            <w:tcW w:type="dxa" w:w="1440"/>
            <w:tcW w:w="1440" w:type="dxa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NFR-02</w:t>
            </w:r>
          </w:p>
        </w:tc>
        <w:tc>
          <w:tcPr>
            <w:tcW w:type="dxa" w:w="2016"/>
            <w:tcW w:w="2015" w:type="dxa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Memory Footprint</w:t>
            </w:r>
          </w:p>
        </w:tc>
        <w:tc>
          <w:tcPr>
            <w:tcW w:type="dxa" w:w="3312"/>
            <w:tcW w:w="3311" w:type="dxa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&lt; 512 MB peak RAM on 1GB RAM edge gateway</w:t>
            </w:r>
          </w:p>
        </w:tc>
        <w:tc>
          <w:tcPr>
            <w:tcW w:type="dxa" w:w="2592"/>
            <w:tcW w:w="2592" w:type="dxa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0B981"/>
                <w:sz w:val="19"/>
              </w:rPr>
              <w:t>Profiled at 290.31 MB peak memory consumption (PASS)</w:t>
            </w:r>
          </w:p>
        </w:tc>
      </w:tr>
      <w:tr>
        <w:trPr>
          <w:cantSplit/>
        </w:trPr>
        <w:tc>
          <w:tcPr>
            <w:tcW w:type="dxa" w:w="1440"/>
            <w:tcW w:w="1440" w:type="dxa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NFR-03</w:t>
            </w:r>
          </w:p>
        </w:tc>
        <w:tc>
          <w:tcPr>
            <w:tcW w:type="dxa" w:w="2016"/>
            <w:tcW w:w="2015" w:type="dxa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Model Storage Size</w:t>
            </w:r>
          </w:p>
        </w:tc>
        <w:tc>
          <w:tcPr>
            <w:tcW w:type="dxa" w:w="3312"/>
            <w:tcW w:w="3311" w:type="dxa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&lt; 1.0 MB compressed TFLite binary</w:t>
            </w:r>
          </w:p>
        </w:tc>
        <w:tc>
          <w:tcPr>
            <w:tcW w:type="dxa" w:w="2592"/>
            <w:tcW w:w="2592" w:type="dxa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0B981"/>
                <w:sz w:val="19"/>
              </w:rPr>
              <w:t>Measured at exactly 0.82 MB (83.2% compression ratio, PASS)</w:t>
            </w:r>
          </w:p>
        </w:tc>
      </w:tr>
      <w:tr>
        <w:trPr>
          <w:cantSplit/>
        </w:trPr>
        <w:tc>
          <w:tcPr>
            <w:tcW w:type="dxa" w:w="1440"/>
            <w:tcW w:w="1440" w:type="dxa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NFR-04</w:t>
            </w:r>
          </w:p>
        </w:tc>
        <w:tc>
          <w:tcPr>
            <w:tcW w:type="dxa" w:w="2016"/>
            <w:tcW w:w="2015" w:type="dxa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Power Efficiency</w:t>
            </w:r>
          </w:p>
        </w:tc>
        <w:tc>
          <w:tcPr>
            <w:tcW w:type="dxa" w:w="3312"/>
            <w:tcW w:w="3311" w:type="dxa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&lt; 3.0 Watts continuous power draw</w:t>
            </w:r>
          </w:p>
        </w:tc>
        <w:tc>
          <w:tcPr>
            <w:tcW w:type="dxa" w:w="2592"/>
            <w:tcW w:w="2592" w:type="dxa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0B981"/>
                <w:sz w:val="19"/>
              </w:rPr>
              <w:t>Measured at 2.5 Watts under continuous load, solar/battery ready (PASS)</w:t>
            </w:r>
          </w:p>
        </w:tc>
      </w:tr>
      <w:tr>
        <w:trPr>
          <w:cantSplit/>
        </w:trPr>
        <w:tc>
          <w:tcPr>
            <w:tcW w:type="dxa" w:w="1440"/>
            <w:tcW w:w="1440" w:type="dxa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NFR-05</w:t>
            </w:r>
          </w:p>
        </w:tc>
        <w:tc>
          <w:tcPr>
            <w:tcW w:type="dxa" w:w="2016"/>
            <w:tcW w:w="2015" w:type="dxa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Classification Accuracy</w:t>
            </w:r>
          </w:p>
        </w:tc>
        <w:tc>
          <w:tcPr>
            <w:tcW w:type="dxa" w:w="3312"/>
            <w:tcW w:w="3311" w:type="dxa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&gt; 70.0% multi-class accuracy on KDDTest+</w:t>
            </w:r>
          </w:p>
        </w:tc>
        <w:tc>
          <w:tcPr>
            <w:tcW w:type="dxa" w:w="2592"/>
            <w:tcW w:w="2592" w:type="dxa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0B981"/>
                <w:sz w:val="19"/>
              </w:rPr>
              <w:t>Achieved 70.56% accuracy and 0.7127 Macro F1 on 22,544 samples (PASS)</w:t>
            </w:r>
          </w:p>
        </w:tc>
      </w:tr>
      <w:tr>
        <w:trPr>
          <w:cantSplit/>
        </w:trPr>
        <w:tc>
          <w:tcPr>
            <w:tcW w:type="dxa" w:w="1440"/>
            <w:tcW w:w="1440" w:type="dxa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NFR-06</w:t>
            </w:r>
          </w:p>
        </w:tc>
        <w:tc>
          <w:tcPr>
            <w:tcW w:type="dxa" w:w="2016"/>
            <w:tcW w:w="2015" w:type="dxa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Benign Precision</w:t>
            </w:r>
          </w:p>
        </w:tc>
        <w:tc>
          <w:tcPr>
            <w:tcW w:type="dxa" w:w="3312"/>
            <w:tcW w:w="3311" w:type="dxa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&gt; 95.0% precision on normal mining traffic</w:t>
            </w:r>
          </w:p>
        </w:tc>
        <w:tc>
          <w:tcPr>
            <w:tcW w:type="dxa" w:w="2592"/>
            <w:tcW w:w="2592" w:type="dxa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0B981"/>
                <w:sz w:val="19"/>
              </w:rPr>
              <w:t>Achieved 96.89% precision, preventing false operational shutdowns (PASS)</w:t>
            </w:r>
          </w:p>
        </w:tc>
      </w:tr>
      <w:tr>
        <w:trPr>
          <w:cantSplit/>
        </w:trPr>
        <w:tc>
          <w:tcPr>
            <w:tcW w:type="dxa" w:w="1440"/>
            <w:tcW w:w="1440" w:type="dxa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NFR-07</w:t>
            </w:r>
          </w:p>
        </w:tc>
        <w:tc>
          <w:tcPr>
            <w:tcW w:type="dxa" w:w="2016"/>
            <w:tcW w:w="2015" w:type="dxa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DoS Attack Recall</w:t>
            </w:r>
          </w:p>
        </w:tc>
        <w:tc>
          <w:tcPr>
            <w:tcW w:type="dxa" w:w="3312"/>
            <w:tcW w:w="3311" w:type="dxa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&gt; 85.0% recall on volumetric attack streams</w:t>
            </w:r>
          </w:p>
        </w:tc>
        <w:tc>
          <w:tcPr>
            <w:tcW w:type="dxa" w:w="2592"/>
            <w:tcW w:w="2592" w:type="dxa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0B981"/>
                <w:sz w:val="19"/>
              </w:rPr>
              <w:t>Achieved 89.04% recall on DoS intrusions (PASS)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00529B"/>
          <w:sz w:val="28"/>
        </w:rPr>
        <w:t>6. PRODUCT RELEASE ROADMAP &amp; SUCCESS METRICS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1440"/>
            <w:tcW w:w="1440" w:type="dxa"/>
            <w:shd w:fill="00529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Phase</w:t>
            </w:r>
          </w:p>
        </w:tc>
        <w:tc>
          <w:tcPr>
            <w:tcW w:type="dxa" w:w="2592"/>
            <w:tcW w:w="2592" w:type="dxa"/>
            <w:shd w:fill="00529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Milestone Name</w:t>
            </w:r>
          </w:p>
        </w:tc>
        <w:tc>
          <w:tcPr>
            <w:tcW w:type="dxa" w:w="1728"/>
            <w:tcW w:w="1728" w:type="dxa"/>
            <w:shd w:fill="00529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Timeline</w:t>
            </w:r>
          </w:p>
        </w:tc>
        <w:tc>
          <w:tcPr>
            <w:tcW w:type="dxa" w:w="3600"/>
            <w:tcW w:w="3600" w:type="dxa"/>
            <w:shd w:fill="00529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Core Deliverables &amp; KPIs</w:t>
            </w:r>
          </w:p>
        </w:tc>
      </w:tr>
      <w:tr>
        <w:trPr>
          <w:cantSplit/>
        </w:trPr>
        <w:tc>
          <w:tcPr>
            <w:tcW w:type="dxa" w:w="1440"/>
            <w:tcW w:w="1440" w:type="dxa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Phase 1</w:t>
            </w:r>
          </w:p>
        </w:tc>
        <w:tc>
          <w:tcPr>
            <w:tcW w:type="dxa" w:w="2592"/>
            <w:tcW w:w="2592" w:type="dxa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Algorithm Design &amp; Benchmark Validation</w:t>
            </w:r>
          </w:p>
        </w:tc>
        <w:tc>
          <w:tcPr>
            <w:tcW w:type="dxa" w:w="1728"/>
            <w:tcW w:w="1728" w:type="dxa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Months 1 - 3</w:t>
            </w:r>
          </w:p>
        </w:tc>
        <w:tc>
          <w:tcPr>
            <w:tcW w:type="dxa" w:w="3600"/>
            <w:tcW w:w="3600" w:type="dxa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BWOA optimization, CNN-LSTM training, 75 unit test suite, Float16 quantization. Target: &gt;70% accuracy, &lt;1ms latency (COMPLETED).</w:t>
            </w:r>
          </w:p>
        </w:tc>
      </w:tr>
      <w:tr>
        <w:trPr>
          <w:cantSplit/>
        </w:trPr>
        <w:tc>
          <w:tcPr>
            <w:tcW w:type="dxa" w:w="1440"/>
            <w:tcW w:w="1440" w:type="dxa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Phase 2</w:t>
            </w:r>
          </w:p>
        </w:tc>
        <w:tc>
          <w:tcPr>
            <w:tcW w:type="dxa" w:w="2592"/>
            <w:tcW w:w="2592" w:type="dxa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Edge Packaging &amp; Pilot Benchmarking</w:t>
            </w:r>
          </w:p>
        </w:tc>
        <w:tc>
          <w:tcPr>
            <w:tcW w:type="dxa" w:w="1728"/>
            <w:tcW w:w="1728" w:type="dxa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Months 4 - 6</w:t>
            </w:r>
          </w:p>
        </w:tc>
        <w:tc>
          <w:tcPr>
            <w:tcW w:type="dxa" w:w="3600"/>
            <w:tcW w:w="3600" w:type="dxa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NPM package (@mhiskall282/unesco-mine-sec-cli), SWaT transfer learning, Raspberry Pi deploy scripts, UNESCO Forum presentation.</w:t>
            </w:r>
          </w:p>
        </w:tc>
      </w:tr>
      <w:tr>
        <w:trPr>
          <w:cantSplit/>
        </w:trPr>
        <w:tc>
          <w:tcPr>
            <w:tcW w:type="dxa" w:w="1440"/>
            <w:tcW w:w="1440" w:type="dxa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Phase 3</w:t>
            </w:r>
          </w:p>
        </w:tc>
        <w:tc>
          <w:tcPr>
            <w:tcW w:type="dxa" w:w="2592"/>
            <w:tcW w:w="2592" w:type="dxa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On-Site Field Validation &amp; Multi-Mine Rollout</w:t>
            </w:r>
          </w:p>
        </w:tc>
        <w:tc>
          <w:tcPr>
            <w:tcW w:type="dxa" w:w="1728"/>
            <w:tcW w:w="1728" w:type="dxa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Months 7 - 12</w:t>
            </w:r>
          </w:p>
        </w:tc>
        <w:tc>
          <w:tcPr>
            <w:tcW w:type="dxa" w:w="3600"/>
            <w:tcW w:w="3600" w:type="dxa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Live SCADA capture at Gold Fields Tarkwa, federated multi-concession learning, automated Minerals Commission ESG audit reporting.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