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FFD700"/>
          <w:bottom w:val="single" w:sz="12" w:space="0" w:color="FFD700"/>
          <w:left w:val="single" w:sz="12" w:space="0" w:color="FFD700"/>
          <w:right w:val="single" w:sz="12" w:space="0" w:color="FFD700"/>
          <w:insideH w:val="single" w:sz="12" w:space="0" w:color="FFD700"/>
          <w:insideV w:val="single" w:sz="12" w:space="0" w:color="FFD700"/>
        </w:tblBorders>
      </w:tblPr>
      <w:tblGrid>
        <w:gridCol w:w="7680"/>
        <w:gridCol w:w="7680"/>
        <w:gridCol w:w="7680"/>
      </w:tblGrid>
      <w:tr>
        <w:tc>
          <w:tcPr>
            <w:tcW w:type="dxa" w:w="3600"/>
            <w:shd w:fill="00529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40"/>
              </w:rPr>
              <w:t>UEW</w:t>
              <w:br/>
            </w:r>
            <w:r>
              <w:rPr>
                <w:rFonts w:ascii="Times New Roman" w:hAnsi="Times New Roman"/>
                <w:b/>
                <w:color w:val="00A3E0"/>
                <w:sz w:val="19"/>
              </w:rPr>
              <w:t>Univ. of Education, Winneba</w:t>
              <w:br/>
              <w:t>&amp; Kayaba Labs</w:t>
            </w:r>
          </w:p>
        </w:tc>
        <w:tc>
          <w:tcPr>
            <w:tcW w:type="dxa" w:w="15840"/>
            <w:shd w:fill="00529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Securing the Digital Mine with a Metaheuristic-Optimized</w:t>
              <w:br/>
              <w:t>Deep Learning Adaptive System</w:t>
              <w:br/>
            </w:r>
            <w:r>
              <w:rPr>
                <w:rFonts w:ascii="Times New Roman" w:hAnsi="Times New Roman"/>
                <w:b/>
                <w:color w:val="FFD700"/>
                <w:sz w:val="21"/>
              </w:rPr>
              <w:t>John Okyere, Ezekeil Baah, Clement Baffour, Parker Paa Annobil, George Akwesi Bonnah</w:t>
              <w:br/>
            </w:r>
            <w:r>
              <w:rPr>
                <w:rFonts w:ascii="Times New Roman" w:hAnsi="Times New Roman"/>
                <w:color w:val="E2E8F0"/>
                <w:sz w:val="18"/>
              </w:rPr>
              <w:t>Department of ICT, University of Education, Winneba &amp; Kayaba Labs | Saint Petersburg Mining University 2026</w:t>
            </w:r>
          </w:p>
        </w:tc>
        <w:tc>
          <w:tcPr>
            <w:tcW w:type="dxa" w:w="3600"/>
            <w:shd w:fill="00529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D700"/>
                <w:sz w:val="40"/>
              </w:rPr>
              <w:t>UNESCO</w:t>
              <w:br/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Russian-African Forum</w:t>
              <w:br/>
              <w:t>Track 3: Smart Subsoil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680"/>
        <w:gridCol w:w="7680"/>
        <w:gridCol w:w="7680"/>
      </w:tblGrid>
      <w:tr>
        <w:tc>
          <w:tcPr>
            <w:tcW w:type="dxa" w:w="76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0529B"/>
                <w:sz w:val="22"/>
              </w:rPr>
              <w:t>1. Industrial Threat Landscape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Mining 4.0: African/Russian mines deploy IoT &amp; SCADA telemetry to maximize ore yield.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Air-Gap Collapse: Connecting OT to cloud twins exposes Modbus/DNP3 protocols to zero-day attacks.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Downtime Losses: Unplanned downtime costs USD $50k-$500k/hr; gas/ventilation disruption endangers lives.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IT IDS Mismatch: Traditional tools take 150+ ms, violating the 20-50ms SCADA control loop deadline.</w:t>
            </w:r>
          </w:p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22197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ng_scada_flowcha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219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0529B"/>
                <w:sz w:val="22"/>
              </w:rPr>
              <w:t>2. Method &amp; BWOA Mathematics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Data Ingestion: Sniffer agent (@mhiskall282/unesco-mine-sec-cli) parses Modbus/TCP frames.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Shrinking Encircling: D = |C*X* - X|, X(t+1) = X* - A*D (A = 2a*r1 - a, C = 2*r2).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Spiral Bubble-Net: X(t+1) = D'*exp(b*l)*cos(2*pi*l) + X* (b=1.0, l in [-1, 1]).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V-Shaped Transfer: V(x) = |x / sqrt(1 + x^2)|, stochastic bit-flipping on velocity.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Accuracy Floor Fitness: Fit(X) = 0.3*(1 - Acc) + 0.7*(|X|/D) + Penalty (Acc &gt;= 75%).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Float16 Quantization: Model compressed to 0.82 MB for sub-millisecond execution on 1GB RAM edge gateways.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0529B"/>
                <w:sz w:val="22"/>
              </w:rPr>
              <w:t>3. 4-Layer Architecture Pipeline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Decoupled 4-layer edge architecture ensures sub-millisecond real-time threat evaluation:</w:t>
            </w:r>
          </w:p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262861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628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0529B"/>
                <w:sz w:val="22"/>
              </w:rPr>
              <w:t>4. BWOA Optimization Analysis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BWOA convergence reached at iteration 23/100, maintaining 92.31% RF cross-validation accuracy.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Selected 10 Features: src_bytes, service, flag, serror_rate, same_srv_rate, diff_srv_rate, dst_host_diff_srv_rate, protocol_type, hot, su_attempted.</w:t>
            </w:r>
          </w:p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28003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woa_convergen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800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0529B"/>
                <w:sz w:val="22"/>
              </w:rPr>
              <w:t>5. Empirical Hardware Latency Profile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Single-sample inference latency benchmarked across hardware platforms vs 100ms SCADA ceiling:</w:t>
            </w:r>
          </w:p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2495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ncy_comparison_barchar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495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0529B"/>
                <w:sz w:val="22"/>
              </w:rPr>
              <w:t>6. Multi-Class Confusion Matrix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Held-out test set evaluation (22,544 samples) on 10 BWOA-selected features:</w:t>
            </w:r>
          </w:p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657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0529B"/>
                <w:sz w:val="22"/>
              </w:rPr>
              <w:t>7. Conclusions &amp; UN SDG Impact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0.76ms Edge Latency: 207x faster than baseline on Raspberry Pi 4B (1GB RAM), passing SCADA constraints.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High Detection Fidelity: 70.56% multi-class accuracy, 96.89% benign precision, 89.04% DoS recall.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Industrial ROI: 200x-300x return averting $50k-$500k/hr outages while protecting miner lives (SDG 8 &amp; 9).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00529B"/>
                <w:sz w:val="22"/>
              </w:rPr>
              <w:t>8. References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1. Alanazi, M., et al. (2022). SCADA vulnerabilities &amp; attacks. Computers &amp; Security, 125, 103028.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2. Almomani, O., et al. (2025). SCADA intrusion detection in IIoT. Symmetry, 17(4), 480.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3. Mirjalili, S., &amp; Lewis, A. (2016). Whale optimization algorithm. Adv. Eng. Software, 95, 51-67.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0F172A"/>
                <w:sz w:val="18"/>
              </w:rPr>
              <w:t>• 4. Minerals Commission of Ghana. (2024). Digital telemetry &amp; cybersecurity compliance policy.</w:t>
            </w:r>
          </w:p>
        </w:tc>
      </w:tr>
    </w:tbl>
    <w:sectPr w:rsidR="00FC693F" w:rsidRPr="0006063C" w:rsidSect="00034616">
      <w:pgSz w:w="2448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