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itch-deck-design-prompt"/>
      <w:r>
        <w:t xml:space="preserve">Pitch Deck Design Prompt</w:t>
      </w:r>
      <w:bookmarkEnd w:id="20"/>
    </w:p>
    <w:p>
      <w:pPr>
        <w:pStyle w:val="FirstParagraph"/>
      </w:pPr>
      <w:r>
        <w:rPr>
          <w:b/>
        </w:rPr>
        <w:t xml:space="preserve">Assumption stated up front:</w:t>
      </w:r>
      <w:r>
        <w:t xml:space="preserve"> </w:t>
      </w:r>
      <w:r>
        <w:t xml:space="preserve">I’ve built this as an</w:t>
      </w:r>
      <w:r>
        <w:t xml:space="preserve"> </w:t>
      </w:r>
      <w:r>
        <w:rPr>
          <w:b/>
        </w:rPr>
        <w:t xml:space="preserve">investor pitch deck</w:t>
      </w:r>
      <w:r>
        <w:t xml:space="preserve"> </w:t>
      </w:r>
      <w:r>
        <w:t xml:space="preserve">(~15 slides, first-meeting length) since that’s the highest-leverage version given the PRD/market/competitive research already done, and it’s the version that needs the most deliberate narrative structure to get right. If you actually meant a sales deck for SME customers, a partner/BSP deck, or an internal alignment deck instead, tell me and I’ll restructure — the content skeleton in §2 would shift meaningfully (less market-sizing/financials, more feature-benefit and pricing, for instance).</w:t>
      </w:r>
    </w:p>
    <w:p>
      <w:pPr>
        <w:pStyle w:val="BodyText"/>
      </w:pPr>
      <w:r>
        <w:t xml:space="preserve">Copy everything below into your design tool as a single brief, the same way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 </w:t>
      </w:r>
      <w:r>
        <w:t xml:space="preserve">works for the product itself. It assumes no prior context, so it restates brand direction before getting into slides.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74ae9e008d79bbc81ec5b88b1f402cb02bff278"/>
      <w:r>
        <w:t xml:space="preserve">1. Brand &amp; Visual Direction (consistent with the product, not a separate identity)</w:t>
      </w:r>
      <w:bookmarkEnd w:id="21"/>
    </w:p>
    <w:p>
      <w:pPr>
        <w:pStyle w:val="FirstParagraph"/>
      </w:pPr>
      <w:r>
        <w:t xml:space="preserve">Same brand as the product docs —</w:t>
      </w:r>
      <w:r>
        <w:t xml:space="preserve"> </w:t>
      </w:r>
      <w:r>
        <w:rPr>
          <w:b/>
        </w:rPr>
        <w:t xml:space="preserve">Kola</w:t>
      </w:r>
      <w:r>
        <w:t xml:space="preserve"> </w:t>
      </w:r>
      <w:r>
        <w:t xml:space="preserve">(placeholder, pending final trademark/domain check per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§3/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§4; swap throughout once finalized). The deck should feel like it was made by the same team that made the product, not outsourced to a generic pitch-deck template studio.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Palette:</w:t>
      </w:r>
      <w:r>
        <w:t xml:space="preserve"> </w:t>
      </w:r>
      <w:r>
        <w:t xml:space="preserve">deep near-black background (</w:t>
      </w:r>
      <w:r>
        <w:rPr>
          <w:rStyle w:val="VerbatimChar"/>
        </w:rPr>
        <w:t xml:space="preserve">#0E0E10</w:t>
      </w:r>
      <w:r>
        <w:t xml:space="preserve">–</w:t>
      </w:r>
      <w:r>
        <w:rPr>
          <w:rStyle w:val="VerbatimChar"/>
        </w:rPr>
        <w:t xml:space="preserve">#141416</w:t>
      </w:r>
      <w:r>
        <w:t xml:space="preserve">) as the default slide background, one warm confident accent (terracotta/amber or deep emerald — same direction as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) used sparingly for headlines, key numbers, and chart highlights. Avoid the generic</w:t>
      </w:r>
      <w:r>
        <w:t xml:space="preserve"> </w:t>
      </w:r>
      <w:r>
        <w:t xml:space="preserve">“</w:t>
      </w:r>
      <w:r>
        <w:t xml:space="preserve">startup deck</w:t>
      </w:r>
      <w:r>
        <w:t xml:space="preserve">”</w:t>
      </w:r>
      <w:r>
        <w:t xml:space="preserve"> </w:t>
      </w:r>
      <w:r>
        <w:t xml:space="preserve">gradient-mesh-and-purple look — that’s the exact aesthetic we’re positioning against in the product itself, so the deck shouldn’t undercut that story.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Typography:</w:t>
      </w:r>
      <w:r>
        <w:t xml:space="preserve"> </w:t>
      </w:r>
      <w:r>
        <w:t xml:space="preserve">the same editorial serif/display face used for the landing page headline, paired with a clean grotesque/sans for body copy and data labels. One big, confident statement per slide in the serif; supporting detail in the sans, kept short.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 visualization:</w:t>
      </w:r>
      <w:r>
        <w:t xml:space="preserve"> </w:t>
      </w:r>
      <w:r>
        <w:t xml:space="preserve">where charts appear (market size, pricing comparison, roadmap timeline), use flat, high-contrast, minimal-gridline charts in the same near-black/accent palette — no default PowerPoint chart styling, no drop shadows or 3D bar effects.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Imagery:</w:t>
      </w:r>
      <w:r>
        <w:t xml:space="preserve"> </w:t>
      </w:r>
      <w:r>
        <w:t xml:space="preserve">prefer real product screenshots (once available) and simple custom iconography over stock photography. Where a phone mockup is used (e.g. showing the WhatsApp conversation), match the style already established for the landing page’s phone-mockup section in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Density:</w:t>
      </w:r>
      <w:r>
        <w:t xml:space="preserve"> </w:t>
      </w:r>
      <w:r>
        <w:t xml:space="preserve">one idea per slide, generous whitespace, large type. If a slide needs a paragraph to explain itself, split it into two slides instead.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design for 16:9 widescreen, both a dark-mode version (primary, for live pitching on a screen) and confirm it still reads well printed/exported to PDF in grayscale (investors forward decks as PDFs constantly — don’t rely on the dark background alone to carry contrast).</w:t>
      </w:r>
    </w:p>
    <w:p>
      <w:pPr>
        <w:pStyle w:val="Heading2"/>
      </w:pPr>
      <w:bookmarkStart w:id="22" w:name="slide-by-slide-structure"/>
      <w:r>
        <w:t xml:space="preserve">2. Slide-by-Slide Structure</w:t>
      </w:r>
      <w:bookmarkEnd w:id="22"/>
    </w:p>
    <w:p>
      <w:pPr>
        <w:pStyle w:val="Heading3"/>
      </w:pPr>
      <w:bookmarkStart w:id="23" w:name="slide-1-cover"/>
      <w:r>
        <w:t xml:space="preserve">Slide 1 — Cover</w:t>
      </w:r>
      <w:bookmarkEnd w:id="23"/>
    </w:p>
    <w:p>
      <w:pPr>
        <w:pStyle w:val="FirstParagraph"/>
      </w:pPr>
      <w:r>
        <w:t xml:space="preserve">Wordmark/logo centered or lower-third, one-line positioning statement beneath it (not a full tagline paragraph) — something in the spirit of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easiest way for African SMEs to run a business on WhatsApp and Telegram.</w:t>
      </w:r>
      <w:r>
        <w:rPr>
          <w:i/>
        </w:rPr>
        <w:t xml:space="preserve">”</w:t>
      </w:r>
      <w:r>
        <w:t xml:space="preserve"> </w:t>
      </w:r>
      <w:r>
        <w:t xml:space="preserve">Founder name/title and date, small, bottom corner.</w:t>
      </w:r>
    </w:p>
    <w:p>
      <w:pPr>
        <w:pStyle w:val="Heading3"/>
      </w:pPr>
      <w:bookmarkStart w:id="24" w:name="slide-2-the-problem"/>
      <w:r>
        <w:t xml:space="preserve">Slide 2 — The Problem</w:t>
      </w:r>
      <w:bookmarkEnd w:id="24"/>
    </w:p>
    <w:p>
      <w:pPr>
        <w:pStyle w:val="FirstParagraph"/>
      </w:pPr>
      <w:r>
        <w:t xml:space="preserve">Three short, concrete pain points, not abstract statements — lean on the specifics already in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§2: SMEs running their entire customer relationship through manual WhatsApp/Telegram DMs with no scale ceiling; existing tools priced in USD and built for flow-charts, not conversation; the people who most need a bot have zero coding ability, and the people who could extend one for them need an API, not a course in prompt engineering. Visual: a simple 3-icon row, or a single striking stat if one is sourced (e.g. WhatsApp penetration among Nigerian SMEs) — cite the source in small type if used.</w:t>
      </w:r>
    </w:p>
    <w:p>
      <w:pPr>
        <w:pStyle w:val="Heading3"/>
      </w:pPr>
      <w:bookmarkStart w:id="25" w:name="slide-3-the-solution"/>
      <w:r>
        <w:t xml:space="preserve">Slide 3 — The Solution</w:t>
      </w:r>
      <w:bookmarkEnd w:id="25"/>
    </w:p>
    <w:p>
      <w:pPr>
        <w:pStyle w:val="FirstParagraph"/>
      </w:pPr>
      <w:r>
        <w:t xml:space="preserve">One sentence: describe your business in plain language, get a working bot in minutes — no code, but with a real path to depth for developers. A simple before/after visual: a business owner manually typing WhatsApp replies (left) vs. the same owner glancing at a dashboard while the bot handles it (right).</w:t>
      </w:r>
    </w:p>
    <w:p>
      <w:pPr>
        <w:pStyle w:val="Heading3"/>
      </w:pPr>
      <w:bookmarkStart w:id="26" w:name="slide-4-how-it-works-product"/>
      <w:r>
        <w:t xml:space="preserve">Slide 4 — How It Works (Product)</w:t>
      </w:r>
      <w:bookmarkEnd w:id="26"/>
    </w:p>
    <w:p>
      <w:pPr>
        <w:pStyle w:val="FirstParagraph"/>
      </w:pPr>
      <w:r>
        <w:t xml:space="preserve">Three-to-four step visual walkthrough mirroring the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  <w:r>
        <w:t xml:space="preserve"> </w:t>
      </w:r>
      <w:r>
        <w:t xml:space="preserve">section already designed for the landing page in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: describe your business → bot drafts itself → connect WhatsApp/Telegram → live. Use an actual or mocked phone screenshot of a conversation, styled per the landing-page phone-mockup direction.</w:t>
      </w:r>
    </w:p>
    <w:p>
      <w:pPr>
        <w:pStyle w:val="Heading3"/>
      </w:pPr>
      <w:bookmarkStart w:id="27" w:name="Xa81e40d7979a609ecba1f437d338d8d79828d7f"/>
      <w:r>
        <w:t xml:space="preserve">Slide 5 — What Makes This Different (the Errand system)</w:t>
      </w:r>
      <w:bookmarkEnd w:id="27"/>
    </w:p>
    <w:p>
      <w:pPr>
        <w:pStyle w:val="FirstParagraph"/>
      </w:pPr>
      <w:r>
        <w:t xml:space="preserve">This is the slide that needs the most care — it’s the technical moat. Explain</w:t>
      </w:r>
      <w:r>
        <w:t xml:space="preserve"> </w:t>
      </w:r>
      <w:r>
        <w:rPr>
          <w:b/>
        </w:rPr>
        <w:t xml:space="preserve">Errand</w:t>
      </w:r>
      <w:r>
        <w:t xml:space="preserve"> </w:t>
      </w:r>
      <w:r>
        <w:t xml:space="preserve">in one plain sentence (a business capability the bot can call — a database lookup, a webhook, a custom action) and show the dual creation path visually: a business owner typing a plain-language request on one side, a developer’s API call/schema on the other, both feeding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underlying capability. This is the</w:t>
      </w:r>
      <w:r>
        <w:t xml:space="preserve"> </w:t>
      </w:r>
      <w:r>
        <w:t xml:space="preserve">“</w:t>
      </w:r>
      <w:r>
        <w:t xml:space="preserve">two doors, one house</w:t>
      </w:r>
      <w:r>
        <w:t xml:space="preserve">”</w:t>
      </w:r>
      <w:r>
        <w:t xml:space="preserve"> </w:t>
      </w:r>
      <w:r>
        <w:t xml:space="preserve">principle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§8 — make that structural idea, not just a feature list, the visual centerpiece of the slide.</w:t>
      </w:r>
    </w:p>
    <w:p>
      <w:pPr>
        <w:pStyle w:val="Heading3"/>
      </w:pPr>
      <w:bookmarkStart w:id="28" w:name="slide-6-market-opportunity"/>
      <w:r>
        <w:t xml:space="preserve">Slide 6 — Market Opportunity</w:t>
      </w:r>
      <w:bookmarkEnd w:id="28"/>
    </w:p>
    <w:p>
      <w:pPr>
        <w:pStyle w:val="FirstParagraph"/>
      </w:pPr>
      <w:r>
        <w:t xml:space="preserve">Sourced TAM/SAM/SOM, presented as three nested circles or a simple funnel, each with its citation in small type underneath (investors check this — cite properly, don’t round away the source):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TAM — ~39–41 million MSMEs in Nigeria</w:t>
      </w:r>
      <w:r>
        <w:t xml:space="preserve">, contributing roughly half of national GDP and about 80% of employment (SMEDAN/National Bureau of Statistics MSME Survey). This is the total addressable universe of businesses the product is built for.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SAM — Nigerian MSMEs already behaviorally on WhatsApp for customer contact.</w:t>
      </w:r>
      <w:r>
        <w:t xml:space="preserve"> </w:t>
      </w:r>
      <w:r>
        <w:t xml:space="preserve">Nigeria leads Africa with</w:t>
      </w:r>
      <w:r>
        <w:t xml:space="preserve"> </w:t>
      </w:r>
      <w:r>
        <w:rPr>
          <w:b/>
        </w:rPr>
        <w:t xml:space="preserve">52.47 million WhatsApp Business app downloads</w:t>
      </w:r>
      <w:r>
        <w:t xml:space="preserve">, and over 95% of Nigeria’s digital population uses WhatsApp — meaning the overwhelming majority of the TAM above is already doing business-critical conversation on the exact channel this product automates; they’ve just never had an easy way to make it scale past manual replies. State this as a behavioral-adoption signal, not a precise business count (the download figure includes multiple/personal downloads, so don’t present it as</w:t>
      </w:r>
      <w:r>
        <w:t xml:space="preserve"> </w:t>
      </w:r>
      <w:r>
        <w:t xml:space="preserve">“</w:t>
      </w:r>
      <w:r>
        <w:t xml:space="preserve">52 million paying customers</w:t>
      </w:r>
      <w:r>
        <w:t xml:space="preserve">”</w:t>
      </w:r>
      <w:r>
        <w:t xml:space="preserve"> </w:t>
      </w:r>
      <w:r>
        <w:t xml:space="preserve">— the honest claim is</w:t>
      </w:r>
      <w:r>
        <w:t xml:space="preserve"> </w:t>
      </w:r>
      <w:r>
        <w:t xml:space="preserve">“</w:t>
      </w:r>
      <w:r>
        <w:t xml:space="preserve">the channel is already universal, the tooling gap is the opportunity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SOM — bottom-up, 3-year target.</w:t>
      </w:r>
      <w:r>
        <w:t xml:space="preserve"> </w:t>
      </w:r>
      <w:r>
        <w:t xml:space="preserve">Model this transparently on slide as a simple multiplication, not a top-down percentage: e.g. </w:t>
      </w:r>
      <w:r>
        <w:rPr>
          <w:i/>
        </w:rPr>
        <w:t xml:space="preserve">“</w:t>
      </w:r>
      <w:r>
        <w:rPr>
          <w:i/>
        </w:rPr>
        <w:t xml:space="preserve">Reaching just 0.1% of Nigeria’s MSMEs (~40,000 businesses) at a blended ₦10,000/month average (in line with published competitor pricing of ₦6,000–₦20,000/month) is roughly ₦4.8B (~$3M) in annual recurring revenue.</w:t>
      </w:r>
      <w:r>
        <w:rPr>
          <w:i/>
        </w:rPr>
        <w:t xml:space="preserve">”</w:t>
      </w:r>
      <w:r>
        <w:t xml:space="preserve"> </w:t>
      </w:r>
      <w:r>
        <w:t xml:space="preserve">Label it explicitly as an illustrative bottom-up model, not an audited forecast — that’s more credible to an investor than a confident-sounding number with no visible math.</w:t>
      </w:r>
    </w:p>
    <w:p>
      <w:pPr>
        <w:pStyle w:val="FirstParagraph"/>
      </w:pPr>
      <w:r>
        <w:t xml:space="preserve">Sources to cite on-slide in small type: SMEDAN &amp; National Bureau of Statistics MSME Survey; WhatsApp Business download/usage data as reported via Meta/industry trackers (e.g. DataReportal/Statista-sourced figures) — re-verify both against the latest published survey before this goes in front of anyone, MSME survey cycles run multi-year and the most recent full cycle may predate this deck.</w:t>
      </w:r>
    </w:p>
    <w:p>
      <w:pPr>
        <w:pStyle w:val="Heading3"/>
      </w:pPr>
      <w:bookmarkStart w:id="29" w:name="slide-7-why-now"/>
      <w:r>
        <w:t xml:space="preserve">Slide 7 — Why Now</w:t>
      </w:r>
      <w:bookmarkEnd w:id="29"/>
    </w:p>
    <w:p>
      <w:pPr>
        <w:pStyle w:val="FirstParagraph"/>
      </w:pPr>
      <w:r>
        <w:t xml:space="preserve">2–3 tailwinds: WhatsApp Business Platform maturing and increasingly the default customer-service channel in Nigeria; AI making natural-language bot creation viable in a way it wasn’t 2–3 years ago; Naira-billing/local-payment rails (Paystack/Flutterwave) now mature enough to build on. Keep this tight — three bullets max, each with a one-line</w:t>
      </w:r>
      <w:r>
        <w:t xml:space="preserve"> </w:t>
      </w:r>
      <w:r>
        <w:t xml:space="preserve">“</w:t>
      </w:r>
      <w:r>
        <w:t xml:space="preserve">so what.</w:t>
      </w:r>
      <w:r>
        <w:t xml:space="preserve">”</w:t>
      </w:r>
    </w:p>
    <w:p>
      <w:pPr>
        <w:pStyle w:val="Heading3"/>
      </w:pPr>
      <w:bookmarkStart w:id="30" w:name="slide-8-competitive-landscape"/>
      <w:r>
        <w:t xml:space="preserve">Slide 8 — Competitive Landscape</w:t>
      </w:r>
      <w:bookmarkEnd w:id="30"/>
    </w:p>
    <w:p>
      <w:pPr>
        <w:pStyle w:val="FirstParagraph"/>
      </w:pPr>
      <w:r>
        <w:t xml:space="preserve">A 2x2 or simple quadrant/table, not a dense feature-matrix — pull the sharpest comparison points from</w:t>
      </w:r>
      <w:r>
        <w:t xml:space="preserve"> 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§1: international tools (Wati, ManyChat, AiSensy) are USD-priced and flow-chart-built, not conversation-first; the closest direct competitor (AppEdge’s Sabi) has the Naira pricing and no-code setup but is a closed consumer app with no developer path, no Telegram, and a Terms of Service that explicitly bans bulk broadcast. Position Kola in the open quadrant: Nigeria-first pricing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genuine dev-extensibility, which nothing else in the market combines today.</w:t>
      </w:r>
    </w:p>
    <w:p>
      <w:pPr>
        <w:pStyle w:val="Heading3"/>
      </w:pPr>
      <w:bookmarkStart w:id="31" w:name="slide-9-business-model"/>
      <w:r>
        <w:t xml:space="preserve">Slide 9 — Business Model</w:t>
      </w:r>
      <w:bookmarkEnd w:id="31"/>
    </w:p>
    <w:p>
      <w:pPr>
        <w:pStyle w:val="FirstParagraph"/>
      </w:pPr>
      <w:r>
        <w:t xml:space="preserve">The two-stage trial (48-hour full access → capped free tier to day 14 → paywall) and the tiered Naira pricing structure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§10, presented as a simple pricing-card visual, not a wall of numbers. One line on the Meta conversation-fee pass-through model (transparent, at-cost, no markup) since that’s a trust signal, not just a mechanic.</w:t>
      </w:r>
    </w:p>
    <w:p>
      <w:pPr>
        <w:pStyle w:val="Heading3"/>
      </w:pPr>
      <w:bookmarkStart w:id="32" w:name="slide-10-go-to-market"/>
      <w:r>
        <w:t xml:space="preserve">Slide 10 — Go-to-Market</w:t>
      </w:r>
      <w:bookmarkEnd w:id="32"/>
    </w:p>
    <w:p>
      <w:pPr>
        <w:pStyle w:val="FirstParagraph"/>
      </w:pPr>
      <w:r>
        <w:t xml:space="preserve">How the first 100 businesses get found — likely candidates given the product: direct outreach to SME clusters (markets, Instagram-first sellers), agency/reseller partnerships (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§7 Phase 2 — agencies managing multiple client bots), and the product’s own bot-mother-guided setup as a low-friction self-serve funnel. Keep this grounded in what’s actually planned, not aspirational marketing-channel name-dropping.</w:t>
      </w:r>
    </w:p>
    <w:p>
      <w:pPr>
        <w:pStyle w:val="Heading3"/>
      </w:pPr>
      <w:bookmarkStart w:id="33" w:name="slide-11-roadmap"/>
      <w:r>
        <w:t xml:space="preserve">Slide 11 — Roadmap</w:t>
      </w:r>
      <w:bookmarkEnd w:id="33"/>
    </w:p>
    <w:p>
      <w:pPr>
        <w:pStyle w:val="FirstParagraph"/>
      </w:pPr>
      <w:r>
        <w:t xml:space="preserve">A clean horizontal timeline showing Phase 1 (MVP: dual dashboard, customer-care + catalog bots, Errand engine, WhatsApp+Telegram) → Phase 2 (payments live, broadcast, Facebook catalog, verified badge, CRM/Slack/Zapier) → Phase 3 (Instagram lead capture, native CRM apps, i18n, white-label) — condensed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§7. This slide should visually communicate discipline (a tightly scoped MVP) as much as ambition.</w:t>
      </w:r>
    </w:p>
    <w:p>
      <w:pPr>
        <w:pStyle w:val="Heading3"/>
      </w:pPr>
      <w:bookmarkStart w:id="34" w:name="Xed41069c8c693c282a064bcb151461a6a9e139c"/>
      <w:r>
        <w:t xml:space="preserve">Slide 12 —</w:t>
      </w:r>
      <w:r>
        <w:t xml:space="preserve"> </w:t>
      </w:r>
      <w:r>
        <w:t xml:space="preserve">“</w:t>
      </w:r>
      <w:r>
        <w:t xml:space="preserve">What We’ve Built</w:t>
      </w:r>
      <w:r>
        <w:t xml:space="preserve">”</w:t>
      </w:r>
      <w:r>
        <w:t xml:space="preserve"> </w:t>
      </w:r>
      <w:r>
        <w:t xml:space="preserve">(traction reframe — confirmed, no fabricated metrics)</w:t>
      </w:r>
      <w:bookmarkEnd w:id="34"/>
    </w:p>
    <w:p>
      <w:pPr>
        <w:pStyle w:val="FirstParagraph"/>
      </w:pPr>
      <w:r>
        <w:t xml:space="preserve">No waitlist or user numbers exist yet, so this slide does not pretend otherwise — it substitutes proof of execution capability for traction, which is the honest and, done well, more credible version at this stage: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Two prior shipped products, not concepts:</w:t>
      </w:r>
      <w:r>
        <w:t xml:space="preserve"> </w:t>
      </w:r>
      <w:r>
        <w:t xml:space="preserve">Asami (a full ecommerce/WhatsApp bot with a multi-provider AI tool-calling engine, subscription billing, wallet/escrow, and Facebook catalog sync already built and working) and Degenbot (a Telegram trading bot with a live intelligence pipeline across five data layers). Show real screenshots or architecture snippets, not stock icons — this is the single strongest credibility asset available pre-launch: a team that has already shipped complex, working software in this exact problem space.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working technical foundation for this product specifically:</w:t>
      </w:r>
      <w:r>
        <w:t xml:space="preserve"> </w:t>
      </w:r>
      <w:r>
        <w:t xml:space="preserve">the Serverpod/Supabase architecture pattern already proven across both prior products, reused deliberately here to avoid the database-coupling mistakes made and fixed once already (a good, honest</w:t>
      </w:r>
      <w:r>
        <w:t xml:space="preserve"> </w:t>
      </w:r>
      <w:r>
        <w:t xml:space="preserve">“</w:t>
      </w:r>
      <w:r>
        <w:t xml:space="preserve">we’ve learned this lesson already</w:t>
      </w:r>
      <w:r>
        <w:t xml:space="preserve">”</w:t>
      </w:r>
      <w:r>
        <w:t xml:space="preserve"> </w:t>
      </w:r>
      <w:r>
        <w:t xml:space="preserve">line for a technical investor).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Depth of planning most pre-launch teams skip:</w:t>
      </w:r>
      <w:r>
        <w:t xml:space="preserve"> </w:t>
      </w:r>
      <w:r>
        <w:t xml:space="preserve">a full PRD, technical spec, and competitive analysis already completed — including hands-on testing of the closest direct competitor (AppEdge’s Sabi) down to their actual onboarding flow and Terms of Service, not just a desk-research summary. This is a good place for a one-line callout: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We didn’t just read about our competitor — we used their product and mapped exactly where it’s extensible and where it isn’t.</w:t>
      </w:r>
      <w:r>
        <w:rPr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 note in speaker notes (not on the slide itself) flagging that once a waitlist exists (see the separate landing-page waitlist prompt) or the first pilot businesses are live, this slide gets replaced with real numbers — this version is explicitly a placeholder for</w:t>
      </w:r>
      <w:r>
        <w:t xml:space="preserve"> </w:t>
      </w:r>
      <w:r>
        <w:t xml:space="preserve">“</w:t>
      </w:r>
      <w:r>
        <w:t xml:space="preserve">pre-launch, but not pre-execution.</w:t>
      </w:r>
      <w:r>
        <w:t xml:space="preserve">”</w:t>
      </w:r>
    </w:p>
    <w:p>
      <w:pPr>
        <w:pStyle w:val="Heading3"/>
      </w:pPr>
      <w:bookmarkStart w:id="35" w:name="slide-13-team"/>
      <w:r>
        <w:t xml:space="preserve">Slide 13 — Team</w:t>
      </w:r>
      <w:bookmarkEnd w:id="35"/>
    </w:p>
    <w:p>
      <w:pPr>
        <w:pStyle w:val="FirstParagraph"/>
      </w:pPr>
      <w:r>
        <w:t xml:space="preserve">Founder photo/name, relevant build history (Asami, Degenbot — real, shipped, technically substantial prior work is a genuine credibility signal here, lean into it), and any advisors. Keep it to the people actually involved, not an aspirational org chart.</w:t>
      </w:r>
    </w:p>
    <w:p>
      <w:pPr>
        <w:pStyle w:val="Heading3"/>
      </w:pPr>
      <w:bookmarkStart w:id="36" w:name="X03c44ae4668b58bcf71f1550feb4127dc5aa334"/>
      <w:r>
        <w:t xml:space="preserve">Slide 14 —</w:t>
      </w:r>
      <w:r>
        <w:t xml:space="preserve"> </w:t>
      </w:r>
      <w:r>
        <w:t xml:space="preserve">“</w:t>
      </w:r>
      <w:r>
        <w:t xml:space="preserve">What We Need to Launch</w:t>
      </w:r>
      <w:r>
        <w:t xml:space="preserve">”</w:t>
      </w:r>
      <w:r>
        <w:t xml:space="preserve"> </w:t>
      </w:r>
      <w:r>
        <w:t xml:space="preserve">(ask reframe — confirmed, no institutional raise right now)</w:t>
      </w:r>
      <w:bookmarkEnd w:id="36"/>
    </w:p>
    <w:p>
      <w:pPr>
        <w:pStyle w:val="FirstParagraph"/>
      </w:pPr>
      <w:r>
        <w:t xml:space="preserve">No formal institutional round is being pursued at this stage; a small friends &amp; family/angel check is possible but the amount isn’t finalized, so this slide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open with a dollar figure — that would misstate where things actually stand, and a specific number will be communicated separately once decided. Instead:</w:t>
      </w:r>
    </w:p>
    <w:p>
      <w:pPr>
        <w:numPr>
          <w:ilvl w:val="0"/>
          <w:numId w:val="1004"/>
        </w:numPr>
        <w:pStyle w:val="Compact"/>
      </w:pPr>
      <w:r>
        <w:t xml:space="preserve">Frame it as</w:t>
      </w:r>
      <w:r>
        <w:t xml:space="preserve"> </w:t>
      </w:r>
      <w:r>
        <w:rPr>
          <w:b/>
        </w:rPr>
        <w:t xml:space="preserve">what unlocks at each stage</w:t>
      </w:r>
      <w:r>
        <w:t xml:space="preserve">, not a single ask: what’s achievable bootstrapped/self-funded (the MVP1 build itself — genuinely low external cost, since Meta App Review, Business Verification, and the core Embedded Signup integration are all free to build per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), versus what a small friends &amp; family check would specifically accelerate (e.g. compressing build time by bringing on a second engineer sooner, or covering a few months of runway so the founder isn’t building this alongside unrelated paid work).</w:t>
      </w:r>
    </w:p>
    <w:p>
      <w:pPr>
        <w:numPr>
          <w:ilvl w:val="0"/>
          <w:numId w:val="1004"/>
        </w:numPr>
        <w:pStyle w:val="Compact"/>
      </w:pPr>
      <w:r>
        <w:t xml:space="preserve">Use of funds, if a check does come in, in categories tied to real known costs from the planning already done — engineering time/contractor support, basic operating runway, and modest go-to-market costs for the first pilot businesses —</w:t>
      </w:r>
      <w:r>
        <w:t xml:space="preserve"> </w:t>
      </w:r>
      <w:r>
        <w:rPr>
          <w:b/>
        </w:rPr>
        <w:t xml:space="preserve">without a specific total</w:t>
      </w:r>
      <w:r>
        <w:t xml:space="preserve">, since that number isn’t set yet.</w:t>
      </w:r>
    </w:p>
    <w:p>
      <w:pPr>
        <w:numPr>
          <w:ilvl w:val="0"/>
          <w:numId w:val="1004"/>
        </w:numPr>
        <w:pStyle w:val="Compact"/>
      </w:pPr>
      <w:r>
        <w:t xml:space="preserve">Close with a direct, low-pressure ask appropriate to friends &amp; family: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If you’d like to be part of funding the first build sprint, let’s talk numbers directly</w:t>
      </w:r>
      <w:r>
        <w:rPr>
          <w:i/>
        </w:rPr>
        <w:t xml:space="preserve">”</w:t>
      </w:r>
      <w:r>
        <w:t xml:space="preserve"> </w:t>
      </w:r>
      <w:r>
        <w:t xml:space="preserve">rather than a formal termsheet-style ask slide aimed at institutional investors who aren’t in the room yet.</w:t>
      </w:r>
    </w:p>
    <w:p>
      <w:pPr>
        <w:pStyle w:val="Heading3"/>
      </w:pPr>
      <w:bookmarkStart w:id="37" w:name="slide-15-closing"/>
      <w:r>
        <w:t xml:space="preserve">Slide 15 — Closing</w:t>
      </w:r>
      <w:bookmarkEnd w:id="37"/>
    </w:p>
    <w:p>
      <w:pPr>
        <w:pStyle w:val="FirstParagraph"/>
      </w:pPr>
      <w:r>
        <w:t xml:space="preserve">Return to the one-line positioning statement from Slide 1, contact details, and a single strong closing visual — no new information, just a clean landing point.</w:t>
      </w:r>
    </w:p>
    <w:p>
      <w:pPr>
        <w:pStyle w:val="Heading2"/>
      </w:pPr>
      <w:bookmarkStart w:id="38" w:name="X0f4eb27c3472c59a9a1fd088640e6381a32b196"/>
      <w:r>
        <w:t xml:space="preserve">3. Status of the Three Previously-Flagged Slides</w:t>
      </w:r>
      <w:bookmarkEnd w:id="38"/>
    </w:p>
    <w:p>
      <w:pPr>
        <w:pStyle w:val="FirstParagraph"/>
      </w:pPr>
      <w:r>
        <w:t xml:space="preserve">All three now resolved, not open: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Slide 6 (Market):</w:t>
      </w:r>
      <w:r>
        <w:t xml:space="preserve"> </w:t>
      </w:r>
      <w:r>
        <w:t xml:space="preserve">filled in with sourced SMEDAN/NBS and WhatsApp-adoption figures above — re-verify against the latest published survey cycle before the deck goes out, since MSME survey data updates infrequently.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Slide 12 (Traction):</w:t>
      </w:r>
      <w:r>
        <w:t xml:space="preserve"> </w:t>
      </w:r>
      <w:r>
        <w:t xml:space="preserve">confirmed no waitlist or user numbers exist yet; reframed honestly around what’s actually been built (Asami, Degenbot, this planning depth) rather than inventing metrics.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Slide 14 (Ask):</w:t>
      </w:r>
      <w:r>
        <w:t xml:space="preserve"> </w:t>
      </w:r>
      <w:r>
        <w:t xml:space="preserve">confirmed no institutional raise is being pursued right now; reframed as</w:t>
      </w:r>
      <w:r>
        <w:t xml:space="preserve"> </w:t>
      </w:r>
      <w:r>
        <w:t xml:space="preserve">“</w:t>
      </w:r>
      <w:r>
        <w:t xml:space="preserve">what unlocks at each stage</w:t>
      </w:r>
      <w:r>
        <w:t xml:space="preserve">”</w:t>
      </w:r>
      <w:r>
        <w:t xml:space="preserve"> </w:t>
      </w:r>
      <w:r>
        <w:t xml:space="preserve">with no fixed dollar figure, since the friends &amp; family amount isn’t finalized — update this slide the moment that number is set.</w:t>
      </w:r>
    </w:p>
    <w:p>
      <w:pPr>
        <w:pStyle w:val="FirstParagraph"/>
      </w:pPr>
      <w:r>
        <w:t xml:space="preserve">Everything else in this structure is already grounded in the PRD/SRS/competitive research done in this project.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2026-07-20T23:47:54Z</dcterms:created>
  <dcterms:modified xsi:type="dcterms:W3CDTF">2026-07-20T23:47:54Z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