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d5263ad732376e0197de3579ba8de2b6d00c25"/>
      <w:r>
        <w:t xml:space="preserve">Development Plan — Phase 0 Complete, Moving to Build</w:t>
      </w:r>
      <w:bookmarkEnd w:id="20"/>
    </w:p>
    <w:p>
      <w:pPr>
        <w:pStyle w:val="FirstParagraph"/>
      </w:pPr>
      <w:r>
        <w:rPr>
          <w:b/>
        </w:rPr>
        <w:t xml:space="preserve">Companion to:</w:t>
      </w:r>
      <w:r>
        <w:t xml:space="preserve"> </w:t>
      </w:r>
      <w:r>
        <w:t xml:space="preserve">every document already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this is where planning turns into build order. Phases here are</w:t>
      </w:r>
      <w:r>
        <w:t xml:space="preserve"> </w:t>
      </w:r>
      <w:r>
        <w:rPr>
          <w:b/>
        </w:rPr>
        <w:t xml:space="preserve">engineering phases</w:t>
      </w:r>
      <w:r>
        <w:t xml:space="preserve">, distinct from the product roadmap phases in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§7 (MVP1/Phase 2/Phase 3) — a single product phase (say, MVP1) is built across several engineering phases below.</w:t>
      </w:r>
    </w:p>
    <w:p>
      <w:pPr>
        <w:pStyle w:val="BodyText"/>
      </w:pPr>
      <w:r>
        <w:rPr>
          <w:b/>
        </w:rPr>
        <w:t xml:space="preserve">Sequencing rule, as instructed:</w:t>
      </w:r>
      <w:r>
        <w:t xml:space="preserve"> </w:t>
      </w:r>
      <w:r>
        <w:t xml:space="preserve">finish each phase before starting the next, unless a later phase genuinely can’t wait (called out explicitly where that’s the case) — in which case we skip ahead deliberately and come back, not drift there by accident.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hase-0-done"/>
      <w:r>
        <w:t xml:space="preserve">Phase 0 — Done</w:t>
      </w:r>
      <w:bookmarkEnd w:id="21"/>
    </w:p>
    <w:p>
      <w:pPr>
        <w:pStyle w:val="FirstParagraph"/>
      </w:pPr>
      <w:r>
        <w:t xml:space="preserve">PRD, SRS, competitive analysis, Meta connect-flow research, design prompts (product + four deck variants), landing-page waitlist prompt, Terms of Service/Privacy Policy drafts. Everything lives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Heading2"/>
      </w:pPr>
      <w:bookmarkStart w:id="22" w:name="X6e044174bcbaf1acd7a4e2f8c062995a699dd21"/>
      <w:r>
        <w:t xml:space="preserve">Working Conventions (apply from Phase 1 onward, every phase)</w:t>
      </w:r>
      <w:bookmarkEnd w:id="22"/>
    </w:p>
    <w:p>
      <w:pPr>
        <w:pStyle w:val="FirstParagraph"/>
      </w:pPr>
      <w:r>
        <w:t xml:space="preserve">These aren’t a phase — they’re standing rules for how code gets written throughout: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component per file.</w:t>
      </w:r>
      <w:r>
        <w:t xml:space="preserve"> </w:t>
      </w:r>
      <w:r>
        <w:t xml:space="preserve">No jam-packed pages. A Jaspr screen that has a header, a form, and a list is three components in three files, composed in a fourth — not one 400-line build method. Same discipline server-side: one endpoint’s business logic doesn’t balloon into a single file just because it’s convenient in the moment.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Comment in detail.</w:t>
      </w:r>
      <w:r>
        <w:t xml:space="preserve"> </w:t>
      </w:r>
      <w:r>
        <w:t xml:space="preserve">Not restating what the code obviously does, but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— the same way</w:t>
      </w:r>
      <w:r>
        <w:t xml:space="preserve"> </w:t>
      </w:r>
      <w:r>
        <w:rPr>
          <w:rStyle w:val="VerbatimChar"/>
        </w:rPr>
        <w:t xml:space="preserve">degenbot_server</w:t>
      </w:r>
      <w:r>
        <w:t xml:space="preserve">’s existing code explains rationale inline (e.g. the pubspec’s package-selection-rationale block, or</w:t>
      </w:r>
      <w:r>
        <w:t xml:space="preserve"> </w:t>
      </w:r>
      <w:r>
        <w:rPr>
          <w:rStyle w:val="VerbatimChar"/>
        </w:rPr>
        <w:t xml:space="preserve">REFACTOR_NOTES.md</w:t>
      </w:r>
      <w:r>
        <w:t xml:space="preserve">’s explanation of the trader-rule-engine reasoning). Every service, repository, and non-obvious function gets a doc comment explaining its purpose and any constraint it’s working around.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Deploy via</w:t>
      </w:r>
      <w:r>
        <w:rPr>
          <w:b/>
        </w:rPr>
        <w:t xml:space="preserve"> </w:t>
      </w:r>
      <w:r>
        <w:rPr>
          <w:rStyle w:val="VerbatimChar"/>
          <w:b/>
        </w:rPr>
        <w:t xml:space="preserve">.sh</w:t>
      </w:r>
      <w:r>
        <w:rPr>
          <w:b/>
        </w:rPr>
        <w:t xml:space="preserve"> </w:t>
      </w:r>
      <w:r>
        <w:rPr>
          <w:b/>
        </w:rPr>
        <w:t xml:space="preserve">scripts</w:t>
      </w:r>
      <w:r>
        <w:t xml:space="preserve">, following the pattern already proven in</w:t>
      </w:r>
      <w:r>
        <w:t xml:space="preserve"> </w:t>
      </w:r>
      <w:r>
        <w:rPr>
          <w:rStyle w:val="VerbatimChar"/>
        </w:rPr>
        <w:t xml:space="preserve">degenbot_web/build.sh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: env-var-driven (never hardcoded secrets in the script itself), a validation block that fails loudly with instructions if a required var is missing, clear emoji-flagged progress output, and a</w:t>
      </w:r>
      <w:r>
        <w:t xml:space="preserve"> </w:t>
      </w:r>
      <w:r>
        <w:t xml:space="preserve">“</w:t>
      </w:r>
      <w:r>
        <w:t xml:space="preserve">next steps</w:t>
      </w:r>
      <w:r>
        <w:t xml:space="preserve">”</w:t>
      </w:r>
      <w:r>
        <w:t xml:space="preserve"> </w:t>
      </w:r>
      <w:r>
        <w:t xml:space="preserve">summary printed at the end. Every deployable unit (server, web dashboard, docs site) gets its own script following this shape.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Reuse before rebuilding.</w:t>
      </w:r>
      <w:r>
        <w:t xml:space="preserve"> </w:t>
      </w:r>
      <w:r>
        <w:t xml:space="preserve">Before writing a service from scratch, check whether Asami or Degenbot already solved it (</w:t>
      </w:r>
      <w:r>
        <w:rPr>
          <w:rStyle w:val="VerbatimChar"/>
        </w:rPr>
        <w:t xml:space="preserve">SRS.md</w:t>
      </w:r>
      <w:r>
        <w:t xml:space="preserve">’s tech-stack table cites the specific files to reuse — DTO/repository pattern,</w:t>
      </w:r>
      <w:r>
        <w:t xml:space="preserve"> </w:t>
      </w:r>
      <w:r>
        <w:rPr>
          <w:rStyle w:val="VerbatimChar"/>
        </w:rPr>
        <w:t xml:space="preserve">IMessagingService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imagekit_service.dart</w:t>
      </w:r>
      <w:r>
        <w:t xml:space="preserve">, payment services, wallet encryption) and whether a vetted</w:t>
      </w:r>
      <w:r>
        <w:t xml:space="preserve"> </w:t>
      </w:r>
      <w:r>
        <w:rPr>
          <w:rStyle w:val="VerbatimChar"/>
        </w:rPr>
        <w:t xml:space="preserve">pub.dev</w:t>
      </w:r>
      <w:r>
        <w:t xml:space="preserve"> </w:t>
      </w:r>
      <w:r>
        <w:t xml:space="preserve">package exists before either.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hase-1-server-foundation"/>
      <w:r>
        <w:t xml:space="preserve">Phase 1 — Server Foundation</w:t>
      </w:r>
      <w:bookmarkEnd w:id="23"/>
    </w:p>
    <w:p>
      <w:pPr>
        <w:pStyle w:val="FirstParagraph"/>
      </w:pPr>
      <w:r>
        <w:rPr>
          <w:b/>
        </w:rPr>
        <w:t xml:space="preserve">Done when:</w:t>
      </w:r>
      <w:r>
        <w:t xml:space="preserve"> </w:t>
      </w:r>
      <w:r>
        <w:t xml:space="preserve">a running</w:t>
      </w:r>
      <w:r>
        <w:t xml:space="preserve"> </w:t>
      </w:r>
      <w:r>
        <w:rPr>
          <w:rStyle w:val="VerbatimChar"/>
        </w:rPr>
        <w:t xml:space="preserve">botigo_server</w:t>
      </w:r>
      <w:r>
        <w:t xml:space="preserve"> </w:t>
      </w:r>
      <w:r>
        <w:t xml:space="preserve">(or renamed once branding is final) has workspace-scoped auth, the Serverpod-model + Supabase-DTO-repository pattern wired end to end for at least one real model, and passes its own tests locally.</w:t>
      </w:r>
    </w:p>
    <w:p>
      <w:pPr>
        <w:pStyle w:val="Heading3"/>
      </w:pPr>
      <w:bookmarkStart w:id="24" w:name="a.-repobranding-cleanup"/>
      <w:r>
        <w:t xml:space="preserve">1a. Repo/branding cleanup</w:t>
      </w:r>
      <w:bookmarkEnd w:id="24"/>
    </w:p>
    <w:p>
      <w:pPr>
        <w:pStyle w:val="FirstParagraph"/>
      </w:pPr>
      <w:r>
        <w:rPr>
          <w:b/>
        </w:rPr>
        <w:t xml:space="preserve">Kola is confirmed</w:t>
      </w:r>
      <w:r>
        <w:t xml:space="preserve"> </w:t>
      </w:r>
      <w:r>
        <w:t xml:space="preserve">— rename the project/folder from</w:t>
      </w:r>
      <w:r>
        <w:t xml:space="preserve"> </w:t>
      </w:r>
      <w:r>
        <w:rPr>
          <w:rStyle w:val="VerbatimChar"/>
        </w:rPr>
        <w:t xml:space="preserve">botigo</w:t>
      </w:r>
      <w:r>
        <w:t xml:space="preserve"> </w:t>
      </w:r>
      <w:r>
        <w:t xml:space="preserve">accordingly. No longer blocked.</w:t>
      </w:r>
    </w:p>
    <w:p>
      <w:pPr>
        <w:pStyle w:val="Heading3"/>
      </w:pPr>
      <w:bookmarkStart w:id="25" w:name="b.-persistence-pattern"/>
      <w:r>
        <w:t xml:space="preserve">1b. Persistence pattern</w:t>
      </w:r>
      <w:bookmarkEnd w:id="25"/>
    </w:p>
    <w:p>
      <w:pPr>
        <w:pStyle w:val="FirstParagraph"/>
      </w:pPr>
      <w:r>
        <w:t xml:space="preserve">Port the Degenbot pattern into the server:</w:t>
      </w:r>
      <w:r>
        <w:t xml:space="preserve"> </w:t>
      </w:r>
      <w:r>
        <w:rPr>
          <w:rStyle w:val="VerbatimChar"/>
        </w:rPr>
        <w:t xml:space="preserve">BaseDto&lt;T&gt;</w:t>
      </w:r>
      <w:r>
        <w:t xml:space="preserve">, a repository per domain model, Supabase client wrapper,</w:t>
      </w:r>
      <w:r>
        <w:t xml:space="preserve"> </w:t>
      </w:r>
      <w:r>
        <w:rPr>
          <w:rStyle w:val="VerbatimChar"/>
        </w:rPr>
        <w:t xml:space="preserve">get_it</w:t>
      </w:r>
      <w:r>
        <w:t xml:space="preserve"> </w:t>
      </w:r>
      <w:r>
        <w:t xml:space="preserve">DI wiring,</w:t>
      </w:r>
      <w:r>
        <w:t xml:space="preserve"> </w:t>
      </w:r>
      <w:r>
        <w:rPr>
          <w:rStyle w:val="VerbatimChar"/>
        </w:rPr>
        <w:t xml:space="preserve">envied</w:t>
      </w:r>
      <w:r>
        <w:t xml:space="preserve">-based env config. Confirmed in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§2 — this is the highest-priority foundational decision, everything else depends on it being right before more models pile on top.</w:t>
      </w:r>
    </w:p>
    <w:p>
      <w:pPr>
        <w:pStyle w:val="Heading3"/>
      </w:pPr>
      <w:bookmarkStart w:id="26" w:name="c.-core-domain-models"/>
      <w:r>
        <w:t xml:space="preserve">1c. Core domain models</w:t>
      </w:r>
      <w:bookmarkEnd w:id="26"/>
    </w:p>
    <w:p>
      <w:pPr>
        <w:pStyle w:val="FirstParagraph"/>
      </w:pPr>
      <w:r>
        <w:rPr>
          <w:rStyle w:val="VerbatimChar"/>
        </w:rPr>
        <w:t xml:space="preserve">Workspace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— the four models nothing else can be built without. Each gets its</w:t>
      </w:r>
      <w:r>
        <w:t xml:space="preserve"> </w:t>
      </w:r>
      <w:r>
        <w:rPr>
          <w:rStyle w:val="VerbatimChar"/>
        </w:rPr>
        <w:t xml:space="preserve">.spy.yaml</w:t>
      </w:r>
      <w:r>
        <w:t xml:space="preserve">, DTO, and repository per the pattern above.</w:t>
      </w:r>
    </w:p>
    <w:p>
      <w:pPr>
        <w:pStyle w:val="Heading3"/>
      </w:pPr>
      <w:bookmarkStart w:id="27" w:name="d.-auth-multi-tenancy"/>
      <w:r>
        <w:t xml:space="preserve">1d. Auth &amp; multi-tenancy</w:t>
      </w:r>
      <w:bookmarkEnd w:id="27"/>
    </w:p>
    <w:p>
      <w:pPr>
        <w:pStyle w:val="FirstParagraph"/>
      </w:pPr>
      <w:r>
        <w:t xml:space="preserve">Session auth for the dashboard, workspace-scoped row isolation enforced at the repository layer (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§5) from the very first query written, not retrofitted later.</w:t>
      </w:r>
    </w:p>
    <w:p>
      <w:pPr>
        <w:pStyle w:val="Heading3"/>
      </w:pPr>
      <w:bookmarkStart w:id="28" w:name="X1aea2e6fe07d36e07cb49a8c41627b5d13412e3"/>
      <w:r>
        <w:t xml:space="preserve">1e. Landing page (moved up from Phase 6 — not hard to build, design is finished)</w:t>
      </w:r>
      <w:bookmarkEnd w:id="28"/>
    </w:p>
    <w:p>
      <w:pPr>
        <w:pStyle w:val="FirstParagraph"/>
      </w:pPr>
      <w:r>
        <w:t xml:space="preserve">Build the marketing landing page from the finished</w:t>
      </w:r>
      <w:r>
        <w:t xml:space="preserve"> </w:t>
      </w:r>
      <w:r>
        <w:rPr>
          <w:rStyle w:val="VerbatimChar"/>
        </w:rPr>
        <w:t xml:space="preserve">Kola Landing.dc.html</w:t>
      </w:r>
      <w:r>
        <w:t xml:space="preserve"> </w:t>
      </w:r>
      <w:r>
        <w:t xml:space="preserve">export in</w:t>
      </w:r>
      <w:r>
        <w:t xml:space="preserve"> </w:t>
      </w:r>
      <w:r>
        <w:rPr>
          <w:rStyle w:val="VerbatimChar"/>
        </w:rPr>
        <w:t xml:space="preserve">Kola design system specs/</w:t>
      </w:r>
      <w:r>
        <w:t xml:space="preserve"> </w:t>
      </w:r>
      <w:r>
        <w:t xml:space="preserve">— real design tokens already confirmed (bg</w:t>
      </w:r>
      <w:r>
        <w:t xml:space="preserve"> </w:t>
      </w:r>
      <w:r>
        <w:rPr>
          <w:rStyle w:val="VerbatimChar"/>
        </w:rPr>
        <w:t xml:space="preserve">#FAF6EF</w:t>
      </w:r>
      <w:r>
        <w:t xml:space="preserve">, accent</w:t>
      </w:r>
      <w:r>
        <w:t xml:space="preserve"> </w:t>
      </w:r>
      <w:r>
        <w:rPr>
          <w:rStyle w:val="VerbatimChar"/>
        </w:rPr>
        <w:t xml:space="preserve">#C1552E</w:t>
      </w:r>
      <w:r>
        <w:t xml:space="preserve">, text</w:t>
      </w:r>
      <w:r>
        <w:t xml:space="preserve"> </w:t>
      </w:r>
      <w:r>
        <w:rPr>
          <w:rStyle w:val="VerbatimChar"/>
        </w:rPr>
        <w:t xml:space="preserve">#1C1815</w:t>
      </w:r>
      <w:r>
        <w:t xml:space="preserve">, Newsreader + Instrument Sans, waitlist/launched-mode toggle, dismissible banner, sticky blurred header, custom kola-drop SVG logo). Built as its own Jaspr client-mode app (per the</w:t>
      </w:r>
      <w:r>
        <w:t xml:space="preserve"> </w:t>
      </w:r>
      <w:r>
        <w:rPr>
          <w:rStyle w:val="VerbatimChar"/>
        </w:rPr>
        <w:t xml:space="preserve">kopicat_landing</w:t>
      </w:r>
      <w:r>
        <w:t xml:space="preserve"> </w:t>
      </w:r>
      <w:r>
        <w:t xml:space="preserve">reference pattern — see Phase 4a note on Jaspr mode), one component per file, wired to the waitlist-capture addition from</w:t>
      </w:r>
      <w:r>
        <w:t xml:space="preserve"> </w:t>
      </w:r>
      <w:r>
        <w:rPr>
          <w:rStyle w:val="VerbatimChar"/>
        </w:rPr>
        <w:t xml:space="preserve">LANDING_PAGE_WAITLIST_PROMPT.md</w:t>
      </w:r>
      <w:r>
        <w:t xml:space="preserve">. This can genuinely run in parallel with 1b–1d since it has no dependency on the server persistence work — it’s a static/compiled-JS surface with, at most, a lightweight waitlist-submission endpoint. Ships here specifically because the design is done and the build is small, not because it’s a hard MVP1 dependency — pulling it forward de-risks having zero real traction data by the time the pitch decks (</w:t>
      </w:r>
      <w:r>
        <w:rPr>
          <w:rStyle w:val="VerbatimChar"/>
        </w:rPr>
        <w:t xml:space="preserve">DECK_DESIGN_PROMPT.md</w:t>
      </w:r>
      <w:r>
        <w:t xml:space="preserve"> </w:t>
      </w:r>
      <w:r>
        <w:t xml:space="preserve">Slide 12) get used.</w:t>
      </w:r>
    </w:p>
    <w:p>
      <w:pPr>
        <w:pStyle w:val="Heading2"/>
      </w:pPr>
      <w:bookmarkStart w:id="29" w:name="phase-2-messaging-channels"/>
      <w:r>
        <w:t xml:space="preserve">Phase 2 — Messaging Channels</w:t>
      </w:r>
      <w:bookmarkEnd w:id="29"/>
    </w:p>
    <w:p>
      <w:pPr>
        <w:pStyle w:val="FirstParagraph"/>
      </w:pPr>
      <w:r>
        <w:rPr>
          <w:b/>
        </w:rPr>
        <w:t xml:space="preserve">Done when:</w:t>
      </w:r>
      <w:r>
        <w:t xml:space="preserve"> </w:t>
      </w:r>
      <w:r>
        <w:t xml:space="preserve">a message sent to a real Telegram bot gets a real reply from a hardcoded/simple response, end to end through the new server.</w:t>
      </w:r>
    </w:p>
    <w:p>
      <w:pPr>
        <w:pStyle w:val="Heading3"/>
      </w:pPr>
      <w:bookmarkStart w:id="30" w:name="a.-telegram-adapter"/>
      <w:r>
        <w:t xml:space="preserve">2a. Telegram adapter</w:t>
      </w:r>
      <w:bookmarkEnd w:id="30"/>
    </w:p>
    <w:p>
      <w:pPr>
        <w:pStyle w:val="FirstParagraph"/>
      </w:pPr>
      <w:r>
        <w:t xml:space="preserve">Televerse-based</w:t>
      </w:r>
      <w:r>
        <w:t xml:space="preserve"> </w:t>
      </w:r>
      <w:r>
        <w:rPr>
          <w:rStyle w:val="VerbatimChar"/>
        </w:rPr>
        <w:t xml:space="preserve">IMessagingService</w:t>
      </w:r>
      <w:r>
        <w:t xml:space="preserve"> </w:t>
      </w:r>
      <w:r>
        <w:t xml:space="preserve">implementation — this ships first because it’s genuinely free and has no external approval dependency (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§3a). Reuse the interface shape already proven in Degenbot/Asami.</w:t>
      </w:r>
    </w:p>
    <w:p>
      <w:pPr>
        <w:pStyle w:val="Heading3"/>
      </w:pPr>
      <w:bookmarkStart w:id="31" w:name="b.-whatsapp-adapter-embedded-signup"/>
      <w:r>
        <w:t xml:space="preserve">2b. WhatsApp adapter + Embedded Signup</w:t>
      </w:r>
      <w:bookmarkEnd w:id="31"/>
    </w:p>
    <w:p>
      <w:pPr>
        <w:pStyle w:val="FirstParagraph"/>
      </w:pPr>
      <w:r>
        <w:t xml:space="preserve">The in-app</w:t>
      </w:r>
      <w:r>
        <w:t xml:space="preserve"> </w:t>
      </w:r>
      <w:r>
        <w:t xml:space="preserve">“</w:t>
      </w:r>
      <w:r>
        <w:t xml:space="preserve">Connect via Meta</w:t>
      </w:r>
      <w:r>
        <w:t xml:space="preserve">”</w:t>
      </w:r>
      <w:r>
        <w:t xml:space="preserve"> </w:t>
      </w:r>
      <w:r>
        <w:t xml:space="preserve">flow (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§2), bring-your-own-number only, with the mandatory upfront disclosure screen (§3a). This has an external dependency outside our control — Meta App Review — so</w:t>
      </w:r>
      <w:r>
        <w:t xml:space="preserve"> </w:t>
      </w:r>
      <w:r>
        <w:rPr>
          <w:b/>
        </w:rPr>
        <w:t xml:space="preserve">start the Meta Tech Provider registration and App Review submission in parallel with Phase 1</w:t>
      </w:r>
      <w:r>
        <w:t xml:space="preserve">, not after Phase 2 begins, since its timeline doesn’t follow our sprint schedule.</w:t>
      </w:r>
    </w:p>
    <w:p>
      <w:pPr>
        <w:pStyle w:val="Heading2"/>
      </w:pPr>
      <w:bookmarkStart w:id="32" w:name="phase-3-errand-engine-ai-orchestration"/>
      <w:r>
        <w:t xml:space="preserve">Phase 3 — Errand Engine &amp; AI Orchestration</w:t>
      </w:r>
      <w:bookmarkEnd w:id="32"/>
    </w:p>
    <w:p>
      <w:pPr>
        <w:pStyle w:val="FirstParagraph"/>
      </w:pPr>
      <w:r>
        <w:rPr>
          <w:b/>
        </w:rPr>
        <w:t xml:space="preserve">Done when:</w:t>
      </w:r>
      <w:r>
        <w:t xml:space="preserve"> </w:t>
      </w:r>
      <w:r>
        <w:t xml:space="preserve">a bot can answer a question grounded in a manually-seeded piece of knowledge, and separately execute one built-in Errand, both through the multi-provider AI orchestrator.</w:t>
      </w:r>
    </w:p>
    <w:p>
      <w:pPr>
        <w:pStyle w:val="Heading3"/>
      </w:pPr>
      <w:bookmarkStart w:id="33" w:name="a.-multi-provider-ai-orchestrator"/>
      <w:r>
        <w:t xml:space="preserve">3a. Multi-provider AI orchestrator</w:t>
      </w:r>
      <w:bookmarkEnd w:id="33"/>
    </w:p>
    <w:p>
      <w:pPr>
        <w:pStyle w:val="FirstParagraph"/>
      </w:pPr>
      <w:r>
        <w:t xml:space="preserve">Provider-agnostic interface (per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§10), starting with one real provider wired in, others stubbed behind the same interface so switching is proven possible early, not assumed.</w:t>
      </w:r>
    </w:p>
    <w:p>
      <w:pPr>
        <w:pStyle w:val="Heading3"/>
      </w:pPr>
      <w:bookmarkStart w:id="34" w:name="Xcfcb0aceac6cc4f4b2fbde9de80779e0e12ea82"/>
      <w:r>
        <w:t xml:space="preserve">3b. Errand data model + built-in fulfillment</w:t>
      </w:r>
      <w:bookmarkEnd w:id="34"/>
    </w:p>
    <w:p>
      <w:pPr>
        <w:pStyle w:val="FirstParagraph"/>
      </w:pPr>
      <w:r>
        <w:rPr>
          <w:rStyle w:val="VerbatimChar"/>
        </w:rPr>
        <w:t xml:space="preserve">Errand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ErrandCredential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ErrandExecutionLog</w:t>
      </w:r>
      <w:r>
        <w:t xml:space="preserve"> </w:t>
      </w:r>
      <w:r>
        <w:t xml:space="preserve">models; built-in Errand type working first (no external call), before webhook/DB-credential types (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§7.2).</w:t>
      </w:r>
    </w:p>
    <w:p>
      <w:pPr>
        <w:pStyle w:val="Heading3"/>
      </w:pPr>
      <w:bookmarkStart w:id="35" w:name="X25a1dd5524a35a3c7cd3444dc17f973c1fdc380"/>
      <w:r>
        <w:t xml:space="preserve">3c. Webhook and database-credential Errand types</w:t>
      </w:r>
      <w:bookmarkEnd w:id="35"/>
    </w:p>
    <w:p>
      <w:pPr>
        <w:pStyle w:val="FirstParagraph"/>
      </w:pPr>
      <w:r>
        <w:t xml:space="preserve">Webhook-backed Errands, then read-only database-credential Errands with the query-template-not-open-SQL constraint (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§7.2) — deliberately in that order, webhook is the lower-trust, simpler case.</w:t>
      </w:r>
    </w:p>
    <w:p>
      <w:pPr>
        <w:pStyle w:val="Heading3"/>
      </w:pPr>
      <w:bookmarkStart w:id="36" w:name="d.-security-filter-pass"/>
      <w:r>
        <w:t xml:space="preserve">3d. Security filter pass</w:t>
      </w:r>
      <w:bookmarkEnd w:id="36"/>
    </w:p>
    <w:p>
      <w:pPr>
        <w:pStyle w:val="FirstParagraph"/>
      </w:pPr>
      <w:r>
        <w:t xml:space="preserve">The pre-execution safety check on any Errand call or outbound message touching money/personal data (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§10) — built now, even in a minimal form, since it’s the seam the Phase 3-of-the-</w:t>
      </w:r>
      <w:r>
        <w:rPr>
          <w:i/>
        </w:rPr>
        <w:t xml:space="preserve">product</w:t>
      </w:r>
      <w:r>
        <w:t xml:space="preserve">-roadmap fraud engine plugs into later. Retrofitting a security seam after the fact is much harder than building the hook now and filling it in later.</w:t>
      </w:r>
    </w:p>
    <w:p>
      <w:pPr>
        <w:pStyle w:val="Heading2"/>
      </w:pPr>
      <w:bookmarkStart w:id="37" w:name="phase-4-dashboard-jaspr-relic"/>
      <w:r>
        <w:t xml:space="preserve">Phase 4 — Dashboard (Jaspr + Relic)</w:t>
      </w:r>
      <w:bookmarkEnd w:id="37"/>
    </w:p>
    <w:p>
      <w:pPr>
        <w:pStyle w:val="FirstParagraph"/>
      </w:pPr>
      <w:r>
        <w:rPr>
          <w:b/>
        </w:rPr>
        <w:t xml:space="preserve">Unblocked:</w:t>
      </w:r>
      <w:r>
        <w:t xml:space="preserve"> </w:t>
      </w:r>
      <w:r>
        <w:t xml:space="preserve">the Kola design system specs (12</w:t>
      </w:r>
      <w:r>
        <w:t xml:space="preserve"> </w:t>
      </w:r>
      <w:r>
        <w:rPr>
          <w:rStyle w:val="VerbatimChar"/>
        </w:rPr>
        <w:t xml:space="preserve">.dc.html</w:t>
      </w:r>
      <w:r>
        <w:t xml:space="preserve"> </w:t>
      </w:r>
      <w:r>
        <w:t xml:space="preserve">page exports) and a confirmed real Jaspr+Relic reference pattern (</w:t>
      </w:r>
      <w:r>
        <w:rPr>
          <w:rStyle w:val="VerbatimChar"/>
        </w:rPr>
        <w:t xml:space="preserve">copycat</w:t>
      </w:r>
      <w:r>
        <w:t xml:space="preserve">/</w:t>
      </w:r>
      <w:r>
        <w:rPr>
          <w:rStyle w:val="VerbatimChar"/>
        </w:rPr>
        <w:t xml:space="preserve">kopicat</w:t>
      </w:r>
      <w:r>
        <w:t xml:space="preserve">) are both in hand. More Jaspr reference project links may still arrive and should be reviewed as they do, but there’s now enough to start.</w:t>
      </w:r>
    </w:p>
    <w:p>
      <w:pPr>
        <w:pStyle w:val="Heading3"/>
      </w:pPr>
      <w:bookmarkStart w:id="38" w:name="a.-confirmed-jaspr-relic-pattern"/>
      <w:r>
        <w:t xml:space="preserve">4a. Confirmed Jaspr + Relic pattern</w:t>
      </w:r>
      <w:bookmarkEnd w:id="38"/>
    </w:p>
    <w:p>
      <w:pPr>
        <w:pStyle w:val="FirstParagraph"/>
      </w:pPr>
      <w:r>
        <w:t xml:space="preserve">Every real precedent examined so far —</w:t>
      </w:r>
      <w:r>
        <w:t xml:space="preserve"> </w:t>
      </w:r>
      <w:r>
        <w:rPr>
          <w:rStyle w:val="VerbatimChar"/>
        </w:rPr>
        <w:t xml:space="preserve">degenbot_web</w:t>
      </w:r>
      <w:r>
        <w:t xml:space="preserve">,</w:t>
      </w:r>
      <w:r>
        <w:t xml:space="preserve"> </w:t>
      </w:r>
      <w:r>
        <w:rPr>
          <w:rStyle w:val="VerbatimChar"/>
        </w:rPr>
        <w:t xml:space="preserve">kopicat</w:t>
      </w:r>
      <w:r>
        <w:t xml:space="preserve"> </w:t>
      </w:r>
      <w:r>
        <w:t xml:space="preserve">(root),</w:t>
      </w:r>
      <w:r>
        <w:t xml:space="preserve"> </w:t>
      </w:r>
      <w:r>
        <w:rPr>
          <w:rStyle w:val="VerbatimChar"/>
        </w:rPr>
        <w:t xml:space="preserve">kopicat_landing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  <w:b/>
        </w:rPr>
        <w:t xml:space="preserve">jaspr: mode: client</w:t>
      </w:r>
      <w:r>
        <w:t xml:space="preserve"> </w:t>
      </w:r>
      <w:r>
        <w:t xml:space="preserve">(static/compiled-JS), not server-rendered Jaspr. Relic shows up specifically on the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side in</w:t>
      </w:r>
      <w:r>
        <w:t xml:space="preserve"> </w:t>
      </w:r>
      <w:r>
        <w:rPr>
          <w:rStyle w:val="VerbatimChar"/>
        </w:rPr>
        <w:t xml:space="preserve">kopicat_server</w:t>
      </w:r>
      <w:r>
        <w:t xml:space="preserve">: a standalone</w:t>
      </w:r>
      <w:r>
        <w:t xml:space="preserve"> </w:t>
      </w:r>
      <w:r>
        <w:rPr>
          <w:rStyle w:val="VerbatimChar"/>
        </w:rPr>
        <w:t xml:space="preserve">RelicApp()</w:t>
      </w:r>
      <w:r>
        <w:t xml:space="preserve"> </w:t>
      </w:r>
      <w:r>
        <w:t xml:space="preserve">with chained</w:t>
      </w:r>
      <w:r>
        <w:t xml:space="preserve"> </w:t>
      </w:r>
      <w:r>
        <w:rPr>
          <w:rStyle w:val="VerbatimChar"/>
        </w:rPr>
        <w:t xml:space="preserve">.get</w:t>
      </w:r>
      <w:r>
        <w:t xml:space="preserve">/</w:t>
      </w:r>
      <w:r>
        <w:rPr>
          <w:rStyle w:val="VerbatimChar"/>
        </w:rPr>
        <w:t xml:space="preserve">.post</w:t>
      </w:r>
      <w:r>
        <w:t xml:space="preserve"> </w:t>
      </w:r>
      <w:r>
        <w:t xml:space="preserve">route registration and a</w:t>
      </w:r>
      <w:r>
        <w:t xml:space="preserve"> </w:t>
      </w:r>
      <w:r>
        <w:rPr>
          <w:rStyle w:val="VerbatimChar"/>
        </w:rPr>
        <w:t xml:space="preserve">.fallback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Handler get xHandler =&gt; (Request req) async {...}</w:t>
      </w:r>
      <w:r>
        <w:t xml:space="preserve"> </w:t>
      </w:r>
      <w:r>
        <w:t xml:space="preserve">per file under</w:t>
      </w:r>
      <w:r>
        <w:t xml:space="preserve"> </w:t>
      </w:r>
      <w:r>
        <w:rPr>
          <w:rStyle w:val="VerbatimChar"/>
        </w:rPr>
        <w:t xml:space="preserve">lib/routes/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Response.badRequest</w:t>
      </w:r>
      <w:r>
        <w:t xml:space="preserve">/</w:t>
      </w:r>
      <w:r>
        <w:rPr>
          <w:rStyle w:val="VerbatimChar"/>
        </w:rPr>
        <w:t xml:space="preserve">.internalServerError</w:t>
      </w:r>
      <w:r>
        <w:t xml:space="preserve"> </w:t>
      </w:r>
      <w:r>
        <w:t xml:space="preserve">for error paths,</w:t>
      </w:r>
      <w:r>
        <w:t xml:space="preserve"> </w:t>
      </w:r>
      <w:r>
        <w:rPr>
          <w:rStyle w:val="VerbatimChar"/>
        </w:rPr>
        <w:t xml:space="preserve">Body.fromString(jsonEncode(...), mimeType: MimeType.json)</w:t>
      </w:r>
      <w:r>
        <w:t xml:space="preserve"> </w:t>
      </w:r>
      <w:r>
        <w:t xml:space="preserve">for JSON responses. Applied to Kola:</w:t>
      </w:r>
      <w:r>
        <w:t xml:space="preserve"> </w:t>
      </w:r>
      <w:r>
        <w:rPr>
          <w:b/>
        </w:rPr>
        <w:t xml:space="preserve">the dashboard is a</w:t>
      </w:r>
      <w:r>
        <w:rPr>
          <w:b/>
        </w:rPr>
        <w:t xml:space="preserve"> </w:t>
      </w:r>
      <w:r>
        <w:rPr>
          <w:rStyle w:val="VerbatimChar"/>
          <w:b/>
        </w:rPr>
        <w:t xml:space="preserve">jaspr: mode: client</w:t>
      </w:r>
      <w:r>
        <w:rPr>
          <w:b/>
        </w:rPr>
        <w:t xml:space="preserve"> </w:t>
      </w:r>
      <w:r>
        <w:rPr>
          <w:b/>
        </w:rPr>
        <w:t xml:space="preserve">app that calls our own Serverpod-fronted API — with a Relic-based thin API layer only if/where we need a lightweight HTTP surface Serverpod’s generated client doesn’t already cover</w:t>
      </w:r>
      <w:r>
        <w:t xml:space="preserve"> </w:t>
      </w:r>
      <w:r>
        <w:t xml:space="preserve">(e.g. webhook receivers, file upload endpoints). This is a deliberate, confirmed choice, not a guess — but it does leave one open question worth a conscious decision rather than a silent default: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’s original assumption of an SSR-first marketing/dashboard site (for SEO) conflicts with every real precedent being client-mode. Recommendation: client-mode for the dashboard (no SEO need, matches every reference project) and client-mode for the landing/marketing/docs surfaces too unless SEO performance data later says otherwise — flagged in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§3 as a decision made, with the tradeoff stated, not an unresolved gap.</w:t>
      </w:r>
    </w:p>
    <w:p>
      <w:pPr>
        <w:pStyle w:val="Heading3"/>
      </w:pPr>
      <w:bookmarkStart w:id="39" w:name="X9ce85d46cbaef530c090d53d481ba2498b14317"/>
      <w:r>
        <w:t xml:space="preserve">4b. Confirm remaining Relic/Jaspr reference projects as they’re shared</w:t>
      </w:r>
      <w:bookmarkEnd w:id="39"/>
    </w:p>
    <w:p>
      <w:pPr>
        <w:pStyle w:val="FirstParagraph"/>
      </w:pPr>
      <w:r>
        <w:t xml:space="preserve">Read each new linked reference project before writing dashboard code that depends on its pattern — this is exactly the mistake the</w:t>
      </w:r>
      <w:r>
        <w:t xml:space="preserve"> </w:t>
      </w:r>
      <w:r>
        <w:t xml:space="preserve">“</w:t>
      </w:r>
      <w:r>
        <w:t xml:space="preserve">don’t guess at architecture</w:t>
      </w:r>
      <w:r>
        <w:t xml:space="preserve">”</w:t>
      </w:r>
      <w:r>
        <w:t xml:space="preserve"> </w:t>
      </w:r>
      <w:r>
        <w:t xml:space="preserve">principle throughout this project has been avoiding.</w:t>
      </w:r>
    </w:p>
    <w:p>
      <w:pPr>
        <w:pStyle w:val="Heading3"/>
      </w:pPr>
      <w:bookmarkStart w:id="40" w:name="c.-dashboard-shell"/>
      <w:r>
        <w:t xml:space="preserve">4c. Dashboard shell</w:t>
      </w:r>
      <w:bookmarkEnd w:id="40"/>
    </w:p>
    <w:p>
      <w:pPr>
        <w:pStyle w:val="FirstParagraph"/>
      </w:pPr>
      <w:r>
        <w:t xml:space="preserve">Sidebar/bottom-tab-bar shell per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 </w:t>
      </w:r>
      <w:r>
        <w:t xml:space="preserve">and the real</w:t>
      </w:r>
      <w:r>
        <w:t xml:space="preserve"> </w:t>
      </w:r>
      <w:r>
        <w:rPr>
          <w:rStyle w:val="VerbatimChar"/>
        </w:rPr>
        <w:t xml:space="preserve">Kola Dashboard Shell.dc.html</w:t>
      </w:r>
      <w:r>
        <w:t xml:space="preserve"> </w:t>
      </w:r>
      <w:r>
        <w:t xml:space="preserve">export, mobile-first, one component per file per the working conventions above.</w:t>
      </w:r>
    </w:p>
    <w:p>
      <w:pPr>
        <w:pStyle w:val="Heading3"/>
      </w:pPr>
      <w:bookmarkStart w:id="41" w:name="d.-chat-mode-structured-mode"/>
      <w:r>
        <w:t xml:space="preserve">4d. Chat Mode + Structured Mode</w:t>
      </w:r>
      <w:bookmarkEnd w:id="41"/>
    </w:p>
    <w:p>
      <w:pPr>
        <w:pStyle w:val="FirstParagraph"/>
      </w:pPr>
      <w:r>
        <w:t xml:space="preserve">Both surfaces over the same Errand/bot data, per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§11 — built together, since they’re deliberately two views of one thing, not two features.</w:t>
      </w:r>
    </w:p>
    <w:p>
      <w:pPr>
        <w:pStyle w:val="Heading3"/>
      </w:pPr>
      <w:bookmarkStart w:id="42" w:name="X706285bda5d46226beb4fc2ad43f06c5431adb6"/>
      <w:r>
        <w:t xml:space="preserve">4e. Errand builder, Knowledge base page, Conversations inbox, Integrations page</w:t>
      </w:r>
      <w:bookmarkEnd w:id="42"/>
    </w:p>
    <w:p>
      <w:pPr>
        <w:pStyle w:val="FirstParagraph"/>
      </w:pPr>
      <w:r>
        <w:t xml:space="preserve">In roughly that order — Errand builder and Knowledge base are core to a working MVP1 demo; Conversations and Integrations can trail slightly.</w:t>
      </w:r>
    </w:p>
    <w:p>
      <w:pPr>
        <w:pStyle w:val="Heading2"/>
      </w:pPr>
      <w:bookmarkStart w:id="43" w:name="phase-5-billing-trial-metering"/>
      <w:r>
        <w:t xml:space="preserve">Phase 5 — Billing, Trial, Metering</w:t>
      </w:r>
      <w:bookmarkEnd w:id="43"/>
    </w:p>
    <w:p>
      <w:pPr>
        <w:pStyle w:val="FirstParagraph"/>
      </w:pPr>
      <w:r>
        <w:rPr>
          <w:b/>
        </w:rPr>
        <w:t xml:space="preserve">Done when:</w:t>
      </w:r>
      <w:r>
        <w:t xml:space="preserve"> </w:t>
      </w:r>
      <w:r>
        <w:t xml:space="preserve">a new workspace gets 48 hours full access, steps down automatically, and a plan upgrade actually changes its limits.</w:t>
      </w:r>
    </w:p>
    <w:p>
      <w:pPr>
        <w:pStyle w:val="Heading3"/>
      </w:pPr>
      <w:bookmarkStart w:id="44" w:name="a.-usage-metering-model"/>
      <w:r>
        <w:t xml:space="preserve">5a. Usage metering model</w:t>
      </w:r>
      <w:bookmarkEnd w:id="44"/>
    </w:p>
    <w:p>
      <w:pPr>
        <w:pStyle w:val="FirstParagraph"/>
      </w:pPr>
      <w:r>
        <w:rPr>
          <w:rStyle w:val="VerbatimChar"/>
        </w:rPr>
        <w:t xml:space="preserve">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UsageRecord</w:t>
      </w:r>
      <w:r>
        <w:t xml:space="preserve">, the per-MB image metering from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§6a — one metering system, multiple usage classes, not a bespoke system per feature.</w:t>
      </w:r>
    </w:p>
    <w:p>
      <w:pPr>
        <w:pStyle w:val="Heading3"/>
      </w:pPr>
      <w:bookmarkStart w:id="45" w:name="b.-trial-state-machine"/>
      <w:r>
        <w:t xml:space="preserve">5b. Trial state machine</w:t>
      </w:r>
      <w:bookmarkEnd w:id="45"/>
    </w:p>
    <w:p>
      <w:pPr>
        <w:pStyle w:val="FirstParagraph"/>
      </w:pPr>
      <w:r>
        <w:t xml:space="preserve">The two-stage 48-hour/14-day mechanic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§10, as an explicit, testable state machine (not implicit date-math scattered across the codebase).</w:t>
      </w:r>
    </w:p>
    <w:p>
      <w:pPr>
        <w:pStyle w:val="Heading3"/>
      </w:pPr>
      <w:bookmarkStart w:id="46" w:name="X69051aee7508cb51c7baa2367af8b8b28479f25"/>
      <w:r>
        <w:t xml:space="preserve">5c. Paystack/Flutterwave integration (built, not switched on)</w:t>
      </w:r>
      <w:bookmarkEnd w:id="46"/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§6 — the services exist and are tested against sandbox, but no live</w:t>
      </w:r>
      <w:r>
        <w:t xml:space="preserve"> </w:t>
      </w:r>
      <w:r>
        <w:t xml:space="preserve">“</w:t>
      </w:r>
      <w:r>
        <w:t xml:space="preserve">collect payment</w:t>
      </w:r>
      <w:r>
        <w:t xml:space="preserve">”</w:t>
      </w:r>
      <w:r>
        <w:t xml:space="preserve"> </w:t>
      </w:r>
      <w:r>
        <w:t xml:space="preserve">Errand is exposed yet.</w:t>
      </w:r>
    </w:p>
    <w:p>
      <w:pPr>
        <w:pStyle w:val="Heading2"/>
      </w:pPr>
      <w:bookmarkStart w:id="47" w:name="phase-6-docs-site"/>
      <w:r>
        <w:t xml:space="preserve">Phase 6 — Docs Site</w:t>
      </w:r>
      <w:bookmarkEnd w:id="47"/>
    </w:p>
    <w:p>
      <w:pPr>
        <w:pStyle w:val="FirstParagraph"/>
      </w:pPr>
      <w:r>
        <w:rPr>
          <w:b/>
        </w:rPr>
        <w:t xml:space="preserve">Landing page + waitlist moved to Phase 1e</w:t>
      </w:r>
      <w:r>
        <w:t xml:space="preserve"> </w:t>
      </w:r>
      <w:r>
        <w:t xml:space="preserve">— it shipped early because the design was already finished and the build is small; nothing landing-page-related remains in this phase. Can start in parallel with Phase 4, since the docs site is a separate Jaspr surface that doesn’t depend on the dashboard being finished (per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§3).</w:t>
      </w:r>
    </w:p>
    <w:p>
      <w:pPr>
        <w:pStyle w:val="Heading3"/>
      </w:pPr>
      <w:bookmarkStart w:id="48" w:name="a.-developer-docs-site"/>
      <w:r>
        <w:t xml:space="preserve">6a. Developer docs site</w:t>
      </w:r>
      <w:bookmarkEnd w:id="48"/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§12 and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 </w:t>
      </w:r>
      <w:r>
        <w:t xml:space="preserve">§12, including the</w:t>
      </w:r>
      <w:r>
        <w:t xml:space="preserve"> </w:t>
      </w:r>
      <w:r>
        <w:t xml:space="preserve">“</w:t>
      </w:r>
      <w:r>
        <w:t xml:space="preserve">Connect your WhatsApp</w:t>
      </w:r>
      <w:r>
        <w:t xml:space="preserve">”</w:t>
      </w:r>
      <w:r>
        <w:t xml:space="preserve"> </w:t>
      </w:r>
      <w:r>
        <w:t xml:space="preserve">walkthrough page once real screenshots of our own flow exist. Built</w:t>
      </w:r>
      <w:r>
        <w:t xml:space="preserve"> </w:t>
      </w:r>
      <w:r>
        <w:rPr>
          <w:rStyle w:val="VerbatimChar"/>
        </w:rPr>
        <w:t xml:space="preserve">jaspr: mode: client</w:t>
      </w:r>
      <w:r>
        <w:t xml:space="preserve">, matching the confirmed pattern from Phase 4a.</w:t>
      </w:r>
    </w:p>
    <w:p>
      <w:pPr>
        <w:pStyle w:val="Heading2"/>
      </w:pPr>
      <w:bookmarkStart w:id="49" w:name="phase-7-deploy-soft-launch"/>
      <w:r>
        <w:t xml:space="preserve">Phase 7 — Deploy &amp; Soft Launch</w:t>
      </w:r>
      <w:bookmarkEnd w:id="49"/>
    </w:p>
    <w:p>
      <w:pPr>
        <w:pStyle w:val="Heading3"/>
      </w:pPr>
      <w:bookmarkStart w:id="50" w:name="a.-deployment-scripts"/>
      <w:r>
        <w:t xml:space="preserve">7a. Deployment scripts</w:t>
      </w:r>
      <w:bookmarkEnd w:id="50"/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script per deployable surface (server, dashboard, marketing/docs site), following the</w:t>
      </w:r>
      <w:r>
        <w:t xml:space="preserve"> </w:t>
      </w:r>
      <w:r>
        <w:rPr>
          <w:rStyle w:val="VerbatimChar"/>
        </w:rPr>
        <w:t xml:space="preserve">degenbot_web</w:t>
      </w:r>
      <w:r>
        <w:t xml:space="preserve"> </w:t>
      </w:r>
      <w:r>
        <w:t xml:space="preserve">pattern per Working Conventions above.</w:t>
      </w:r>
    </w:p>
    <w:p>
      <w:pPr>
        <w:pStyle w:val="Heading3"/>
      </w:pPr>
      <w:bookmarkStart w:id="51" w:name="X1b8b22feeca57eb78eb25c4d3d5619b1796aedb"/>
      <w:r>
        <w:t xml:space="preserve">7b. Meta Business Verification confirmed live</w:t>
      </w:r>
      <w:bookmarkEnd w:id="51"/>
    </w:p>
    <w:p>
      <w:pPr>
        <w:pStyle w:val="FirstParagraph"/>
      </w:pPr>
      <w:r>
        <w:t xml:space="preserve">Gate check — nothing in Phase 2’s WhatsApp adapter can go live for real users until this clears, independent of code readiness.</w:t>
      </w:r>
    </w:p>
    <w:p>
      <w:pPr>
        <w:pStyle w:val="Heading3"/>
      </w:pPr>
      <w:bookmarkStart w:id="52" w:name="c.-soft-launch-on-telegram-first"/>
      <w:r>
        <w:t xml:space="preserve">7c. Soft launch on Telegram first</w:t>
      </w:r>
      <w:bookmarkEnd w:id="52"/>
    </w:p>
    <w:p>
      <w:pPr>
        <w:pStyle w:val="FirstParagraph"/>
      </w:pPr>
      <w:r>
        <w:t xml:space="preserve">Given Telegram has zero external approval dependency, it’s the natural first channel to go fully live on, even if WhatsApp is still mid-review — matches the</w:t>
      </w:r>
      <w:r>
        <w:t xml:space="preserve"> </w:t>
      </w:r>
      <w:r>
        <w:t xml:space="preserve">“</w:t>
      </w:r>
      <w:r>
        <w:t xml:space="preserve">Telegram as the true zero-cost front door</w:t>
      </w:r>
      <w:r>
        <w:t xml:space="preserve">”</w:t>
      </w:r>
      <w:r>
        <w:t xml:space="preserve"> </w:t>
      </w:r>
      <w:r>
        <w:t xml:space="preserve">positioning already established in</w:t>
      </w:r>
      <w:r>
        <w:t xml:space="preserve"> 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§3a.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27c666c31ec5462ff409c54b41699c3934fda7b"/>
      <w:r>
        <w:t xml:space="preserve">Open Items Before Later Phases Can Proceed</w:t>
      </w:r>
      <w:bookmarkEnd w:id="53"/>
    </w:p>
    <w:p>
      <w:pPr>
        <w:numPr>
          <w:ilvl w:val="0"/>
          <w:numId w:val="1002"/>
        </w:numPr>
        <w:pStyle w:val="Compact"/>
      </w:pPr>
      <w:r>
        <w:rPr>
          <w:b/>
          <w:strike/>
        </w:rPr>
        <w:t xml:space="preserve">Final brand name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Resolved.</w:t>
      </w:r>
      <w:r>
        <w:t xml:space="preserve"> </w:t>
      </w:r>
      <w:r>
        <w:t xml:space="preserve">Kola is confirmed final; Phase 1a’s rename can proceed.</w:t>
      </w:r>
    </w:p>
    <w:p>
      <w:pPr>
        <w:numPr>
          <w:ilvl w:val="0"/>
          <w:numId w:val="1002"/>
        </w:numPr>
        <w:pStyle w:val="Compact"/>
      </w:pPr>
      <w:r>
        <w:rPr>
          <w:b/>
          <w:strike/>
        </w:rPr>
        <w:t xml:space="preserve">Design files folder access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Resolved.</w:t>
      </w:r>
      <w:r>
        <w:t xml:space="preserve"> </w:t>
      </w:r>
      <w:r>
        <w:t xml:space="preserve">The full 12-page Kola design system spec is in hand.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Jaspr reference project links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Substantially resolved.</w:t>
      </w:r>
      <w:r>
        <w:t xml:space="preserve"> </w:t>
      </w:r>
      <w:r>
        <w:rPr>
          <w:rStyle w:val="VerbatimChar"/>
        </w:rPr>
        <w:t xml:space="preserve">copycat</w:t>
      </w:r>
      <w:r>
        <w:t xml:space="preserve">/</w:t>
      </w:r>
      <w:r>
        <w:rPr>
          <w:rStyle w:val="VerbatimChar"/>
        </w:rPr>
        <w:t xml:space="preserve">kopicat</w:t>
      </w:r>
      <w:r>
        <w:t xml:space="preserve"> </w:t>
      </w:r>
      <w:r>
        <w:t xml:space="preserve">confirmed the real Relic-pairing pattern (Phase 4a). Still open: more reference projects may be shared and should be reviewed as they arrive, per Phase 4b.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Meta Tech Provider registration/App Review</w:t>
      </w:r>
      <w:r>
        <w:t xml:space="preserve"> </w:t>
      </w:r>
      <w:r>
        <w:t xml:space="preserve">— external timeline, start now in parallel with Phase 1, don’t wait for Phase 2 to begin it. Still open.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2026-07-21T00:55:23Z</dcterms:created>
  <dcterms:modified xsi:type="dcterms:W3CDTF">2026-07-21T00:55:23Z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