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f11a7727bea33b8281348d31bf1008aaea1fce"/>
      <w:r>
        <w:t xml:space="preserve">Partner Deck Design Prompt — For Agencies, BSPs &amp; Distribution Partners</w:t>
      </w:r>
      <w:bookmarkEnd w:id="20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two related but distinct groups, worth naming which one before building this — (a)</w:t>
      </w:r>
      <w:r>
        <w:t xml:space="preserve"> </w:t>
      </w:r>
      <w:r>
        <w:rPr>
          <w:b/>
        </w:rPr>
        <w:t xml:space="preserve">digital agencies</w:t>
      </w:r>
      <w:r>
        <w:t xml:space="preserve"> </w:t>
      </w:r>
      <w:r>
        <w:t xml:space="preserve">who already manage WhatsApp/social presence for multiple SME clients and could resell or bundle Kola into their service, or (b)</w:t>
      </w:r>
      <w:r>
        <w:t xml:space="preserve"> </w:t>
      </w:r>
      <w:r>
        <w:rPr>
          <w:b/>
        </w:rPr>
        <w:t xml:space="preserve">infrastructure partners</w:t>
      </w:r>
      <w:r>
        <w:t xml:space="preserve"> </w:t>
      </w:r>
      <w:r>
        <w:t xml:space="preserve">(a BSP like 360dialog/Gupshup/Twilio, or a Nigerian numbers/messaging provider like Termii/Sendchamp per</w:t>
      </w:r>
      <w:r>
        <w:t xml:space="preserve"> </w:t>
      </w:r>
      <w:r>
        <w:rPr>
          <w:rStyle w:val="VerbatimChar"/>
        </w:rPr>
        <w:t xml:space="preserve">META_CONNECT_FLOW.md</w:t>
      </w:r>
      <w:r>
        <w:t xml:space="preserve"> </w:t>
      </w:r>
      <w:r>
        <w:t xml:space="preserve">§6) who’d integrate with or provide services to Kola. The structure below is written primarily for</w:t>
      </w:r>
      <w:r>
        <w:t xml:space="preserve"> </w:t>
      </w:r>
      <w:r>
        <w:rPr>
          <w:b/>
        </w:rPr>
        <w:t xml:space="preserve">(a) agencies</w:t>
      </w:r>
      <w:r>
        <w:t xml:space="preserve">, since that’s the nearer-term, self-serve partnership (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§7 Phase 2 — agency/reseller multi-workspace management); flag if you actually need the infrastructure-partner version instead, since the pitch is meaningfully different (less</w:t>
      </w:r>
      <w:r>
        <w:t xml:space="preserve"> </w:t>
      </w:r>
      <w:r>
        <w:t xml:space="preserve">“</w:t>
      </w:r>
      <w:r>
        <w:t xml:space="preserve">resell this to your clients,</w:t>
      </w:r>
      <w:r>
        <w:t xml:space="preserve">”</w:t>
      </w:r>
      <w:r>
        <w:t xml:space="preserve"> </w:t>
      </w:r>
      <w:r>
        <w:t xml:space="preserve">more</w:t>
      </w:r>
      <w:r>
        <w:t xml:space="preserve"> </w:t>
      </w:r>
      <w:r>
        <w:t xml:space="preserve">“</w:t>
      </w:r>
      <w:r>
        <w:t xml:space="preserve">let’s integrate our platforms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Brand &amp; visual direction:</w:t>
      </w:r>
      <w:r>
        <w:t xml:space="preserve"> </w:t>
      </w:r>
      <w:r>
        <w:t xml:space="preserve">same brand base as the other decks, but pitched more like a B2B platform deck than either the investor or customer deck — more comfortable showing real architecture/dashboard detail (Errand system, dual dev/non-dev interface) since agency technical staff are a plausible audience. Slightly more restrained/professional than the customer deck, slightly warmer and less financial than the investor deck.</w:t>
      </w:r>
    </w:p>
    <w:p>
      <w:pPr>
        <w:pStyle w:val="Heading2"/>
      </w:pPr>
      <w:bookmarkStart w:id="21" w:name="slide-by-slide-structure-1012-slides"/>
      <w:r>
        <w:t xml:space="preserve">Slide-by-Slide Structure (10–12 slides)</w:t>
      </w:r>
      <w:bookmarkEnd w:id="21"/>
    </w:p>
    <w:p>
      <w:pPr>
        <w:pStyle w:val="Heading3"/>
      </w:pPr>
      <w:bookmarkStart w:id="22" w:name="slide-1-cover"/>
      <w:r>
        <w:t xml:space="preserve">Slide 1 — Cover</w:t>
      </w:r>
      <w:bookmarkEnd w:id="22"/>
    </w:p>
    <w:p>
      <w:pPr>
        <w:pStyle w:val="FirstParagraph"/>
      </w:pPr>
      <w:r>
        <w:t xml:space="preserve">Positioning line aimed at the partner, not the end customer: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WhatsApp/Telegram bot platform built for the agencies managing SME clients, not around them.</w:t>
      </w:r>
      <w:r>
        <w:rPr>
          <w:i/>
        </w:rPr>
        <w:t xml:space="preserve">”</w:t>
      </w:r>
    </w:p>
    <w:p>
      <w:pPr>
        <w:pStyle w:val="Heading3"/>
      </w:pPr>
      <w:bookmarkStart w:id="23" w:name="slide-2-the-opportunity-for-you"/>
      <w:r>
        <w:t xml:space="preserve">Slide 2 — The Opportunity For You</w:t>
      </w:r>
      <w:bookmarkEnd w:id="23"/>
    </w:p>
    <w:p>
      <w:pPr>
        <w:pStyle w:val="FirstParagraph"/>
      </w:pPr>
      <w:r>
        <w:t xml:space="preserve">Name the pain an agency already has: they’re manually managing WhatsApp presence, content, and customer replies across multiple clients today, with no leverage — every client is linear headcount. Position Kola as the leverage layer: one platform, many client workspaces, each isolated and billable.</w:t>
      </w:r>
    </w:p>
    <w:p>
      <w:pPr>
        <w:pStyle w:val="Heading3"/>
      </w:pPr>
      <w:bookmarkStart w:id="24" w:name="slide-3-what-kola-actually-is"/>
      <w:r>
        <w:t xml:space="preserve">Slide 3 — What Kola Actually Is</w:t>
      </w:r>
      <w:bookmarkEnd w:id="24"/>
    </w:p>
    <w:p>
      <w:pPr>
        <w:pStyle w:val="FirstParagraph"/>
      </w:pPr>
      <w:r>
        <w:t xml:space="preserve">A tighter version of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§5’s core concept — Bot Mother, Errand, Workspace — pitched as infrastructure the agency operates on behalf of clients, not a tool their clients use directly (though it can be either, worth stating explicitly that both models are supported).</w:t>
      </w:r>
    </w:p>
    <w:p>
      <w:pPr>
        <w:pStyle w:val="Heading3"/>
      </w:pPr>
      <w:bookmarkStart w:id="25" w:name="slide-4-multi-workspace-management"/>
      <w:r>
        <w:t xml:space="preserve">Slide 4 — Multi-Workspace Management</w:t>
      </w:r>
      <w:bookmarkEnd w:id="25"/>
    </w:p>
    <w:p>
      <w:pPr>
        <w:pStyle w:val="FirstParagraph"/>
      </w:pPr>
      <w:r>
        <w:t xml:space="preserve">The agency/reseller tier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§7 Phase 2: one agency account, many isolated client workspaces, a workspace-switcher, usage/billing visibility per client. This is the single most important slide for this audience — it’s the concrete</w:t>
      </w:r>
      <w:r>
        <w:t xml:space="preserve"> </w:t>
      </w:r>
      <w:r>
        <w:t xml:space="preserve">“</w:t>
      </w:r>
      <w:r>
        <w:t xml:space="preserve">why us over doing this manually</w:t>
      </w:r>
      <w:r>
        <w:t xml:space="preserve">”</w:t>
      </w:r>
      <w:r>
        <w:t xml:space="preserve"> </w:t>
      </w:r>
      <w:r>
        <w:t xml:space="preserve">answer.</w:t>
      </w:r>
    </w:p>
    <w:p>
      <w:pPr>
        <w:pStyle w:val="Heading3"/>
      </w:pPr>
      <w:bookmarkStart w:id="26" w:name="Xe40f62bc57ae10ab41e5c1bcc623b5f2824f38a"/>
      <w:r>
        <w:t xml:space="preserve">Slide 5 — The Dual Interface (why this matters for an agency specifically)</w:t>
      </w:r>
      <w:bookmarkEnd w:id="26"/>
    </w:p>
    <w:p>
      <w:pPr>
        <w:pStyle w:val="FirstParagraph"/>
      </w:pPr>
      <w:r>
        <w:t xml:space="preserve">An agency likely has both non-technical account managers and at least one developer on staff. Show how the same Errand/bot can be set up conversationally by an account manager and extended via API by a developer — this directly maps to how an agency team is actually structured, more so than it maps to a single SME owner.</w:t>
      </w:r>
    </w:p>
    <w:p>
      <w:pPr>
        <w:pStyle w:val="Heading3"/>
      </w:pPr>
      <w:bookmarkStart w:id="27" w:name="X00984484f5645304e49d7671a3a58a7c84e4687"/>
      <w:r>
        <w:t xml:space="preserve">Slide 6 — White-Label (roadmap, not current — say so plainly)</w:t>
      </w:r>
      <w:bookmarkEnd w:id="27"/>
    </w:p>
    <w:p>
      <w:pPr>
        <w:pStyle w:val="FirstParagraph"/>
      </w:pPr>
      <w:r>
        <w:t xml:space="preserve">The Phase 3 white-labeling item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§7 — present honestly as</w:t>
      </w:r>
      <w:r>
        <w:t xml:space="preserve"> </w:t>
      </w:r>
      <w:r>
        <w:t xml:space="preserve">“</w:t>
      </w:r>
      <w:r>
        <w:t xml:space="preserve">on the roadmap, not available today,</w:t>
      </w:r>
      <w:r>
        <w:t xml:space="preserve">”</w:t>
      </w:r>
      <w:r>
        <w:t xml:space="preserve"> </w:t>
      </w:r>
      <w:r>
        <w:t xml:space="preserve">since overpromising this to a partner evaluating a commitment is the fastest way to lose credibility with exactly the audience that will ask hard follow-up questions.</w:t>
      </w:r>
    </w:p>
    <w:p>
      <w:pPr>
        <w:pStyle w:val="Heading3"/>
      </w:pPr>
      <w:bookmarkStart w:id="28" w:name="slide-7-revenue-model-for-partners"/>
      <w:r>
        <w:t xml:space="preserve">Slide 7 — Revenue Model For Partners</w:t>
      </w:r>
      <w:bookmarkEnd w:id="28"/>
    </w:p>
    <w:p>
      <w:pPr>
        <w:pStyle w:val="FirstParagraph"/>
      </w:pPr>
      <w:r>
        <w:t xml:space="preserve">However this is actually decided (revenue share, wholesale/resell margin, or flat referral fee) — if not yet decided, this slide should say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Partner economics — to be finalized together</w:t>
      </w:r>
      <w:r>
        <w:rPr>
          <w:i/>
        </w:rPr>
        <w:t xml:space="preserve">”</w:t>
      </w:r>
      <w:r>
        <w:t xml:space="preserve"> </w:t>
      </w:r>
      <w:r>
        <w:t xml:space="preserve">rather than inventing a split. Leave it as a discussion slide, not a fabricated number, matching the same honesty standard applied to the investor deck’s ask slide.</w:t>
      </w:r>
    </w:p>
    <w:p>
      <w:pPr>
        <w:pStyle w:val="Heading3"/>
      </w:pPr>
      <w:bookmarkStart w:id="29" w:name="slide-8-example-scenario"/>
      <w:r>
        <w:t xml:space="preserve">Slide 8 — Example Scenario</w:t>
      </w:r>
      <w:bookmarkEnd w:id="29"/>
    </w:p>
    <w:p>
      <w:pPr>
        <w:pStyle w:val="FirstParagraph"/>
      </w:pPr>
      <w:r>
        <w:t xml:space="preserve">A concrete walkthrough: an agency managing 12 client bots, showing the workspace-switcher, aggregated usage view, and what changes for their day-to-day operations. If a real pilot doesn’t exist yet, frame this as</w:t>
      </w:r>
      <w:r>
        <w:t xml:space="preserve"> </w:t>
      </w:r>
      <w:r>
        <w:t xml:space="preserve">“</w:t>
      </w:r>
      <w:r>
        <w:t xml:space="preserve">how this would work,</w:t>
      </w:r>
      <w:r>
        <w:t xml:space="preserve">”</w:t>
      </w:r>
      <w:r>
        <w:t xml:space="preserve"> </w:t>
      </w:r>
      <w:r>
        <w:t xml:space="preserve">clearly hypothetical, not a case study.</w:t>
      </w:r>
    </w:p>
    <w:p>
      <w:pPr>
        <w:pStyle w:val="Heading3"/>
      </w:pPr>
      <w:bookmarkStart w:id="30" w:name="slide-9-roadmap-shared-credibility"/>
      <w:r>
        <w:t xml:space="preserve">Slide 9 — Roadmap (shared credibility)</w:t>
      </w:r>
      <w:bookmarkEnd w:id="30"/>
    </w:p>
    <w:p>
      <w:pPr>
        <w:pStyle w:val="FirstParagraph"/>
      </w:pPr>
      <w:r>
        <w:t xml:space="preserve">The same phase structure from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/</w:t>
      </w:r>
      <w:r>
        <w:rPr>
          <w:rStyle w:val="VerbatimChar"/>
        </w:rPr>
        <w:t xml:space="preserve">COMPETITIVE_FEATURES.md</w:t>
      </w:r>
      <w:r>
        <w:t xml:space="preserve">, condensed — shows the partner this is a planned, disciplined build, not an idea that showed up yesterday.</w:t>
      </w:r>
    </w:p>
    <w:p>
      <w:pPr>
        <w:pStyle w:val="Heading3"/>
      </w:pPr>
      <w:bookmarkStart w:id="31" w:name="X9c31a395f80c850c07734a049f78fa02a9cf9ab"/>
      <w:r>
        <w:t xml:space="preserve">Slide 10 — What We’re Looking For From Partners</w:t>
      </w:r>
      <w:bookmarkEnd w:id="31"/>
    </w:p>
    <w:p>
      <w:pPr>
        <w:pStyle w:val="FirstParagraph"/>
      </w:pPr>
      <w:r>
        <w:t xml:space="preserve">Be specific: pilot clients to test with, feedback on the agency workflow before it’s finalized, and/or co-marketing — whichever is actually true. Vague</w:t>
      </w:r>
      <w:r>
        <w:t xml:space="preserve"> </w:t>
      </w:r>
      <w:r>
        <w:t xml:space="preserve">“</w:t>
      </w:r>
      <w:r>
        <w:t xml:space="preserve">let’s partner</w:t>
      </w:r>
      <w:r>
        <w:t xml:space="preserve">”</w:t>
      </w:r>
      <w:r>
        <w:t xml:space="preserve"> </w:t>
      </w:r>
      <w:r>
        <w:t xml:space="preserve">asks read as unserious to agencies who get pitched constantly.</w:t>
      </w:r>
    </w:p>
    <w:p>
      <w:pPr>
        <w:pStyle w:val="Heading3"/>
      </w:pPr>
      <w:bookmarkStart w:id="32" w:name="slide-11-why-now-why-us"/>
      <w:r>
        <w:t xml:space="preserve">Slide 11 — Why Now / Why Us</w:t>
      </w:r>
      <w:bookmarkEnd w:id="32"/>
    </w:p>
    <w:p>
      <w:pPr>
        <w:pStyle w:val="FirstParagraph"/>
      </w:pPr>
      <w:r>
        <w:t xml:space="preserve">One slide pulling from the competitive positioning in</w:t>
      </w:r>
      <w:r>
        <w:t xml:space="preserve"> </w:t>
      </w:r>
      <w:r>
        <w:rPr>
          <w:rStyle w:val="VerbatimChar"/>
        </w:rPr>
        <w:t xml:space="preserve">COMPETITIVE_FEATURES.md</w:t>
      </w:r>
      <w:r>
        <w:t xml:space="preserve"> </w:t>
      </w:r>
      <w:r>
        <w:t xml:space="preserve">§1 — but pitched as</w:t>
      </w:r>
      <w:r>
        <w:t xml:space="preserve"> </w:t>
      </w:r>
      <w:r>
        <w:t xml:space="preserve">“</w:t>
      </w:r>
      <w:r>
        <w:t xml:space="preserve">why partnering with us specifically, now, beats waiting</w:t>
      </w:r>
      <w:r>
        <w:t xml:space="preserve">”</w:t>
      </w:r>
      <w:r>
        <w:t xml:space="preserve"> </w:t>
      </w:r>
      <w:r>
        <w:t xml:space="preserve">rather than a full competitor takedown.</w:t>
      </w:r>
    </w:p>
    <w:p>
      <w:pPr>
        <w:pStyle w:val="Heading3"/>
      </w:pPr>
      <w:bookmarkStart w:id="33" w:name="slide-12-next-steps"/>
      <w:r>
        <w:t xml:space="preserve">Slide 12 — Next Steps</w:t>
      </w:r>
      <w:bookmarkEnd w:id="33"/>
    </w:p>
    <w:p>
      <w:pPr>
        <w:pStyle w:val="FirstParagraph"/>
      </w:pPr>
      <w:r>
        <w:t xml:space="preserve">Concrete: a pilot period, a call, a specific client to test with together — not just contact info.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2026-07-21T00:06:23Z</dcterms:created>
  <dcterms:modified xsi:type="dcterms:W3CDTF">2026-07-21T00:06:23Z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