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DA7AC" w14:textId="75C378A8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proofErr w:type="gramStart"/>
      <w:r w:rsidRPr="00966A90">
        <w:rPr>
          <w:rFonts w:ascii="Times New Roman" w:hAnsi="Times New Roman" w:cs="Times New Roman"/>
          <w:b/>
        </w:rPr>
        <w:t>MARCH,</w:t>
      </w:r>
      <w:proofErr w:type="gramEnd"/>
      <w:r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lastRenderedPageBreak/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</w:t>
      </w:r>
      <w:proofErr w:type="gramStart"/>
      <w:r>
        <w:t>particular relevance</w:t>
      </w:r>
      <w:proofErr w:type="gramEnd"/>
      <w:r>
        <w:t xml:space="preserve">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</w:t>
      </w:r>
      <w:proofErr w:type="spellStart"/>
      <w:r w:rsidR="00BA7A59">
        <w:t>containing</w:t>
      </w:r>
      <w:proofErr w:type="spellEnd"/>
      <w:r w:rsidR="00BA7A59">
        <w:t xml:space="preserve">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</w:t>
      </w:r>
      <w:proofErr w:type="gramStart"/>
      <w:r>
        <w:t>Particular emphasis</w:t>
      </w:r>
      <w:proofErr w:type="gramEnd"/>
      <w:r>
        <w:t xml:space="preserve">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</w:t>
      </w:r>
      <w:proofErr w:type="gramStart"/>
      <w:r>
        <w:t>anodes</w:t>
      </w:r>
      <w:proofErr w:type="gramEnd"/>
      <w:r>
        <w:t xml:space="preserve">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t xml:space="preserve">The results demonstrate that </w:t>
      </w:r>
      <w:r>
        <w:rPr>
          <w:rStyle w:val="Strong"/>
        </w:rPr>
        <w:t xml:space="preserve">optimized NFPP-based sodium-ion configurations can achieve improvements in energy density, round-trip efficiency, and thermal stability relative to </w:t>
      </w:r>
      <w:r>
        <w:rPr>
          <w:rStyle w:val="Strong"/>
        </w:rPr>
        <w:lastRenderedPageBreak/>
        <w:t>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3691EC4" w14:textId="77777777" w:rsidR="00FA4424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Before sodium-ion candidate optimization begins, the environmental response model is calibrated using a lithium-iron-phosphate (LFP) benchmark system.</w:t>
      </w:r>
    </w:p>
    <w:p w14:paraId="06F9554D" w14:textId="076EE2A5" w:rsidR="006B496E" w:rsidRPr="00CB1AB0" w:rsidRDefault="006B496E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96E">
        <w:rPr>
          <w:rFonts w:ascii="Times New Roman" w:eastAsia="Times New Roman" w:hAnsi="Times New Roman" w:cs="Times New Roman"/>
          <w:kern w:val="0"/>
          <w14:ligatures w14:val="none"/>
        </w:rPr>
        <w:t>A benchmark 51.2 V, 100 Ah LFP battery pack (16S1P) is adopted as the Phase 0 environmental calibration anchor. Equivalent circuit and thermal parameters are derived from manufacturer specifications and pulse-response fitting under representative Nigerian operating conditions</w:t>
      </w:r>
    </w:p>
    <w:p w14:paraId="62CE136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Calibrate system-level environmental response parameters under Nigerian operating conditions, defining:</w:t>
      </w:r>
    </w:p>
    <w:p w14:paraId="16CC2EB7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behavior</w:t>
      </w:r>
    </w:p>
    <w:p w14:paraId="3228EE75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transport properties</w:t>
      </w:r>
    </w:p>
    <w:p w14:paraId="6750DF62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Cooling response thresholds</w:t>
      </w:r>
    </w:p>
    <w:p w14:paraId="2496AD7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Inputs:</w:t>
      </w:r>
    </w:p>
    <w:p w14:paraId="438A43B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Nigerian grid load dataset</w:t>
      </w:r>
    </w:p>
    <w:p w14:paraId="2A53A86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Solar generation profiles derived from Nigerian irradiance records</w:t>
      </w:r>
    </w:p>
    <w:p w14:paraId="666F6B3A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climate profile</w:t>
      </w:r>
    </w:p>
    <w:p w14:paraId="5B716FAD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climate profile</w:t>
      </w:r>
    </w:p>
    <w:p w14:paraId="29D6375C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scenarios (4–8 h load-shedding, 12–24 h blackouts, ±20–30% voltage fluctuations, stochastic frequency deviations around 50 Hz)</w:t>
      </w:r>
    </w:p>
    <w:p w14:paraId="1A16936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Outputs:</w:t>
      </w:r>
    </w:p>
    <w:p w14:paraId="6F2174C3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Thermal stress response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thermal,env</m:t>
            </m:r>
            <w:proofErr w:type="gramEnd"/>
          </m:sub>
        </m:sSub>
      </m:oMath>
    </w:p>
    <w:p w14:paraId="71894C55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Grid disturbance degradation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grid,env</m:t>
            </m:r>
            <w:proofErr w:type="gramEnd"/>
          </m:sub>
        </m:sSub>
      </m:oMath>
    </w:p>
    <w:p w14:paraId="3B423D82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network parameters:</w:t>
      </w:r>
    </w:p>
    <w:p w14:paraId="773E7BF7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Effective thermal resistance matrix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</m:t>
            </m:r>
          </m:sub>
        </m:sSub>
      </m:oMath>
    </w:p>
    <w:p w14:paraId="3326A77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6CF3804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activation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  <w:proofErr w:type="gramEnd"/>
          </m:sub>
        </m:sSub>
      </m:oMath>
    </w:p>
    <w:p w14:paraId="548D3441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3C29D55D" w14:textId="5EDD97FD" w:rsidR="00FA4424" w:rsidRPr="00CB1AB0" w:rsidRDefault="00FA4424" w:rsidP="00EB05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Isolation Rule: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The LFP model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score sodium-ion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; it only calibrates environmental parameters. Once derived, these parameters are locked for downstream use, with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scaling introduced later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mitigate electrochemical bias.</w:t>
      </w: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76C0D9F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Phase 1 performs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material discovery and cell-level optimization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No pack-level simulation occurs yet to maintain computational tractability.</w:t>
      </w:r>
    </w:p>
    <w:p w14:paraId="5F7642C6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 — Targeted Materials Database Mining</w:t>
      </w:r>
    </w:p>
    <w:p w14:paraId="56EC9DB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Search space restricted to sodium-ion chemistries compatible with hard carbon anodes. Data sources: Materials Project, AFLOW, OQMD.</w:t>
      </w:r>
    </w:p>
    <w:p w14:paraId="4E6C4682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NASICON phosphates, polyanionic compounds, Prussian blue analogs, layered sodium transition-metal oxides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₆,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NaClO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₄,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NaFSI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carbonate electrolytes, ether-based electrolytes</w:t>
      </w:r>
    </w:p>
    <w:p w14:paraId="2AD9C3D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Extracted descriptors include formation energy, sodium diffusion barrier, redox voltage window, ionic conductivity, electrochemical and thermal stability limits.</w:t>
      </w:r>
    </w:p>
    <w:p w14:paraId="7F39F38D" w14:textId="048AF89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416520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 — Heuristic Space Reduction</w:t>
      </w:r>
    </w:p>
    <w:p w14:paraId="00D1750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constraints:</w:t>
      </w:r>
    </w:p>
    <w:p w14:paraId="7E83B035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1D0BEE9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constraints:</w:t>
      </w:r>
    </w:p>
    <w:p w14:paraId="6DCC2C15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Elemental crustal abundance threshold</w:t>
      </w:r>
    </w:p>
    <w:p w14:paraId="4CC401B0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16819189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Supply-chain risk filtering</w:t>
      </w:r>
    </w:p>
    <w:p w14:paraId="03B8EB0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After filtering, ~10,000–15,000 candidates remain.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53EA870C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4BC8F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to Stage 3 and subsequent ML ranking.</w:t>
      </w:r>
    </w:p>
    <w:p w14:paraId="6168FA3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Stage 7 DFN simulation will refine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 using candidate-specific heat generation data.</w:t>
      </w:r>
    </w:p>
    <w:p w14:paraId="13537443" w14:textId="15697BD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FD9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 — Stratified Candidate Sampling</w:t>
      </w:r>
    </w:p>
    <w:p w14:paraId="26762E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Stratified sampling ensures representative coverage of electrochemical properties:</w:t>
      </w:r>
    </w:p>
    <w:p w14:paraId="1EDB4E9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voltage, theoretical capacity, diffusion barrier, formation energy</w:t>
      </w:r>
    </w:p>
    <w:p w14:paraId="5E61B73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ionic conductivity, electrochemical stability, thermal stability</w:t>
      </w:r>
    </w:p>
    <w:p w14:paraId="65BD943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Balanced pool of ~1,000 candidates forwarded to ML screening.</w:t>
      </w:r>
    </w:p>
    <w:p w14:paraId="34EBCB69" w14:textId="0AC12CE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16C9D" w14:textId="66D09860" w:rsidR="004C57A9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4 — Machine Learning Electrochemical Prediction</w:t>
      </w:r>
    </w:p>
    <w:p w14:paraId="689830BE" w14:textId="693B7B35" w:rsidR="008F5092" w:rsidRPr="00CB1AB0" w:rsidRDefault="005D11AC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Clearity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 model scores in tasks like this and </w:t>
      </w:r>
      <w:r w:rsidR="004C57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certainty metadata </w:t>
      </w:r>
    </w:p>
    <w:p w14:paraId="49BF98B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Predicts surrogate electrochemical performance indicators:</w:t>
      </w:r>
    </w:p>
    <w:p w14:paraId="5651FA4B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Cathode: structural stability, sodium diffusion kinetics, redox potential stability</w:t>
      </w:r>
    </w:p>
    <w:p w14:paraId="21FC0556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Hard carbon anode: SEI formation probability, intercalation stability</w:t>
      </w:r>
    </w:p>
    <w:p w14:paraId="5C6571E8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Electrolyte: ionic conductivity, electrochemical stability, thermal stability</w:t>
      </w:r>
    </w:p>
    <w:p w14:paraId="3ACFBDE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Outputs inform multi-objective ranking.</w:t>
      </w:r>
    </w:p>
    <w:p w14:paraId="4EB61579" w14:textId="2FE4FB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629DC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5 — Multi-Objective Electrochemical Ranking</w:t>
      </w:r>
    </w:p>
    <w:p w14:paraId="744B6E19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lastRenderedPageBreak/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η+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crit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Score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-λ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mat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λ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OPEX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local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CCBA5A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7B9DBE38" w14:textId="77777777" w:rsidR="00FA4424" w:rsidRPr="00CB1AB0" w:rsidRDefault="00000000" w:rsidP="003A65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local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= regional OPEX/maintenance penalty based 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>and predicted cooling activation frequency under humid and Harmattan profiles.</w:t>
      </w:r>
    </w:p>
    <w:p w14:paraId="6D97550A" w14:textId="4AAAFC16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653A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6 — Sensitivity Validation</w:t>
      </w:r>
    </w:p>
    <w:p w14:paraId="44E3DA40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Perturb electrochemical parameters (diffusion coefficient, reaction rate constant, particle radius, electrolyte conductivity) to reject non-physical or unstable candidates.</w:t>
      </w:r>
    </w:p>
    <w:p w14:paraId="7438A602" w14:textId="63A4FD4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4595FC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7 — DFN Electrochemical Simulation with Manufacturing Corrections</w:t>
      </w:r>
    </w:p>
    <w:p w14:paraId="5497B6B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detailed electrochemical dynamics for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15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4A7AD4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Voltage profiles</w:t>
      </w:r>
    </w:p>
    <w:p w14:paraId="5356EEC1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Ion diffusion dynamics</w:t>
      </w:r>
    </w:p>
    <w:p w14:paraId="491256DA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Reaction kinetics</w:t>
      </w:r>
    </w:p>
    <w:p w14:paraId="5F9AC2E2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SEI formation</w:t>
      </w:r>
    </w:p>
    <w:p w14:paraId="4F334233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Heat generation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</w:p>
    <w:p w14:paraId="7C7F802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Manufacturing corrections:</w:t>
      </w:r>
    </w:p>
    <w:p w14:paraId="4264725F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active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dead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active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dead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inactive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28479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Environmental Update: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DFN-derived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is used to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the thermal network parameters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from Phase 0:</w:t>
      </w:r>
    </w:p>
    <w:p w14:paraId="4F2E9A86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49EAE3D1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53329A4C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Refine cooling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5756397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This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 loop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removes LFP-based bias and ensures the environmental model reflects sodium-ion thermodynamics prior to Stage 10 benchmarking.</w:t>
      </w:r>
    </w:p>
    <w:p w14:paraId="21E84F1F" w14:textId="4B9463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302283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8 — Climate-Aware Thermal Screening</w:t>
      </w:r>
    </w:p>
    <w:p w14:paraId="19A8FC0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thermal </w:t>
      </w:r>
      <w:proofErr w:type="gram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gram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under:</w:t>
      </w:r>
    </w:p>
    <w:p w14:paraId="02D90C09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profile</w:t>
      </w:r>
    </w:p>
    <w:p w14:paraId="5BAF5BEE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profile</w:t>
      </w:r>
    </w:p>
    <w:p w14:paraId="7166AF2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Lumped-capacitance network:</w:t>
      </w:r>
    </w:p>
    <w:p w14:paraId="0B5B298B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gen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355650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triggers when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T&gt;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Top three thermally stable candidates proceed to Stage 9.</w:t>
      </w:r>
    </w:p>
    <w:p w14:paraId="3E11ABD6" w14:textId="16AFA641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FA18F8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9 — Grid Disturbance Simulation with Hardware Limits</w:t>
      </w:r>
    </w:p>
    <w:p w14:paraId="039CAEF9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CF147D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proofErr w:type="spellStart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</w:t>
      </w:r>
      <w:proofErr w:type="spellEnd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microcycle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7A6C3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10 — Final Benchmarking</w:t>
      </w:r>
    </w:p>
    <w:p w14:paraId="05955AF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4DD03E74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48F8B7DD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₆ cell</w:t>
      </w:r>
    </w:p>
    <w:p w14:paraId="08B27D51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427E52B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0337D222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0F8516CE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7FC89601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4D2FABE8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38E2D3C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70E238E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Humid/Harmattan performance</w:t>
      </w:r>
    </w:p>
    <w:p w14:paraId="31ACD832" w14:textId="77777777" w:rsidR="00FA4424" w:rsidRDefault="00FA4424" w:rsidP="00514478"/>
    <w:p w14:paraId="2BAF03CB" w14:textId="00D97B9E" w:rsidR="009C259D" w:rsidRDefault="004231BE" w:rsidP="00514478">
      <w:r>
        <w:t>Phase 0</w:t>
      </w:r>
    </w:p>
    <w:p w14:paraId="3AB5E72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Start with the ECETM Core</w:t>
      </w:r>
    </w:p>
    <w:p w14:paraId="6F72107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05EEC01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334CB708" w14:textId="3724DF4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1684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 xml:space="preserve">. </w:t>
      </w:r>
    </w:p>
    <w:p w14:paraId="77F820D7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E7F4369">
          <v:rect id="_x0000_i1025" style="width:0;height:1.5pt" o:hralign="center" o:hrstd="t" o:hr="t" fillcolor="#a0a0a0" stroked="f"/>
        </w:pict>
      </w:r>
    </w:p>
    <w:p w14:paraId="0510D6E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721082D3" w14:textId="4ED656D1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77D9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56F23970" w14:textId="62B1477A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9274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For LFP cells, Joule heating dominates and reversible heat is often neglected. </w:t>
      </w:r>
    </w:p>
    <w:p w14:paraId="7E78F69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thermal model is the main source for almost all your outputs.</w:t>
      </w:r>
    </w:p>
    <w:p w14:paraId="01981F5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349CC9E">
          <v:rect id="_x0000_i1026" style="width:0;height:1.5pt" o:hralign="center" o:hrstd="t" o:hr="t" fillcolor="#a0a0a0" stroked="f"/>
        </w:pict>
      </w:r>
    </w:p>
    <w:p w14:paraId="43F6765D" w14:textId="668D393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6127A5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48F1E6C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a single cell:</w:t>
      </w:r>
    </w:p>
    <w:p w14:paraId="032F9B8B" w14:textId="733A9FA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46ED3E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3AC4056F" w14:textId="66BD34C7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cell temperature </w:t>
      </w:r>
    </w:p>
    <w:p w14:paraId="0D114CDE" w14:textId="2A76C1E3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ambient temperature </w:t>
      </w:r>
    </w:p>
    <w:p w14:paraId="6BBE9672" w14:textId="48B58379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average heat generation at steady state </w:t>
      </w:r>
    </w:p>
    <w:p w14:paraId="099E7D4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exact estimation method is standard in electro-thermal LFP calibration. </w:t>
      </w:r>
    </w:p>
    <w:p w14:paraId="20394CB0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13BA018">
          <v:rect id="_x0000_i1027" style="width:0;height:1.5pt" o:hralign="center" o:hrstd="t" o:hr="t" fillcolor="#a0a0a0" stroked="f"/>
        </w:pict>
      </w:r>
    </w:p>
    <w:p w14:paraId="513FB66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14449B2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270100EF" w14:textId="053D587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C8D9B8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0F94678F" w14:textId="0F2B33E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B55807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Off-diagonal terms = thermal coupling</w:t>
      </w:r>
    </w:p>
    <w:p w14:paraId="2A2D17F7" w14:textId="776F8C8C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EFD18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experimentally by pulsing one cell/module at a time.</w:t>
      </w:r>
    </w:p>
    <w:p w14:paraId="6EB30149" w14:textId="6B40211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67797243" wp14:editId="006985D6">
                <wp:extent cx="304800" cy="304800"/>
                <wp:effectExtent l="0" t="0" r="0" b="0"/>
                <wp:docPr id="50053880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2F5CB8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4533A5" w14:textId="3F8E72D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3921615D" wp14:editId="650D053A">
                <wp:extent cx="304800" cy="304800"/>
                <wp:effectExtent l="0" t="0" r="0" b="0"/>
                <wp:docPr id="202001420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318AC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DB30F5" w14:textId="5E295533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50A0F6BD" wp14:editId="5F6FC6C5">
                <wp:extent cx="304800" cy="304800"/>
                <wp:effectExtent l="0" t="0" r="0" b="0"/>
                <wp:docPr id="409742183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CFDE81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F2160C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4A269537">
          <v:rect id="_x0000_i1028" style="width:0;height:1.5pt" o:hralign="center" o:hrstd="t" o:hr="t" fillcolor="#a0a0a0" stroked="f"/>
        </w:pict>
      </w:r>
    </w:p>
    <w:p w14:paraId="1E44AB8B" w14:textId="158EFEA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4B75BD9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7EF78912" w14:textId="251AD18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7952665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692DA3C6" w14:textId="70D7D0B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6F0C0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2D109D08" w14:textId="74F8616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1650F4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4D08DD2E" w14:textId="19FFA200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81A103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4AEDEEE4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24F28EE6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0860E0E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079FCA9E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5372FAE">
          <v:rect id="_x0000_i1029" style="width:0;height:1.5pt" o:hralign="center" o:hrstd="t" o:hr="t" fillcolor="#a0a0a0" stroked="f"/>
        </w:pict>
      </w:r>
    </w:p>
    <w:p w14:paraId="182CCFB1" w14:textId="1DDE463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4) Cooling Activation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0A2866F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</w:t>
      </w:r>
      <w:r w:rsidRPr="00176DFA">
        <w:rPr>
          <w:rFonts w:eastAsia="Times New Roman"/>
          <w:b/>
          <w:bCs/>
          <w:lang w:val="en-NG"/>
        </w:rPr>
        <w:t>not derived from physics directly</w:t>
      </w:r>
      <w:r w:rsidRPr="00176DFA">
        <w:rPr>
          <w:rFonts w:eastAsia="Times New Roman"/>
          <w:lang w:val="en-NG"/>
        </w:rPr>
        <w:t>.</w:t>
      </w:r>
    </w:p>
    <w:p w14:paraId="4B01AA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It is estimated from measured pack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>.</w:t>
      </w:r>
    </w:p>
    <w:p w14:paraId="19E59CA7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cooling log / fan activation log:</w:t>
      </w:r>
    </w:p>
    <w:p w14:paraId="18B763AC" w14:textId="5F712FD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=T(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4E778F61" w14:textId="437B90F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Pr="00176DFA">
        <w:rPr>
          <w:rFonts w:eastAsia="Times New Roman"/>
          <w:lang w:val="en-NG"/>
        </w:rPr>
        <w:t>is first time cooling system activates.</w:t>
      </w:r>
    </w:p>
    <w:p w14:paraId="5BC46A8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Formally:</w:t>
      </w:r>
    </w:p>
    <w:p w14:paraId="1937CBA2" w14:textId="60CC31A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0C8BD2B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LFP values:</w:t>
      </w:r>
    </w:p>
    <w:p w14:paraId="6B201158" w14:textId="3BC145EA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35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48464CC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12CF1BC">
          <v:rect id="_x0000_i1030" style="width:0;height:1.5pt" o:hralign="center" o:hrstd="t" o:hr="t" fillcolor="#a0a0a0" stroked="f"/>
        </w:pict>
      </w:r>
    </w:p>
    <w:p w14:paraId="4BFBAEFA" w14:textId="6D2B6939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11749A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4152D10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212AD5D0" w14:textId="2E211C5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3594A3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13817FB8" w14:textId="690B124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0D77D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21BBE760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40A8070C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0923218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23CA7E3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2A5961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42088F3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5D6B2A37" w14:textId="25A7BC31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733F55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surges.</w:t>
      </w:r>
    </w:p>
    <w:p w14:paraId="5FCA65F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42BD18">
          <v:rect id="_x0000_i1031" style="width:0;height:1.5pt" o:hralign="center" o:hrstd="t" o:hr="t" fillcolor="#a0a0a0" stroked="f"/>
        </w:pict>
      </w:r>
    </w:p>
    <w:p w14:paraId="72B5C6A8" w14:textId="30C03B10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429321C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should be a </w:t>
      </w:r>
      <w:r w:rsidRPr="00176DFA">
        <w:rPr>
          <w:rFonts w:eastAsia="Times New Roman"/>
          <w:b/>
          <w:bCs/>
          <w:lang w:val="en-NG"/>
        </w:rPr>
        <w:t>normalized environmental severity factor</w:t>
      </w:r>
      <w:r w:rsidRPr="00176DFA">
        <w:rPr>
          <w:rFonts w:eastAsia="Times New Roman"/>
          <w:lang w:val="en-NG"/>
        </w:rPr>
        <w:t>.</w:t>
      </w:r>
    </w:p>
    <w:p w14:paraId="2182B35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2E27F737" w14:textId="30645F8F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E43B932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7248031" w14:textId="4B76776D" w:rsidR="00176DFA" w:rsidRPr="00176DFA" w:rsidRDefault="00000000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25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6E56A726" w14:textId="474E2AD8" w:rsidR="00176DFA" w:rsidRPr="00176DFA" w:rsidRDefault="00176DFA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0D57445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67E63218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F5D2F09">
          <v:rect id="_x0000_i1032" style="width:0;height:1.5pt" o:hralign="center" o:hrstd="t" o:hr="t" fillcolor="#a0a0a0" stroked="f"/>
        </w:pict>
      </w:r>
    </w:p>
    <w:p w14:paraId="051CB72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39AB5DB6" w14:textId="336478E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7E36E35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1ABC3A6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E26CFF">
          <v:rect id="_x0000_i1033" style="width:0;height:1.5pt" o:hralign="center" o:hrstd="t" o:hr="t" fillcolor="#a0a0a0" stroked="f"/>
        </w:pict>
      </w:r>
    </w:p>
    <w:p w14:paraId="42185083" w14:textId="475545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7) Grid Disturbance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grid,env</m:t>
            </m:r>
          </m:sub>
        </m:sSub>
      </m:oMath>
    </w:p>
    <w:p w14:paraId="39D591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disturbance-induced stress.</w:t>
      </w:r>
    </w:p>
    <w:p w14:paraId="512A62E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 a disturbance severity index:</w:t>
      </w:r>
    </w:p>
    <w:p w14:paraId="6222420A" w14:textId="1D3961E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74C63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Then:</w:t>
      </w:r>
    </w:p>
    <w:p w14:paraId="28A37E2E" w14:textId="47149F6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grid,env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k</m:t>
                      </m:r>
                    </m:sub>
                  </m:sSub>
                </m:e>
              </m:nary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32C6BD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7A315192" w14:textId="349F852B" w:rsidR="00176DFA" w:rsidRPr="00176DFA" w:rsidRDefault="00000000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blackout severity </w:t>
      </w:r>
    </w:p>
    <w:p w14:paraId="511338A9" w14:textId="03A2CC74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V</m:t>
        </m:r>
      </m:oMath>
      <w:r w:rsidRPr="00176DFA">
        <w:rPr>
          <w:rFonts w:eastAsia="Times New Roman"/>
          <w:lang w:val="en-NG"/>
        </w:rPr>
        <w:t xml:space="preserve">= voltage fluctuation </w:t>
      </w:r>
    </w:p>
    <w:p w14:paraId="69719784" w14:textId="13F56477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f</m:t>
        </m:r>
      </m:oMath>
      <w:r w:rsidRPr="00176DFA">
        <w:rPr>
          <w:rFonts w:eastAsia="Times New Roman"/>
          <w:lang w:val="en-NG"/>
        </w:rPr>
        <w:t xml:space="preserve">= frequency deviation </w:t>
      </w:r>
    </w:p>
    <w:p w14:paraId="45CE80E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exactly what Phase 0 needs.</w:t>
      </w:r>
    </w:p>
    <w:p w14:paraId="1E34624F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D7C4EDF">
          <v:rect id="_x0000_i1034" style="width:0;height:1.5pt" o:hralign="center" o:hrstd="t" o:hr="t" fillcolor="#a0a0a0" stroked="f"/>
        </w:pict>
      </w:r>
    </w:p>
    <w:p w14:paraId="5AAC273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Final Output Equations Summary</w:t>
      </w:r>
    </w:p>
    <w:p w14:paraId="196A7EB8" w14:textId="0DDA34D4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w:rPr>
              <w:rFonts w:ascii="Cambria Math" w:eastAsia="Times New Roman" w:hAnsi="Cambria Math"/>
              <w:lang w:val="en-NG"/>
            </w:rPr>
            <m:t>h=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⁡(T: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&gt;0)</m:t>
          </m:r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∑(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8C22BA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4EAB1DC">
          <v:rect id="_x0000_i1035" style="width:0;height:1.5pt" o:hralign="center" o:hrstd="t" o:hr="t" fillcolor="#a0a0a0" stroked="f"/>
        </w:pict>
      </w:r>
    </w:p>
    <w:p w14:paraId="0C1CF0C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now a </w:t>
      </w:r>
      <w:r w:rsidRPr="00176DFA">
        <w:rPr>
          <w:rFonts w:eastAsia="Times New Roman"/>
          <w:b/>
          <w:bCs/>
          <w:lang w:val="en-NG"/>
        </w:rPr>
        <w:t>complete calculation framework</w:t>
      </w:r>
      <w:r w:rsidRPr="00176DFA">
        <w:rPr>
          <w:rFonts w:eastAsia="Times New Roman"/>
          <w:lang w:val="en-NG"/>
        </w:rPr>
        <w:t xml:space="preserve"> for your Phase 0 outputs using ECETM.</w:t>
      </w:r>
    </w:p>
    <w:p w14:paraId="56251F2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Phase 0 — Benchmark LFP Anchor Specification</w:t>
      </w:r>
    </w:p>
    <w:p w14:paraId="692A2AD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i/>
          <w:iCs/>
          <w:lang w:val="en-NG"/>
        </w:rPr>
        <w:t>(Locked Reference Pack for Environmental Calibration)</w:t>
      </w:r>
    </w:p>
    <w:p w14:paraId="11BA28A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pack will serve as the </w:t>
      </w:r>
      <w:r w:rsidRPr="004231BE">
        <w:rPr>
          <w:rFonts w:eastAsia="Times New Roman"/>
          <w:b/>
          <w:bCs/>
          <w:lang w:val="en-NG"/>
        </w:rPr>
        <w:t>environmental calibration anchor only</w:t>
      </w:r>
      <w:r w:rsidRPr="004231BE">
        <w:rPr>
          <w:rFonts w:eastAsia="Times New Roman"/>
          <w:lang w:val="en-NG"/>
        </w:rPr>
        <w:t>.</w:t>
      </w:r>
    </w:p>
    <w:p w14:paraId="2DB5C75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No sodium-ion scoring is performed in this phase.</w:t>
      </w:r>
    </w:p>
    <w:p w14:paraId="31AD0B1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7930D3">
          <v:rect id="_x0000_i1036" style="width:0;height:1.5pt" o:hralign="center" o:hrstd="t" o:hr="t" fillcolor="#a0a0a0" stroked="f"/>
        </w:pict>
      </w:r>
    </w:p>
    <w:p w14:paraId="568EDA2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1) Electrical Specification (Locked)</w:t>
      </w:r>
    </w:p>
    <w:p w14:paraId="4152F1F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These values align well with commercial residential ESS modules.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4043"/>
      </w:tblGrid>
      <w:tr w:rsidR="004231BE" w:rsidRPr="004231BE" w14:paraId="0FBC50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A541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1A019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4231BE" w:rsidRPr="004231BE" w14:paraId="537F7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0E879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7493570D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 xml:space="preserve">Lithium Iron Phosphate (LFP / </w:t>
            </w:r>
            <w:proofErr w:type="spellStart"/>
            <w:r w:rsidRPr="004231BE">
              <w:rPr>
                <w:rFonts w:eastAsia="Times New Roman"/>
                <w:lang w:val="en-NG"/>
              </w:rPr>
              <w:t>LiFePO</w:t>
            </w:r>
            <w:proofErr w:type="spellEnd"/>
            <w:r w:rsidRPr="004231BE">
              <w:rPr>
                <w:rFonts w:eastAsia="Times New Roman"/>
                <w:lang w:val="en-NG"/>
              </w:rPr>
              <w:t>₄)</w:t>
            </w:r>
          </w:p>
        </w:tc>
      </w:tr>
      <w:tr w:rsidR="004231BE" w:rsidRPr="004231BE" w14:paraId="22145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B20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6AC852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51.2 V</w:t>
            </w:r>
          </w:p>
        </w:tc>
      </w:tr>
      <w:tr w:rsidR="004231BE" w:rsidRPr="004231BE" w14:paraId="7F59F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041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14BF061B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Ah</w:t>
            </w:r>
          </w:p>
        </w:tc>
      </w:tr>
      <w:tr w:rsidR="004231BE" w:rsidRPr="004231BE" w14:paraId="05481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612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0DD6D22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5.12 kWh</w:t>
            </w:r>
          </w:p>
        </w:tc>
      </w:tr>
      <w:tr w:rsidR="004231BE" w:rsidRPr="004231BE" w14:paraId="6F49A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0B2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696553B8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16S1P</w:t>
            </w:r>
          </w:p>
        </w:tc>
      </w:tr>
      <w:tr w:rsidR="004231BE" w:rsidRPr="004231BE" w14:paraId="2B9A3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079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49F7343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3.2 V</w:t>
            </w:r>
          </w:p>
        </w:tc>
      </w:tr>
      <w:tr w:rsidR="004231BE" w:rsidRPr="004231BE" w14:paraId="2BF7A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9C93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7EF8DB07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58.4 V</w:t>
            </w:r>
          </w:p>
        </w:tc>
      </w:tr>
      <w:tr w:rsidR="004231BE" w:rsidRPr="004231BE" w14:paraId="7BEA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0BC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38E9C9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43.2–44.8 V</w:t>
            </w:r>
          </w:p>
        </w:tc>
      </w:tr>
      <w:tr w:rsidR="004231BE" w:rsidRPr="004231BE" w14:paraId="3F814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63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2980712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</w:t>
            </w:r>
          </w:p>
        </w:tc>
      </w:tr>
      <w:tr w:rsidR="004231BE" w:rsidRPr="004231BE" w14:paraId="330C7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D1D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25D337B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120–150 A (5 s)</w:t>
            </w:r>
          </w:p>
        </w:tc>
      </w:tr>
      <w:tr w:rsidR="004231BE" w:rsidRPr="004231BE" w14:paraId="18105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E68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622DF4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 xml:space="preserve">15–30 </w:t>
            </w:r>
            <w:proofErr w:type="spellStart"/>
            <w:r w:rsidRPr="004231BE">
              <w:rPr>
                <w:rFonts w:eastAsia="Times New Roman"/>
                <w:b/>
                <w:bCs/>
                <w:lang w:val="en-NG"/>
              </w:rPr>
              <w:t>mΩ</w:t>
            </w:r>
            <w:proofErr w:type="spellEnd"/>
            <w:r w:rsidRPr="004231BE">
              <w:rPr>
                <w:rFonts w:eastAsia="Times New Roman"/>
                <w:b/>
                <w:bCs/>
                <w:lang w:val="en-NG"/>
              </w:rPr>
              <w:t xml:space="preserve"> (pack-level)</w:t>
            </w:r>
          </w:p>
        </w:tc>
      </w:tr>
      <w:tr w:rsidR="004231BE" w:rsidRPr="004231BE" w14:paraId="3E818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1A1FE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16405EC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6000+ cycles @ 90–95% DoD</w:t>
            </w:r>
          </w:p>
        </w:tc>
      </w:tr>
    </w:tbl>
    <w:p w14:paraId="09A101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highly representative of modern home solar storage batteries.</w:t>
      </w:r>
    </w:p>
    <w:p w14:paraId="00CE20A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D52E652">
          <v:rect id="_x0000_i1037" style="width:0;height:1.5pt" o:hralign="center" o:hrstd="t" o:hr="t" fillcolor="#a0a0a0" stroked="f"/>
        </w:pict>
      </w:r>
    </w:p>
    <w:p w14:paraId="7EC7C66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2) Realistic Thermal Specification (Recommended)</w:t>
      </w:r>
    </w:p>
    <w:p w14:paraId="5113B4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the part you asked for specifically.</w:t>
      </w:r>
    </w:p>
    <w:p w14:paraId="7BF664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physically realistic for a 5.12 kWh residential wall/rack pack.</w:t>
      </w:r>
    </w:p>
    <w:p w14:paraId="367C274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05A9F33">
          <v:rect id="_x0000_i1038" style="width:0;height:1.5pt" o:hralign="center" o:hrstd="t" o:hr="t" fillcolor="#a0a0a0" stroked="f"/>
        </w:pict>
      </w:r>
    </w:p>
    <w:p w14:paraId="53FB8F2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Pack Geometry / Mass</w:t>
      </w:r>
    </w:p>
    <w:p w14:paraId="74AFCC7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Based on commercial units:</w:t>
      </w:r>
    </w:p>
    <w:p w14:paraId="1744EB3F" w14:textId="50AB5F9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pack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50</m:t>
          </m:r>
          <m:r>
            <m:rPr>
              <m:nor/>
            </m:rPr>
            <w:rPr>
              <w:rFonts w:eastAsia="Times New Roman"/>
              <w:lang w:val="en-NG"/>
            </w:rPr>
            <m:t xml:space="preserve"> kg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A0191E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Typical reported values are 48–49 kg. </w:t>
      </w:r>
    </w:p>
    <w:p w14:paraId="3946FF5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3BF98AE" w14:textId="47C1E3CD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pack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kg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8513BC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F9A1EF9">
          <v:rect id="_x0000_i1039" style="width:0;height:1.5pt" o:hralign="center" o:hrstd="t" o:hr="t" fillcolor="#a0a0a0" stroked="f"/>
        </w:pict>
      </w:r>
    </w:p>
    <w:p w14:paraId="7F6E2E5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Specific Heat Capacity</w:t>
      </w:r>
    </w:p>
    <w:p w14:paraId="40F551B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LFP cell + </w:t>
      </w:r>
      <w:proofErr w:type="spellStart"/>
      <w:r w:rsidRPr="004231BE">
        <w:rPr>
          <w:rFonts w:eastAsia="Times New Roman"/>
          <w:lang w:val="en-NG"/>
        </w:rPr>
        <w:t>aluminum</w:t>
      </w:r>
      <w:proofErr w:type="spellEnd"/>
      <w:r w:rsidRPr="004231BE">
        <w:rPr>
          <w:rFonts w:eastAsia="Times New Roman"/>
          <w:lang w:val="en-NG"/>
        </w:rPr>
        <w:t xml:space="preserve"> enclosure composite systems, a realistic effective value is:</w:t>
      </w:r>
    </w:p>
    <w:p w14:paraId="1E4BDE3A" w14:textId="3BE0D96A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=900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1000</m:t>
          </m:r>
          <m:r>
            <m:rPr>
              <m:nor/>
            </m:rPr>
            <w:rPr>
              <w:rFonts w:eastAsia="Times New Roman"/>
              <w:lang w:val="en-NG"/>
            </w:rPr>
            <m:t xml:space="preserve"> J/kg\cdotpK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F99124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0E5E8137" w14:textId="6B5E6BBF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=950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J/kg\cdotpK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A8FCB88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A3202E">
          <v:rect id="_x0000_i1040" style="width:0;height:1.5pt" o:hralign="center" o:hrstd="t" o:hr="t" fillcolor="#a0a0a0" stroked="f"/>
        </w:pict>
      </w:r>
    </w:p>
    <w:p w14:paraId="5980153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Thermal Capacitance</w:t>
      </w:r>
    </w:p>
    <w:p w14:paraId="21BAE60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critical for ECETM.</w:t>
      </w:r>
    </w:p>
    <w:p w14:paraId="1A1673FB" w14:textId="57AC22B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6A6C1FD3" w14:textId="69C54D5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</m:oMath>
      </m:oMathPara>
    </w:p>
    <w:p w14:paraId="510DD1F8" w14:textId="54C5233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=45600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A3CFBA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becomes your lumped thermal mass.</w:t>
      </w:r>
    </w:p>
    <w:p w14:paraId="308EE00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B1669F0">
          <v:rect id="_x0000_i1041" style="width:0;height:1.5pt" o:hralign="center" o:hrstd="t" o:hr="t" fillcolor="#a0a0a0" stroked="f"/>
        </w:pict>
      </w:r>
    </w:p>
    <w:p w14:paraId="743451E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1636754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423D78A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4B4AC5C2" w14:textId="580466FB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0E917F9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We lock:</w:t>
      </w:r>
    </w:p>
    <w:p w14:paraId="7ED79A37" w14:textId="7C9267D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044273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 for passive residential ESS enclosures.</w:t>
      </w:r>
    </w:p>
    <w:p w14:paraId="41A05C5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EB053D">
          <v:rect id="_x0000_i1042" style="width:0;height:1.5pt" o:hralign="center" o:hrstd="t" o:hr="t" fillcolor="#a0a0a0" stroked="f"/>
        </w:pict>
      </w:r>
    </w:p>
    <w:p w14:paraId="400351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5A64B61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64A9E9FE" w14:textId="24C45445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65828F1C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5CB91D35" w14:textId="09BBEDD8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4A253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226FAF2B" w14:textId="199D8F2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19FD06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realistic and defensible.</w:t>
      </w:r>
    </w:p>
    <w:p w14:paraId="5B09BED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434C1F7">
          <v:rect id="_x0000_i1043" style="width:0;height:1.5pt" o:hralign="center" o:hrstd="t" o:hr="t" fillcolor="#a0a0a0" stroked="f"/>
        </w:pict>
      </w:r>
    </w:p>
    <w:p w14:paraId="1FEB921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3) Cooling System (More Ingenious Than Fan)</w:t>
      </w:r>
    </w:p>
    <w:p w14:paraId="2B4FDD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point.</w:t>
      </w:r>
    </w:p>
    <w:p w14:paraId="31FC3DA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 plain fan is too simplistic.</w:t>
      </w:r>
    </w:p>
    <w:p w14:paraId="34D66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your use case, a </w:t>
      </w:r>
      <w:r w:rsidRPr="004231BE">
        <w:rPr>
          <w:rFonts w:eastAsia="Times New Roman"/>
          <w:b/>
          <w:bCs/>
          <w:lang w:val="en-NG"/>
        </w:rPr>
        <w:t>hybrid passive-smart cooling system</w:t>
      </w:r>
      <w:r w:rsidRPr="004231BE">
        <w:rPr>
          <w:rFonts w:eastAsia="Times New Roman"/>
          <w:lang w:val="en-NG"/>
        </w:rPr>
        <w:t xml:space="preserve"> is much better.</w:t>
      </w:r>
    </w:p>
    <w:p w14:paraId="214084BC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01DB2D">
          <v:rect id="_x0000_i1044" style="width:0;height:1.5pt" o:hralign="center" o:hrstd="t" o:hr="t" fillcolor="#a0a0a0" stroked="f"/>
        </w:pict>
      </w:r>
    </w:p>
    <w:p w14:paraId="4330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Recommended Cooling Architecture</w:t>
      </w:r>
    </w:p>
    <w:p w14:paraId="44167A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Instead of active fan-only cooling, use:</w:t>
      </w:r>
    </w:p>
    <w:p w14:paraId="2D6BDAE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phase-change heat sink + heat pipe assisted passive dissipation + smart emergency micro-blower</w:t>
      </w:r>
    </w:p>
    <w:p w14:paraId="1DBA2E1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much more elegant.</w:t>
      </w:r>
    </w:p>
    <w:p w14:paraId="0A86A4C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421AE6">
          <v:rect id="_x0000_i1045" style="width:0;height:1.5pt" o:hralign="center" o:hrstd="t" o:hr="t" fillcolor="#a0a0a0" stroked="f"/>
        </w:pict>
      </w:r>
    </w:p>
    <w:p w14:paraId="6A6B8B1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Layer 1 — Passive </w:t>
      </w:r>
      <w:proofErr w:type="spellStart"/>
      <w:r w:rsidRPr="004231BE">
        <w:rPr>
          <w:rFonts w:eastAsia="Times New Roman"/>
          <w:b/>
          <w:bCs/>
          <w:lang w:val="en-NG"/>
        </w:rPr>
        <w:t>Aluminum</w:t>
      </w:r>
      <w:proofErr w:type="spellEnd"/>
      <w:r w:rsidRPr="004231BE">
        <w:rPr>
          <w:rFonts w:eastAsia="Times New Roman"/>
          <w:b/>
          <w:bCs/>
          <w:lang w:val="en-NG"/>
        </w:rPr>
        <w:t xml:space="preserve"> Fin Heat Sink</w:t>
      </w:r>
    </w:p>
    <w:p w14:paraId="3AC4627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1B02A9B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50362261" w14:textId="1D24513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drawing>
          <wp:inline distT="0" distB="0" distL="0" distR="0" wp14:anchorId="5C0EC351" wp14:editId="0A8ACBD4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CCF6" w14:textId="0F477A7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lastRenderedPageBreak/>
        <w:drawing>
          <wp:inline distT="0" distB="0" distL="0" distR="0" wp14:anchorId="3D67EB7E" wp14:editId="52726B4A">
            <wp:extent cx="5943600" cy="3962400"/>
            <wp:effectExtent l="0" t="0" r="0" b="0"/>
            <wp:docPr id="20891506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DE8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5A55766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C21E48">
          <v:rect id="_x0000_i1046" style="width:0;height:1.5pt" o:hralign="center" o:hrstd="t" o:hr="t" fillcolor="#a0a0a0" stroked="f"/>
        </w:pict>
      </w:r>
    </w:p>
    <w:p w14:paraId="1BABF7F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2F55124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6DAA18A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3181DFF2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E790FD1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6560BB03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4AF3461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excellent for Nigeria’s outage cycles.</w:t>
      </w:r>
    </w:p>
    <w:p w14:paraId="71D5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340791DF" w14:textId="172DE731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73F2E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783A480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Much smarter than fans.</w:t>
      </w:r>
    </w:p>
    <w:p w14:paraId="6EEB2D8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010A45E">
          <v:rect id="_x0000_i1047" style="width:0;height:1.5pt" o:hralign="center" o:hrstd="t" o:hr="t" fillcolor="#a0a0a0" stroked="f"/>
        </w:pict>
      </w:r>
    </w:p>
    <w:p w14:paraId="4F3DA7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3 — Intelligent Emergency Micro-Blower</w:t>
      </w:r>
    </w:p>
    <w:p w14:paraId="0B5A1EC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B5BE647" w14:textId="66313BE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F9E02C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5BDDE6C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keeps power draw minimal.</w:t>
      </w:r>
    </w:p>
    <w:p w14:paraId="6AEB79F8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97E9FC9">
          <v:rect id="_x0000_i1048" style="width:0;height:1.5pt" o:hralign="center" o:hrstd="t" o:hr="t" fillcolor="#a0a0a0" stroked="f"/>
        </w:pict>
      </w:r>
    </w:p>
    <w:p w14:paraId="66B30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E26B68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2E369AC4" w14:textId="15E00D1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35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7FDC0CC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37E2CAEB" w14:textId="12AE6013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38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28F5B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realistic.</w:t>
      </w:r>
    </w:p>
    <w:p w14:paraId="20C2D8A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9C4C2C1">
          <v:rect id="_x0000_i1049" style="width:0;height:1.5pt" o:hralign="center" o:hrstd="t" o:hr="t" fillcolor="#a0a0a0" stroked="f"/>
        </w:pict>
      </w:r>
    </w:p>
    <w:p w14:paraId="6DFDD2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3D7CE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7C859CA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C702CB2">
          <v:rect id="_x0000_i1050" style="width:0;height:1.5pt" o:hralign="center" o:hrstd="t" o:hr="t" fillcolor="#a0a0a0" stroked="f"/>
        </w:pict>
      </w:r>
    </w:p>
    <w:p w14:paraId="2CD7BB3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6B34F87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2D4A9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666F868C">
          <v:rect id="_x0000_i1051" style="width:0;height:1.5pt" o:hralign="center" o:hrstd="t" o:hr="t" fillcolor="#a0a0a0" stroked="f"/>
        </w:pict>
      </w:r>
    </w:p>
    <w:p w14:paraId="66928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1F20D1D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491FD696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578276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F89998D">
          <v:rect id="_x0000_i1052" style="width:0;height:1.5pt" o:hralign="center" o:hrstd="t" o:hr="t" fillcolor="#a0a0a0" stroked="f"/>
        </w:pict>
      </w:r>
    </w:p>
    <w:p w14:paraId="4D8BD43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858EDE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6AB08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A67DFC7" w14:textId="64E1F7B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7E00CA6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CD49741">
          <v:rect id="_x0000_i1053" style="width:0;height:1.5pt" o:hralign="center" o:hrstd="t" o:hr="t" fillcolor="#a0a0a0" stroked="f"/>
        </w:pict>
      </w:r>
    </w:p>
    <w:p w14:paraId="7F61CE0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662998B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64D48AE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Current demand:</w:t>
      </w:r>
    </w:p>
    <w:p w14:paraId="48E1CBBC" w14:textId="6C8B287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951C2E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70AE6544" w14:textId="1848624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D6FC3A2" w14:textId="7D1D7B1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73B10746" w14:textId="64EFFEE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970F82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2DEC9D0D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2BB7B12">
          <v:rect id="_x0000_i1054" style="width:0;height:1.5pt" o:hralign="center" o:hrstd="t" o:hr="t" fillcolor="#a0a0a0" stroked="f"/>
        </w:pict>
      </w:r>
    </w:p>
    <w:p w14:paraId="6951CDF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025874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1668C3FB" w14:textId="14E7C08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C3342E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659BB7FE" w14:textId="1A6649E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EE7E1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5567102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6DE3173B" w14:textId="3F544CF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BFF30B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47FBAC5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6D2EF1">
          <v:rect id="_x0000_i1055" style="width:0;height:1.5pt" o:hralign="center" o:hrstd="t" o:hr="t" fillcolor="#a0a0a0" stroked="f"/>
        </w:pict>
      </w:r>
    </w:p>
    <w:p w14:paraId="1D0EC49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Final Locked Benchmark Spec</w:t>
      </w:r>
    </w:p>
    <w:p w14:paraId="5A97D56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now fully defensible for Phase 0:</w:t>
      </w:r>
    </w:p>
    <w:p w14:paraId="0DE2AB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LFP Benchmark Pack:</w:t>
      </w:r>
      <w:r w:rsidRPr="004231BE">
        <w:rPr>
          <w:rFonts w:eastAsia="Times New Roman"/>
          <w:lang w:val="en-NG"/>
        </w:rPr>
        <w:br/>
        <w:t>51.2 V</w:t>
      </w:r>
      <w:r w:rsidRPr="004231BE">
        <w:rPr>
          <w:rFonts w:eastAsia="Times New Roman"/>
          <w:lang w:val="en-NG"/>
        </w:rPr>
        <w:br/>
        <w:t>100 Ah</w:t>
      </w:r>
      <w:r w:rsidRPr="004231BE">
        <w:rPr>
          <w:rFonts w:eastAsia="Times New Roman"/>
          <w:lang w:val="en-NG"/>
        </w:rPr>
        <w:br/>
        <w:t>5.12 kWh</w:t>
      </w:r>
      <w:r w:rsidRPr="004231BE">
        <w:rPr>
          <w:rFonts w:eastAsia="Times New Roman"/>
          <w:lang w:val="en-NG"/>
        </w:rPr>
        <w:br/>
        <w:t>16S1P</w:t>
      </w:r>
      <w:r w:rsidRPr="004231BE">
        <w:rPr>
          <w:rFonts w:eastAsia="Times New Roman"/>
          <w:lang w:val="en-NG"/>
        </w:rPr>
        <w:br/>
        <w:t>48 kg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C_th</w:t>
      </w:r>
      <w:proofErr w:type="spellEnd"/>
      <w:r w:rsidRPr="004231BE">
        <w:rPr>
          <w:rFonts w:eastAsia="Times New Roman"/>
          <w:lang w:val="en-NG"/>
        </w:rPr>
        <w:t xml:space="preserve"> = 45600 J/K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R_th</w:t>
      </w:r>
      <w:proofErr w:type="spellEnd"/>
      <w:r w:rsidRPr="004231BE">
        <w:rPr>
          <w:rFonts w:eastAsia="Times New Roman"/>
          <w:lang w:val="en-NG"/>
        </w:rPr>
        <w:t xml:space="preserve"> = 0.35 K/W</w:t>
      </w:r>
      <w:r w:rsidRPr="004231BE">
        <w:rPr>
          <w:rFonts w:eastAsia="Times New Roman"/>
          <w:lang w:val="en-NG"/>
        </w:rPr>
        <w:br/>
        <w:t>h = {6.5, 8.8}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T_cool</w:t>
      </w:r>
      <w:proofErr w:type="spellEnd"/>
      <w:r w:rsidRPr="004231BE">
        <w:rPr>
          <w:rFonts w:eastAsia="Times New Roman"/>
          <w:lang w:val="en-NG"/>
        </w:rPr>
        <w:t xml:space="preserve"> = 38°C</w:t>
      </w:r>
      <w:r w:rsidRPr="004231BE">
        <w:rPr>
          <w:rFonts w:eastAsia="Times New Roman"/>
          <w:lang w:val="en-NG"/>
        </w:rPr>
        <w:br/>
        <w:t>Cooling = PCM + heat pipe + emergency micro-blower</w:t>
      </w:r>
      <w:r w:rsidRPr="004231BE">
        <w:rPr>
          <w:rFonts w:eastAsia="Times New Roman"/>
          <w:lang w:val="en-NG"/>
        </w:rPr>
        <w:br/>
      </w:r>
      <w:r w:rsidRPr="004231BE">
        <w:rPr>
          <w:rFonts w:eastAsia="Times New Roman"/>
          <w:lang w:val="en-NG"/>
        </w:rPr>
        <w:lastRenderedPageBreak/>
        <w:t>Installation = residential solar-inverter ESS</w:t>
      </w:r>
      <w:r w:rsidRPr="004231BE">
        <w:rPr>
          <w:rFonts w:eastAsia="Times New Roman"/>
          <w:lang w:val="en-NG"/>
        </w:rPr>
        <w:br/>
        <w:t>Environment = coastal + harmattan</w:t>
      </w:r>
    </w:p>
    <w:p w14:paraId="4BD595B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0AE9F61">
          <v:rect id="_x0000_i1056" style="width:0;height:1.5pt" o:hralign="center" o:hrstd="t" o:hr="t" fillcolor="#a0a0a0" stroked="f"/>
        </w:pict>
      </w:r>
    </w:p>
    <w:p w14:paraId="36844CE7" w14:textId="77777777" w:rsidR="00B14B23" w:rsidRPr="00B14B23" w:rsidRDefault="004231BE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lang w:val="en-NG"/>
        </w:rPr>
        <w:t xml:space="preserve">This is now </w:t>
      </w:r>
      <w:r w:rsidRPr="004231BE">
        <w:rPr>
          <w:rFonts w:eastAsia="Times New Roman"/>
          <w:b/>
          <w:bCs/>
          <w:lang w:val="en-NG"/>
        </w:rPr>
        <w:t>research-grade and realistic for Nigerian deployment</w:t>
      </w:r>
      <w:r w:rsidRPr="004231BE">
        <w:rPr>
          <w:rFonts w:eastAsia="Times New Roman"/>
          <w:lang w:val="en-NG"/>
        </w:rPr>
        <w:t>.</w:t>
      </w:r>
      <w:r w:rsidR="00B14B23">
        <w:rPr>
          <w:rFonts w:eastAsia="Times New Roman"/>
          <w:lang w:val="en-NG"/>
        </w:rPr>
        <w:br/>
      </w:r>
      <w:r w:rsidR="00B14B23">
        <w:rPr>
          <w:rFonts w:eastAsia="Times New Roman"/>
          <w:lang w:val="en-NG"/>
        </w:rPr>
        <w:br/>
      </w:r>
      <w:r w:rsidR="00B14B23" w:rsidRPr="00B14B23">
        <w:rPr>
          <w:rFonts w:ascii="Segoe UI Emoji" w:eastAsia="Times New Roman" w:hAnsi="Segoe UI Emoji" w:cs="Segoe UI Emoji"/>
          <w:b/>
          <w:bCs/>
          <w:lang w:val="en-NG"/>
        </w:rPr>
        <w:t>🇳🇬</w:t>
      </w:r>
      <w:r w:rsidR="00B14B23" w:rsidRPr="00B14B23">
        <w:rPr>
          <w:rFonts w:eastAsia="Times New Roman"/>
          <w:b/>
          <w:bCs/>
          <w:lang w:val="en-NG"/>
        </w:rPr>
        <w:t xml:space="preserve"> Nigerian Grid &amp; Blackout Data (Empirical Basis)</w:t>
      </w:r>
    </w:p>
    <w:p w14:paraId="0C87018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1) Grid Collapses (System</w:t>
      </w:r>
      <w:r w:rsidRPr="00B14B23">
        <w:rPr>
          <w:rFonts w:eastAsia="Times New Roman"/>
          <w:b/>
          <w:bCs/>
          <w:lang w:val="en-NG"/>
        </w:rPr>
        <w:noBreakHyphen/>
        <w:t>wide Events)</w:t>
      </w:r>
    </w:p>
    <w:p w14:paraId="32534A9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of major grid collapses:</w:t>
      </w:r>
    </w:p>
    <w:p w14:paraId="4060C6C3" w14:textId="77777777" w:rsidR="00B14B23" w:rsidRPr="00B14B23" w:rsidRDefault="00B14B23" w:rsidP="00B14B23">
      <w:pPr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Reports indicate </w:t>
      </w:r>
      <w:r w:rsidRPr="00B14B23">
        <w:rPr>
          <w:rFonts w:eastAsia="Times New Roman"/>
          <w:b/>
          <w:bCs/>
          <w:lang w:val="en-NG"/>
        </w:rPr>
        <w:t>grid collapses more than 12 times in 2024</w:t>
      </w:r>
      <w:r w:rsidRPr="00B14B23">
        <w:rPr>
          <w:rFonts w:eastAsia="Times New Roman"/>
          <w:lang w:val="en-NG"/>
        </w:rPr>
        <w:t xml:space="preserve">. These include both partial and full system collapses documented by the regulator. </w:t>
      </w:r>
    </w:p>
    <w:p w14:paraId="5BB60D1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Causes of collapses:</w:t>
      </w:r>
    </w:p>
    <w:p w14:paraId="72220F69" w14:textId="77777777" w:rsidR="00B14B23" w:rsidRPr="00B14B23" w:rsidRDefault="00B14B23" w:rsidP="00B14B23">
      <w:pPr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Voltage and frequency instability periodically violating grid code bands. </w:t>
      </w:r>
    </w:p>
    <w:p w14:paraId="1FB63558" w14:textId="4253D50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This gives a baseline of disturbance events 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=1</m:t>
        </m:r>
      </m:oMath>
      <w:r w:rsidRPr="00B14B23">
        <w:rPr>
          <w:rFonts w:eastAsia="Times New Roman"/>
          <w:lang w:val="en-NG"/>
        </w:rPr>
        <w:t>for nationwide disruptions.</w:t>
      </w:r>
    </w:p>
    <w:p w14:paraId="2C2930BC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pict w14:anchorId="1A92ADA8">
          <v:rect id="_x0000_i1231" style="width:0;height:1.5pt" o:hralign="center" o:hrstd="t" o:hr="t" fillcolor="#a0a0a0" stroked="f"/>
        </w:pict>
      </w:r>
    </w:p>
    <w:p w14:paraId="433F65E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2) Household Blackout Experience (Operational Impact)</w:t>
      </w:r>
    </w:p>
    <w:p w14:paraId="72342A7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Based on the latest </w:t>
      </w:r>
      <w:r w:rsidRPr="00B14B23">
        <w:rPr>
          <w:rFonts w:eastAsia="Times New Roman"/>
          <w:b/>
          <w:bCs/>
          <w:lang w:val="en-NG"/>
        </w:rPr>
        <w:t>General Household Survey Panel (NBS/World Bank)</w:t>
      </w:r>
      <w:r w:rsidRPr="00B14B23">
        <w:rPr>
          <w:rFonts w:eastAsia="Times New Roman"/>
          <w:lang w:val="en-NG"/>
        </w:rPr>
        <w:t>:</w:t>
      </w:r>
    </w:p>
    <w:p w14:paraId="564D631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frequency of blackout occurrences: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6.7 outages per week</w:t>
      </w:r>
      <w:r w:rsidRPr="00B14B23">
        <w:rPr>
          <w:rFonts w:eastAsia="Times New Roman"/>
          <w:lang w:val="en-NG"/>
        </w:rPr>
        <w:t xml:space="preserve"> per household. </w:t>
      </w:r>
    </w:p>
    <w:p w14:paraId="71DEE648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duration per outage: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12 hours</w:t>
      </w:r>
      <w:r w:rsidRPr="00B14B23">
        <w:rPr>
          <w:rFonts w:eastAsia="Times New Roman"/>
          <w:lang w:val="en-NG"/>
        </w:rPr>
        <w:t xml:space="preserve">. </w:t>
      </w:r>
    </w:p>
    <w:p w14:paraId="0F35473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Total blackout exposure per week:</w:t>
      </w:r>
      <w:r w:rsidRPr="00B14B23">
        <w:rPr>
          <w:rFonts w:eastAsia="Times New Roman"/>
          <w:lang w:val="en-NG"/>
        </w:rPr>
        <w:t xml:space="preserve"> ~67.2 hours. </w:t>
      </w:r>
    </w:p>
    <w:p w14:paraId="09F950DD" w14:textId="521D078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 xml:space="preserve">Annualizing for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  <w:proofErr w:type="gramEnd"/>
          </m:sub>
        </m:sSub>
      </m:oMath>
      <w:r w:rsidRPr="00B14B23">
        <w:rPr>
          <w:rFonts w:eastAsia="Times New Roman"/>
          <w:b/>
          <w:bCs/>
          <w:lang w:val="en-NG"/>
        </w:rPr>
        <w:t>use:</w:t>
      </w:r>
    </w:p>
    <w:p w14:paraId="3C9FDFE3" w14:textId="2DF32DCB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Annual average blackout events</m:t>
          </m:r>
          <m:r>
            <w:rPr>
              <w:rFonts w:ascii="Cambria Math" w:eastAsia="Times New Roman" w:hAnsi="Cambria Math"/>
              <w:lang w:val="en-NG"/>
            </w:rPr>
            <m:t>≈6.7×52≈350</m:t>
          </m:r>
          <m:r>
            <m:rPr>
              <m:nor/>
            </m:rPr>
            <w:rPr>
              <w:rFonts w:eastAsia="Times New Roman"/>
              <w:lang w:val="en-NG"/>
            </w:rPr>
            <m:t xml:space="preserve"> outages/year</m:t>
          </m:r>
          <m:r>
            <w:rPr>
              <w:rFonts w:eastAsia="Times New Roman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Average blackout hours/year</m:t>
          </m:r>
          <m:r>
            <w:rPr>
              <w:rFonts w:ascii="Cambria Math" w:eastAsia="Times New Roman" w:hAnsi="Cambria Math"/>
              <w:lang w:val="en-NG"/>
            </w:rPr>
            <m:t>≈67.2×52≈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3,494</m:t>
          </m:r>
          <m:r>
            <m:rPr>
              <m:nor/>
            </m:rPr>
            <w:rPr>
              <w:rFonts w:eastAsia="Times New Roman"/>
              <w:lang w:val="en-NG"/>
            </w:rPr>
            <m:t xml:space="preserve"> hours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5C5CEAB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This gives you real values for blackout frequency and duration to use in your weighting functions.</w:t>
      </w:r>
    </w:p>
    <w:p w14:paraId="73A66EB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pict w14:anchorId="081CBBC2">
          <v:rect id="_x0000_i1232" style="width:0;height:1.5pt" o:hralign="center" o:hrstd="t" o:hr="t" fillcolor="#a0a0a0" stroked="f"/>
        </w:pict>
      </w:r>
    </w:p>
    <w:p w14:paraId="52F22757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lastRenderedPageBreak/>
        <w:t>📌</w:t>
      </w:r>
      <w:r w:rsidRPr="00B14B23">
        <w:rPr>
          <w:rFonts w:eastAsia="Times New Roman"/>
          <w:b/>
          <w:bCs/>
          <w:lang w:val="en-NG"/>
        </w:rPr>
        <w:t xml:space="preserve"> 3) Voltage &amp; Frequency Deviations (Power Quality Stress)</w:t>
      </w:r>
    </w:p>
    <w:p w14:paraId="2EDC0BC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Regulatory data from NERC performance reports show:</w:t>
      </w:r>
    </w:p>
    <w:p w14:paraId="4ABB81BE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performance often outside acceptable band:</w:t>
      </w:r>
      <w:r w:rsidRPr="00B14B23">
        <w:rPr>
          <w:rFonts w:eastAsia="Times New Roman"/>
          <w:lang w:val="en-NG"/>
        </w:rPr>
        <w:br/>
        <w:t>– Average lower frequency ~49.03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Average higher frequency ~50.66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Target band is 49.75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50.25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Hz. </w:t>
      </w:r>
    </w:p>
    <w:p w14:paraId="166D2A52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Voltage variations:</w:t>
      </w:r>
      <w:r w:rsidRPr="00B14B23">
        <w:rPr>
          <w:rFonts w:eastAsia="Times New Roman"/>
          <w:lang w:val="en-NG"/>
        </w:rPr>
        <w:br/>
        <w:t>– Voltages recorded below and above target band of 313.50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346.50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kV on the 330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kV network. </w:t>
      </w:r>
    </w:p>
    <w:p w14:paraId="74FD4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Representative deviations to use in severity index:</w:t>
      </w:r>
    </w:p>
    <w:p w14:paraId="346DAE7C" w14:textId="3747F7D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r>
            <w:rPr>
              <w:rFonts w:ascii="Cambria Math" w:eastAsia="Times New Roman" w:hAnsi="Cambria Math"/>
              <w:lang w:val="en-NG"/>
            </w:rPr>
            <m:t>f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49.03-50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=0.97</m:t>
          </m:r>
          <m:r>
            <m:rPr>
              <m:nor/>
            </m:rPr>
            <w:rPr>
              <w:rFonts w:ascii="Arial" w:eastAsia="Times New Roman" w:hAnsi="Arial" w:cs="Arial"/>
              <w:lang w:val="en-NG"/>
            </w:rPr>
            <m:t> </m:t>
          </m:r>
          <m:r>
            <w:rPr>
              <w:rFonts w:ascii="Cambria Math" w:eastAsia="Times New Roman" w:hAnsi="Cambria Math"/>
              <w:lang w:val="en-NG"/>
            </w:rPr>
            <m:t>Hz</m:t>
          </m:r>
          <m:r>
            <w:rPr>
              <w:rFonts w:eastAsia="Times New Roman"/>
              <w:i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Voltage deviation</m:t>
          </m:r>
          <m:r>
            <w:rPr>
              <w:rFonts w:ascii="Cambria Math" w:eastAsia="Times New Roman" w:hAnsi="Cambria Math"/>
              <w:lang w:val="en-NG"/>
            </w:rPr>
            <m:t>≈∣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294.55-330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330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∣≈0.11</m:t>
          </m:r>
          <m:r>
            <m:rPr>
              <m:nor/>
            </m:rPr>
            <w:rPr>
              <w:rFonts w:eastAsia="Times New Roman"/>
              <w:lang w:val="en-NG"/>
            </w:rPr>
            <m:t xml:space="preserve"> pu</m:t>
          </m:r>
          <m:r>
            <w:rPr>
              <w:rFonts w:ascii="Cambria Math" w:eastAsia="Times New Roman" w:hAnsi="Cambria Math"/>
              <w:lang w:val="en-NG"/>
            </w:rPr>
            <m:t>(11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%</m:t>
          </m:r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6ECBA3FC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pict w14:anchorId="515BBE05">
          <v:rect id="_x0000_i1233" style="width:0;height:1.5pt" o:hralign="center" o:hrstd="t" o:hr="t" fillcolor="#a0a0a0" stroked="f"/>
        </w:pict>
      </w:r>
    </w:p>
    <w:p w14:paraId="155EEBB1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📊</w:t>
      </w:r>
      <w:r w:rsidRPr="00B14B23">
        <w:rPr>
          <w:rFonts w:eastAsia="Times New Roman"/>
          <w:b/>
          <w:bCs/>
          <w:lang w:val="en-NG"/>
        </w:rPr>
        <w:t xml:space="preserve"> Combine into Your Grid Disturbance Coefficient</w:t>
      </w:r>
    </w:p>
    <w:p w14:paraId="7584A39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Recall your index definition:</w:t>
      </w:r>
    </w:p>
    <w:p w14:paraId="7C83C957" w14:textId="5B8413AB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66CFF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Choose sensible weights for environmental stress:</w:t>
      </w:r>
    </w:p>
    <w:p w14:paraId="54178C80" w14:textId="09C4CD34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α=0.5</m:t>
        </m:r>
      </m:oMath>
      <w:r w:rsidRPr="00B14B23">
        <w:rPr>
          <w:rFonts w:eastAsia="Times New Roman"/>
          <w:lang w:val="en-NG"/>
        </w:rPr>
        <w:t xml:space="preserve">(per % voltage deviation) </w:t>
      </w:r>
    </w:p>
    <w:p w14:paraId="2675F2F4" w14:textId="1084F6AB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β=2.0</m:t>
        </m:r>
      </m:oMath>
      <w:r w:rsidRPr="00B14B23">
        <w:rPr>
          <w:rFonts w:eastAsia="Times New Roman"/>
          <w:lang w:val="en-NG"/>
        </w:rPr>
        <w:t xml:space="preserve">(per Hz frequency deviation) </w:t>
      </w:r>
    </w:p>
    <w:p w14:paraId="15F63610" w14:textId="32BD53F5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γ=10</m:t>
        </m:r>
      </m:oMath>
      <w:r w:rsidRPr="00B14B23">
        <w:rPr>
          <w:rFonts w:eastAsia="Times New Roman"/>
          <w:lang w:val="en-NG"/>
        </w:rPr>
        <w:t xml:space="preserve">(significant penalty for a blackout) </w:t>
      </w:r>
    </w:p>
    <w:p w14:paraId="2184B8DD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Now, plug in the </w:t>
      </w:r>
      <w:r w:rsidRPr="00B14B23">
        <w:rPr>
          <w:rFonts w:eastAsia="Times New Roman"/>
          <w:b/>
          <w:bCs/>
          <w:lang w:val="en-NG"/>
        </w:rPr>
        <w:t>grid data</w:t>
      </w:r>
      <w:r w:rsidRPr="00B14B23">
        <w:rPr>
          <w:rFonts w:eastAsia="Times New Roman"/>
          <w:lang w:val="en-NG"/>
        </w:rPr>
        <w:t>:</w:t>
      </w:r>
    </w:p>
    <w:p w14:paraId="7BB4C0D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A — Blackout Event</w:t>
      </w:r>
    </w:p>
    <w:p w14:paraId="6056C7AD" w14:textId="5195BE9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(where </w:t>
      </w:r>
      <m:oMath>
        <m:r>
          <w:rPr>
            <w:rFonts w:ascii="Cambria Math" w:eastAsia="Times New Roman" w:hAnsi="Cambria Math"/>
            <w:lang w:val="en-NG"/>
          </w:rPr>
          <m:t>B=1</m:t>
        </m:r>
      </m:oMath>
      <w:r w:rsidRPr="00B14B23">
        <w:rPr>
          <w:rFonts w:eastAsia="Times New Roman"/>
          <w:lang w:val="en-NG"/>
        </w:rPr>
        <w:t>, typical frequency &amp; voltage excursions)</w:t>
      </w:r>
    </w:p>
    <w:p w14:paraId="7C373473" w14:textId="685A17AA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collapse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=0.5(11)+2.0(0.97)+10(1)=5.5+1.94+10=17.44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6CE4229A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B — Non</w:t>
      </w:r>
      <w:r w:rsidRPr="00B14B23">
        <w:rPr>
          <w:rFonts w:eastAsia="Times New Roman"/>
          <w:b/>
          <w:bCs/>
          <w:lang w:val="en-NG"/>
        </w:rPr>
        <w:noBreakHyphen/>
        <w:t>collapse but Severe Disturbance</w:t>
      </w:r>
    </w:p>
    <w:p w14:paraId="07104D7C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lastRenderedPageBreak/>
        <w:t>(where grid stays up but has large PQ deviations)</w:t>
      </w:r>
    </w:p>
    <w:p w14:paraId="177931F1" w14:textId="136A7A61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disturb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=0.5(11)+2.0(0.97)+0=5.5+1.94=7.44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1F7D9E41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pict w14:anchorId="479596AA">
          <v:rect id="_x0000_i1234" style="width:0;height:1.5pt" o:hralign="center" o:hrstd="t" o:hr="t" fillcolor="#a0a0a0" stroked="f"/>
        </w:pict>
      </w:r>
    </w:p>
    <w:p w14:paraId="312CE3D4" w14:textId="61DFBA4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📈</w:t>
      </w:r>
      <w:r w:rsidRPr="00B14B23">
        <w:rPr>
          <w:rFonts w:eastAsia="Times New Roman"/>
          <w:b/>
          <w:bCs/>
          <w:lang w:val="en-NG"/>
        </w:rPr>
        <w:t xml:space="preserve"> Estimated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eastAsia="Times New Roman"/>
                <w:b/>
                <w:bCs/>
                <w:lang w:val="en-NG"/>
              </w:rPr>
              <m:t>grid,env</m:t>
            </m:r>
            <w:proofErr w:type="gramEnd"/>
          </m:sub>
        </m:sSub>
      </m:oMath>
      <w:r w:rsidRPr="00B14B23">
        <w:rPr>
          <w:rFonts w:eastAsia="Times New Roman"/>
          <w:b/>
          <w:bCs/>
          <w:lang w:val="en-NG"/>
        </w:rPr>
        <w:t>Over a Year</w:t>
      </w:r>
    </w:p>
    <w:p w14:paraId="222D090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Using the empirical frequency of outages and disturbances:</w:t>
      </w:r>
    </w:p>
    <w:p w14:paraId="34C0BA59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350 blackout events/year</w:t>
      </w:r>
      <w:r w:rsidRPr="00B14B23">
        <w:rPr>
          <w:rFonts w:eastAsia="Times New Roman"/>
          <w:lang w:val="en-NG"/>
        </w:rPr>
        <w:t xml:space="preserve"> </w:t>
      </w:r>
    </w:p>
    <w:p w14:paraId="60B9A985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ancillary large PQ deviations ~ 700 events/year</w:t>
      </w:r>
      <w:r w:rsidRPr="00B14B23">
        <w:rPr>
          <w:rFonts w:eastAsia="Times New Roman"/>
          <w:lang w:val="en-NG"/>
        </w:rPr>
        <w:t xml:space="preserve"> (household experience basis scaled) </w:t>
      </w:r>
    </w:p>
    <w:p w14:paraId="4DA92E34" w14:textId="515AF9DA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Total sample </w:t>
      </w:r>
      <m:oMath>
        <m:r>
          <w:rPr>
            <w:rFonts w:ascii="Cambria Math" w:eastAsia="Times New Roman" w:hAnsi="Cambria Math"/>
            <w:lang w:val="en-NG"/>
          </w:rPr>
          <m:t>N=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1,050</m:t>
        </m:r>
      </m:oMath>
    </w:p>
    <w:p w14:paraId="6E5E6764" w14:textId="09BCEE1C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350(17.44)+700(7.44)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6,104</m:t>
              </m:r>
              <m:r>
                <w:rPr>
                  <w:rFonts w:ascii="Cambria Math" w:eastAsia="Times New Roman" w:hAnsi="Cambria Math"/>
                  <w:lang w:val="en-NG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5,208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≈10.75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36B153C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pict w14:anchorId="50C1D139">
          <v:rect id="_x0000_i1235" style="width:0;height:1.5pt" o:hralign="center" o:hrstd="t" o:hr="t" fillcolor="#a0a0a0" stroked="f"/>
        </w:pict>
      </w:r>
    </w:p>
    <w:p w14:paraId="4BE6C04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Final Reference Values for Your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3189"/>
      </w:tblGrid>
      <w:tr w:rsidR="00B14B23" w:rsidRPr="00B14B23" w14:paraId="4A3FC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6BEB63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D32359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Value (empirically grounded)</w:t>
            </w:r>
          </w:p>
        </w:tc>
      </w:tr>
      <w:tr w:rsidR="00B14B23" w:rsidRPr="00B14B23" w14:paraId="37A76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F65DB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blackouts per year</w:t>
            </w:r>
          </w:p>
        </w:tc>
        <w:tc>
          <w:tcPr>
            <w:tcW w:w="0" w:type="auto"/>
            <w:vAlign w:val="center"/>
            <w:hideMark/>
          </w:tcPr>
          <w:p w14:paraId="1A33288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~350 events/year </w:t>
            </w:r>
          </w:p>
        </w:tc>
      </w:tr>
      <w:tr w:rsidR="00B14B23" w:rsidRPr="00B14B23" w14:paraId="13699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2A9F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outage duration</w:t>
            </w:r>
          </w:p>
        </w:tc>
        <w:tc>
          <w:tcPr>
            <w:tcW w:w="0" w:type="auto"/>
            <w:vAlign w:val="center"/>
            <w:hideMark/>
          </w:tcPr>
          <w:p w14:paraId="7F26ED46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~3,494 hours/year </w:t>
            </w:r>
          </w:p>
        </w:tc>
      </w:tr>
      <w:tr w:rsidR="00B14B23" w:rsidRPr="00B14B23" w14:paraId="6A913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A8C40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Typical </w:t>
            </w:r>
            <w:proofErr w:type="spellStart"/>
            <w:r w:rsidRPr="00B14B23">
              <w:rPr>
                <w:rFonts w:eastAsia="Times New Roman"/>
                <w:lang w:val="en-NG"/>
              </w:rPr>
              <w:t>freq</w:t>
            </w:r>
            <w:proofErr w:type="spellEnd"/>
            <w:r w:rsidRPr="00B14B23">
              <w:rPr>
                <w:rFonts w:eastAsia="Times New Roman"/>
                <w:lang w:val="en-NG"/>
              </w:rPr>
              <w:t xml:space="preserve"> deviation</w:t>
            </w:r>
          </w:p>
        </w:tc>
        <w:tc>
          <w:tcPr>
            <w:tcW w:w="0" w:type="auto"/>
            <w:vAlign w:val="center"/>
            <w:hideMark/>
          </w:tcPr>
          <w:p w14:paraId="0AD3633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~0.97</w:t>
            </w:r>
            <w:r w:rsidRPr="00B14B23">
              <w:rPr>
                <w:rFonts w:ascii="Arial" w:eastAsia="Times New Roman" w:hAnsi="Arial" w:cs="Arial"/>
                <w:lang w:val="en-NG"/>
              </w:rPr>
              <w:t> </w:t>
            </w:r>
            <w:r w:rsidRPr="00B14B23">
              <w:rPr>
                <w:rFonts w:eastAsia="Times New Roman"/>
                <w:lang w:val="en-NG"/>
              </w:rPr>
              <w:t xml:space="preserve">Hz beyond nominal </w:t>
            </w:r>
          </w:p>
        </w:tc>
      </w:tr>
      <w:tr w:rsidR="00B14B23" w:rsidRPr="00B14B23" w14:paraId="7492A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314A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Typical voltage deviation</w:t>
            </w:r>
          </w:p>
        </w:tc>
        <w:tc>
          <w:tcPr>
            <w:tcW w:w="0" w:type="auto"/>
            <w:vAlign w:val="center"/>
            <w:hideMark/>
          </w:tcPr>
          <w:p w14:paraId="0B6D20D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~11% outside band </w:t>
            </w:r>
          </w:p>
        </w:tc>
      </w:tr>
      <w:tr w:rsidR="00B14B23" w:rsidRPr="00B14B23" w14:paraId="2BA2B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050B3" w14:textId="2511A3F4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eastAsia="Times New Roman"/>
                      <w:lang w:val="en-NG"/>
                    </w:rPr>
                    <m:t>grid,env</m:t>
                  </m:r>
                </m:sub>
              </m:sSub>
            </m:oMath>
            <w:r w:rsidRPr="00B14B23">
              <w:rPr>
                <w:rFonts w:eastAsia="Times New Roman"/>
                <w:lang w:val="en-NG"/>
              </w:rPr>
              <w:t>(reference)</w:t>
            </w:r>
          </w:p>
        </w:tc>
        <w:tc>
          <w:tcPr>
            <w:tcW w:w="0" w:type="auto"/>
            <w:vAlign w:val="center"/>
            <w:hideMark/>
          </w:tcPr>
          <w:p w14:paraId="1EF4AD2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~10.7 (dimensionless)</w:t>
            </w:r>
          </w:p>
        </w:tc>
      </w:tr>
    </w:tbl>
    <w:p w14:paraId="5BDD290D" w14:textId="1D4BE024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sectPr w:rsidR="004231BE" w:rsidRPr="004231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C2E50"/>
    <w:multiLevelType w:val="multilevel"/>
    <w:tmpl w:val="B83C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25DE"/>
    <w:multiLevelType w:val="multilevel"/>
    <w:tmpl w:val="D1B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6E5678"/>
    <w:multiLevelType w:val="multilevel"/>
    <w:tmpl w:val="EB0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17"/>
  </w:num>
  <w:num w:numId="3" w16cid:durableId="1230188262">
    <w:abstractNumId w:val="30"/>
  </w:num>
  <w:num w:numId="4" w16cid:durableId="356350202">
    <w:abstractNumId w:val="10"/>
  </w:num>
  <w:num w:numId="5" w16cid:durableId="1406217677">
    <w:abstractNumId w:val="15"/>
  </w:num>
  <w:num w:numId="6" w16cid:durableId="1354763918">
    <w:abstractNumId w:val="26"/>
  </w:num>
  <w:num w:numId="7" w16cid:durableId="497427797">
    <w:abstractNumId w:val="4"/>
  </w:num>
  <w:num w:numId="8" w16cid:durableId="797333824">
    <w:abstractNumId w:val="29"/>
  </w:num>
  <w:num w:numId="9" w16cid:durableId="1902208320">
    <w:abstractNumId w:val="35"/>
  </w:num>
  <w:num w:numId="10" w16cid:durableId="130949886">
    <w:abstractNumId w:val="22"/>
  </w:num>
  <w:num w:numId="11" w16cid:durableId="746465158">
    <w:abstractNumId w:val="37"/>
  </w:num>
  <w:num w:numId="12" w16cid:durableId="98566657">
    <w:abstractNumId w:val="9"/>
  </w:num>
  <w:num w:numId="13" w16cid:durableId="1133870973">
    <w:abstractNumId w:val="3"/>
  </w:num>
  <w:num w:numId="14" w16cid:durableId="516968894">
    <w:abstractNumId w:val="13"/>
  </w:num>
  <w:num w:numId="15" w16cid:durableId="1185172572">
    <w:abstractNumId w:val="7"/>
  </w:num>
  <w:num w:numId="16" w16cid:durableId="1082216947">
    <w:abstractNumId w:val="38"/>
  </w:num>
  <w:num w:numId="17" w16cid:durableId="1864199205">
    <w:abstractNumId w:val="23"/>
  </w:num>
  <w:num w:numId="18" w16cid:durableId="860971719">
    <w:abstractNumId w:val="2"/>
  </w:num>
  <w:num w:numId="19" w16cid:durableId="1069881967">
    <w:abstractNumId w:val="28"/>
  </w:num>
  <w:num w:numId="20" w16cid:durableId="856306537">
    <w:abstractNumId w:val="24"/>
  </w:num>
  <w:num w:numId="21" w16cid:durableId="58021535">
    <w:abstractNumId w:val="19"/>
  </w:num>
  <w:num w:numId="22" w16cid:durableId="669408129">
    <w:abstractNumId w:val="14"/>
  </w:num>
  <w:num w:numId="23" w16cid:durableId="102505771">
    <w:abstractNumId w:val="5"/>
  </w:num>
  <w:num w:numId="24" w16cid:durableId="1957442059">
    <w:abstractNumId w:val="6"/>
  </w:num>
  <w:num w:numId="25" w16cid:durableId="2017270186">
    <w:abstractNumId w:val="27"/>
  </w:num>
  <w:num w:numId="26" w16cid:durableId="1924411317">
    <w:abstractNumId w:val="21"/>
  </w:num>
  <w:num w:numId="27" w16cid:durableId="1751272719">
    <w:abstractNumId w:val="33"/>
  </w:num>
  <w:num w:numId="28" w16cid:durableId="1621376365">
    <w:abstractNumId w:val="36"/>
  </w:num>
  <w:num w:numId="29" w16cid:durableId="993098774">
    <w:abstractNumId w:val="25"/>
  </w:num>
  <w:num w:numId="30" w16cid:durableId="243800027">
    <w:abstractNumId w:val="11"/>
  </w:num>
  <w:num w:numId="31" w16cid:durableId="1783723770">
    <w:abstractNumId w:val="31"/>
  </w:num>
  <w:num w:numId="32" w16cid:durableId="2046558528">
    <w:abstractNumId w:val="18"/>
  </w:num>
  <w:num w:numId="33" w16cid:durableId="585261572">
    <w:abstractNumId w:val="39"/>
  </w:num>
  <w:num w:numId="34" w16cid:durableId="148864720">
    <w:abstractNumId w:val="34"/>
  </w:num>
  <w:num w:numId="35" w16cid:durableId="78599315">
    <w:abstractNumId w:val="16"/>
  </w:num>
  <w:num w:numId="36" w16cid:durableId="898975410">
    <w:abstractNumId w:val="12"/>
  </w:num>
  <w:num w:numId="37" w16cid:durableId="2005546783">
    <w:abstractNumId w:val="20"/>
  </w:num>
  <w:num w:numId="38" w16cid:durableId="233659480">
    <w:abstractNumId w:val="8"/>
  </w:num>
  <w:num w:numId="39" w16cid:durableId="1840538163">
    <w:abstractNumId w:val="32"/>
  </w:num>
  <w:num w:numId="40" w16cid:durableId="905458847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410E4D"/>
    <w:rsid w:val="00414F1F"/>
    <w:rsid w:val="00421E16"/>
    <w:rsid w:val="004231BE"/>
    <w:rsid w:val="00423A43"/>
    <w:rsid w:val="00433961"/>
    <w:rsid w:val="004557DF"/>
    <w:rsid w:val="00471014"/>
    <w:rsid w:val="004C57A9"/>
    <w:rsid w:val="004C68B4"/>
    <w:rsid w:val="004D6104"/>
    <w:rsid w:val="004E7F32"/>
    <w:rsid w:val="0050155D"/>
    <w:rsid w:val="005048AB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81591"/>
    <w:rsid w:val="006A30A3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4009D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A01EE7"/>
    <w:rsid w:val="00A544FF"/>
    <w:rsid w:val="00A81401"/>
    <w:rsid w:val="00B044C5"/>
    <w:rsid w:val="00B07C07"/>
    <w:rsid w:val="00B12F12"/>
    <w:rsid w:val="00B14B23"/>
    <w:rsid w:val="00B20439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BF6499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15B86"/>
    <w:rsid w:val="00D20F20"/>
    <w:rsid w:val="00D30B0A"/>
    <w:rsid w:val="00D63492"/>
    <w:rsid w:val="00D8291D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51C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6496"/>
    <w:rsid w:val="00F52255"/>
    <w:rsid w:val="00F73417"/>
    <w:rsid w:val="00F83F9D"/>
    <w:rsid w:val="00FA4424"/>
    <w:rsid w:val="00FA7E37"/>
    <w:rsid w:val="00FB3EF2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25</Pages>
  <Words>3178</Words>
  <Characters>18121</Characters>
  <Application>Microsoft Office Word</Application>
  <DocSecurity>0</DocSecurity>
  <Lines>151</Lines>
  <Paragraphs>42</Paragraphs>
  <ScaleCrop>false</ScaleCrop>
  <Company/>
  <LinksUpToDate>false</LinksUpToDate>
  <CharactersWithSpaces>21257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165</cp:revision>
  <dcterms:created xsi:type="dcterms:W3CDTF">2026-03-05T12:01:00Z</dcterms:created>
  <dcterms:modified xsi:type="dcterms:W3CDTF">2026-04-02T00:00:00Z</dcterms:modified>
</cp:coreProperties>
</file>