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DA7AC" w14:textId="1715D2CB" w:rsidR="00FA7E37" w:rsidRPr="00D14EA4" w:rsidRDefault="002F421F" w:rsidP="00496109">
      <w:pPr>
        <w:pStyle w:val="Subtitle"/>
        <w:jc w:val="center"/>
        <w:rPr>
          <w:rFonts w:ascii="Times New Roman" w:hAnsi="Times New Roman" w:cs="Times New Roman"/>
          <w:b/>
          <w:sz w:val="24"/>
        </w:rPr>
      </w:pPr>
      <w:r w:rsidRPr="00107CAC">
        <w:rPr>
          <w:rFonts w:ascii="Times New Roman" w:hAnsi="Times New Roman" w:cs="Times New Roman"/>
          <w:b/>
          <w:sz w:val="24"/>
        </w:rPr>
        <w:t>CLIMATE-AWARE SYSTEM MODELING AND PERFORMANCE OPTIMIZATION OF SODIUM-ION BATTERY ENERGY STORAGE SYSTEMS FOR DEVELOPING EQUATORIAL GRIDS: A NIGERIAN CASE STUDY</w:t>
      </w:r>
      <w:r w:rsidR="00FA7E37" w:rsidRPr="00D14EA4">
        <w:rPr>
          <w:rFonts w:ascii="Times New Roman" w:hAnsi="Times New Roman" w:cs="Times New Roman"/>
          <w:b/>
          <w:kern w:val="28"/>
          <w:sz w:val="24"/>
        </w:rPr>
        <w:t xml:space="preserve"> </w:t>
      </w:r>
    </w:p>
    <w:p w14:paraId="4A4652E4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rPr>
          <w:rFonts w:ascii="Times New Roman" w:hAnsi="Times New Roman" w:cs="Times New Roman"/>
        </w:rPr>
      </w:pPr>
    </w:p>
    <w:p w14:paraId="06E6D3C4" w14:textId="77777777" w:rsidR="00FA7E37" w:rsidRPr="00D14EA4" w:rsidRDefault="00FA7E37" w:rsidP="00496109">
      <w:pPr>
        <w:pStyle w:val="Author"/>
        <w:pBdr>
          <w:bottom w:val="none" w:sz="0" w:space="0" w:color="auto"/>
        </w:pBdr>
        <w:jc w:val="center"/>
        <w:rPr>
          <w:rFonts w:ascii="Times New Roman" w:hAnsi="Times New Roman" w:cs="Times New Roman"/>
          <w:b/>
        </w:rPr>
      </w:pPr>
      <w:r w:rsidRPr="00D14EA4">
        <w:rPr>
          <w:rFonts w:ascii="Times New Roman" w:hAnsi="Times New Roman" w:cs="Times New Roman"/>
          <w:b/>
        </w:rPr>
        <w:t>A PROPOSAL</w:t>
      </w:r>
    </w:p>
    <w:p w14:paraId="6056BEFF" w14:textId="77777777" w:rsidR="00FA7E37" w:rsidRDefault="00FA7E37" w:rsidP="00496109">
      <w:pPr>
        <w:jc w:val="center"/>
        <w:rPr>
          <w:b/>
        </w:rPr>
      </w:pPr>
    </w:p>
    <w:p w14:paraId="7AEA30B3" w14:textId="77777777" w:rsidR="00FA7E37" w:rsidRDefault="00FA7E37" w:rsidP="00496109">
      <w:pPr>
        <w:jc w:val="center"/>
        <w:rPr>
          <w:b/>
        </w:rPr>
      </w:pPr>
    </w:p>
    <w:p w14:paraId="055B2ABB" w14:textId="77777777" w:rsidR="00FA7E37" w:rsidRDefault="00FA7E37" w:rsidP="00496109">
      <w:pPr>
        <w:jc w:val="center"/>
        <w:rPr>
          <w:b/>
        </w:rPr>
      </w:pPr>
    </w:p>
    <w:p w14:paraId="15830A66" w14:textId="77777777" w:rsidR="00FA7E37" w:rsidRPr="001E65DF" w:rsidRDefault="00FA7E37" w:rsidP="00496109">
      <w:pPr>
        <w:jc w:val="center"/>
        <w:rPr>
          <w:b/>
        </w:rPr>
      </w:pPr>
      <w:r w:rsidRPr="001E65DF">
        <w:rPr>
          <w:b/>
        </w:rPr>
        <w:t>BY</w:t>
      </w:r>
    </w:p>
    <w:p w14:paraId="5F32A2F3" w14:textId="77777777" w:rsidR="00FA7E37" w:rsidRDefault="00FA7E37" w:rsidP="00496109">
      <w:pPr>
        <w:jc w:val="center"/>
        <w:rPr>
          <w:b/>
        </w:rPr>
      </w:pPr>
      <w:r w:rsidRPr="001E65DF">
        <w:rPr>
          <w:b/>
        </w:rPr>
        <w:t>PAUL CHINONSO IREM</w:t>
      </w:r>
    </w:p>
    <w:p w14:paraId="34A23173" w14:textId="77777777" w:rsidR="00FA7E37" w:rsidRPr="001E65DF" w:rsidRDefault="00FA7E37" w:rsidP="00496109">
      <w:pPr>
        <w:jc w:val="center"/>
        <w:rPr>
          <w:b/>
        </w:rPr>
      </w:pPr>
      <w:r>
        <w:rPr>
          <w:b/>
        </w:rPr>
        <w:t>U19EE1013</w:t>
      </w:r>
    </w:p>
    <w:p w14:paraId="4D4FD53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0AB31039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12821681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3A60465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3034CA4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20A001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35542E07" w14:textId="77777777" w:rsidR="00FA7E37" w:rsidRDefault="00FA7E37" w:rsidP="00496109">
      <w:pPr>
        <w:pStyle w:val="Author"/>
        <w:spacing w:line="480" w:lineRule="auto"/>
        <w:rPr>
          <w:rFonts w:ascii="Times New Roman" w:hAnsi="Times New Roman" w:cs="Times New Roman"/>
        </w:rPr>
      </w:pPr>
    </w:p>
    <w:p w14:paraId="79769D21" w14:textId="77777777" w:rsidR="00FA7E37" w:rsidRPr="00966A90" w:rsidRDefault="00FA7E37" w:rsidP="00496109">
      <w:pPr>
        <w:pStyle w:val="Author"/>
        <w:spacing w:line="480" w:lineRule="auto"/>
        <w:jc w:val="center"/>
        <w:rPr>
          <w:rFonts w:ascii="Times New Roman" w:hAnsi="Times New Roman" w:cs="Times New Roman"/>
          <w:b/>
        </w:rPr>
      </w:pPr>
      <w:proofErr w:type="gramStart"/>
      <w:r w:rsidRPr="00966A90">
        <w:rPr>
          <w:rFonts w:ascii="Times New Roman" w:hAnsi="Times New Roman" w:cs="Times New Roman"/>
          <w:b/>
        </w:rPr>
        <w:t>MARCH,</w:t>
      </w:r>
      <w:proofErr w:type="gramEnd"/>
      <w:r w:rsidRPr="00966A90">
        <w:rPr>
          <w:rFonts w:ascii="Times New Roman" w:hAnsi="Times New Roman" w:cs="Times New Roman"/>
          <w:b/>
        </w:rPr>
        <w:t xml:space="preserve"> 2026</w:t>
      </w:r>
    </w:p>
    <w:p w14:paraId="5676EBFB" w14:textId="77777777" w:rsidR="00FA7E37" w:rsidRDefault="00FA7E37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5B6E41FD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33F2393C" w14:textId="77777777" w:rsidR="005B3F8B" w:rsidRDefault="005B3F8B" w:rsidP="00496109">
      <w:pPr>
        <w:pStyle w:val="Author"/>
        <w:pBdr>
          <w:bottom w:val="none" w:sz="0" w:space="0" w:color="auto"/>
        </w:pBdr>
        <w:spacing w:line="480" w:lineRule="auto"/>
        <w:jc w:val="center"/>
        <w:rPr>
          <w:rFonts w:ascii="Times New Roman" w:hAnsi="Times New Roman" w:cs="Times New Roman"/>
        </w:rPr>
      </w:pPr>
    </w:p>
    <w:p w14:paraId="017C365E" w14:textId="558D93BF" w:rsidR="00787B35" w:rsidRDefault="00787B35">
      <w:pPr>
        <w:divId w:val="916667817"/>
        <w:rPr>
          <w:rFonts w:eastAsia="Times New Roman"/>
        </w:rPr>
      </w:pPr>
    </w:p>
    <w:p w14:paraId="689CB1AF" w14:textId="7548E2B0" w:rsidR="006C6679" w:rsidRPr="00F0650B" w:rsidRDefault="00787B35" w:rsidP="00320047">
      <w:pPr>
        <w:pStyle w:val="Heading2"/>
        <w:jc w:val="center"/>
        <w:divId w:val="916667817"/>
        <w:rPr>
          <w:rFonts w:eastAsia="Times New Roman"/>
          <w:sz w:val="40"/>
          <w:szCs w:val="40"/>
        </w:rPr>
      </w:pPr>
      <w:r w:rsidRPr="00F0650B">
        <w:rPr>
          <w:rFonts w:eastAsia="Times New Roman"/>
          <w:sz w:val="40"/>
          <w:szCs w:val="40"/>
        </w:rPr>
        <w:lastRenderedPageBreak/>
        <w:t>Abstract</w:t>
      </w:r>
    </w:p>
    <w:p w14:paraId="5E596834" w14:textId="6CFDE0F5" w:rsidR="006C6679" w:rsidRDefault="006C6679">
      <w:pPr>
        <w:pStyle w:val="NormalWeb"/>
        <w:divId w:val="2070691876"/>
      </w:pPr>
      <w:r>
        <w:t xml:space="preserve">This study presents a </w:t>
      </w:r>
      <w:r>
        <w:rPr>
          <w:rStyle w:val="Strong"/>
        </w:rPr>
        <w:t>cell-level optimization and system-aware performance evaluation of sodium-ion battery technology for stationary energy storage under equatorial grid conditions</w:t>
      </w:r>
      <w:r>
        <w:t xml:space="preserve">, with </w:t>
      </w:r>
      <w:proofErr w:type="gramStart"/>
      <w:r>
        <w:t>particular relevance</w:t>
      </w:r>
      <w:proofErr w:type="gramEnd"/>
      <w:r>
        <w:t xml:space="preserve"> to regions experiencing high climate variability and grid instability. The baseline chemistry considered is a </w:t>
      </w:r>
      <w:r>
        <w:rPr>
          <w:rStyle w:val="Strong"/>
        </w:rPr>
        <w:t>sodium iron pyrophosphate (NFPP) cathode paired with a hard carbon anode</w:t>
      </w:r>
      <w:r>
        <w:t>, aluminum current collector, and a carbonate-based electrolyte containing</w:t>
      </w:r>
      <w:r w:rsidR="00BA7A59">
        <w:t xml:space="preserve"> </w:t>
      </w:r>
      <w:proofErr w:type="spellStart"/>
      <w:r w:rsidR="00BA7A59">
        <w:t>containing</w:t>
      </w:r>
      <w:proofErr w:type="spellEnd"/>
      <w:r w:rsidR="00BA7A59">
        <w:t xml:space="preserve"> Sodium hexafluorophosphate dissolved in mixed organic carbonate solvents (e.g., ethylene carbonate and diethyl carbonate)</w:t>
      </w:r>
      <w:r>
        <w:t xml:space="preserve">. While NFPP–hard carbon sodium-ion batteries offer advantages in </w:t>
      </w:r>
      <w:r>
        <w:rPr>
          <w:rStyle w:val="Strong"/>
        </w:rPr>
        <w:t>cost, elemental abundance, and thermal safety</w:t>
      </w:r>
      <w:r>
        <w:t>, their conventional configurations require optimization to compete with the performance benchmarks established by</w:t>
      </w:r>
      <w:r w:rsidR="00DC472C">
        <w:t xml:space="preserve"> Lithium iron phosphate</w:t>
      </w:r>
      <w:r>
        <w:t xml:space="preserve"> batteries used in stationary storage systems.</w:t>
      </w:r>
    </w:p>
    <w:p w14:paraId="26FF86BB" w14:textId="601F46C8" w:rsidR="006C6679" w:rsidRDefault="006C6679">
      <w:pPr>
        <w:pStyle w:val="NormalWeb"/>
        <w:divId w:val="2070691876"/>
      </w:pPr>
      <w:r>
        <w:t xml:space="preserve">The objective of this work is to </w:t>
      </w:r>
      <w:r>
        <w:rPr>
          <w:rStyle w:val="Strong"/>
        </w:rPr>
        <w:t>identify optimized sodium-ion cell configurations capable of outperforming the conventional NFPP–hard carbon baseline while remaining economically viable for large-scale grid storage</w:t>
      </w:r>
      <w:r>
        <w:t xml:space="preserve">. </w:t>
      </w:r>
      <w:proofErr w:type="gramStart"/>
      <w:r>
        <w:t>Particular emphasis</w:t>
      </w:r>
      <w:proofErr w:type="gramEnd"/>
      <w:r>
        <w:t xml:space="preserve"> is placed on resilience to </w:t>
      </w:r>
      <w:r>
        <w:rPr>
          <w:rStyle w:val="Strong"/>
        </w:rPr>
        <w:t xml:space="preserve">grid disturbances, variable load profiles, and environmental stresses associated with humid tropical climates and seasonal atmospheric conditions such as the </w:t>
      </w:r>
      <w:r w:rsidR="00C851BC">
        <w:rPr>
          <w:rStyle w:val="Strong"/>
        </w:rPr>
        <w:t>harmattan</w:t>
      </w:r>
      <w:r>
        <w:t xml:space="preserve">. The proposed system is designed to operate effectively under </w:t>
      </w:r>
      <w:r>
        <w:rPr>
          <w:rStyle w:val="Strong"/>
        </w:rPr>
        <w:t>wide voltage fluctuations, intermittent supply conditions, and diverse grid load patterns characteristic of developing power networks</w:t>
      </w:r>
      <w:r>
        <w:t>.</w:t>
      </w:r>
    </w:p>
    <w:p w14:paraId="33E086BB" w14:textId="77777777" w:rsidR="006C6679" w:rsidRDefault="006C6679">
      <w:pPr>
        <w:pStyle w:val="NormalWeb"/>
        <w:divId w:val="2070691876"/>
      </w:pPr>
      <w:r>
        <w:t xml:space="preserve">A </w:t>
      </w:r>
      <w:r>
        <w:rPr>
          <w:rStyle w:val="Strong"/>
        </w:rPr>
        <w:t>machine-learning-guided computational framework</w:t>
      </w:r>
      <w:r>
        <w:t xml:space="preserve"> is employed to explore optimized variations in cathode composition, anode structure, electrolyte formulation, and cell architecture derived from the NFPP–hard carbon baseline. Candidate chemistries are first generated within a constrained sodium-ion materials space compatible with hard carbon </w:t>
      </w:r>
      <w:proofErr w:type="gramStart"/>
      <w:r>
        <w:t>anodes</w:t>
      </w:r>
      <w:proofErr w:type="gramEnd"/>
      <w:r>
        <w:t xml:space="preserve"> and existing manufacturing architectures. These candidates are then screened using electrochemical feasibility rules, thermodynamic stability filters, and </w:t>
      </w:r>
      <w:r>
        <w:rPr>
          <w:rStyle w:val="Strong"/>
        </w:rPr>
        <w:t>economic constraints based on elemental abundance, supply risk, and estimated material cost indices</w:t>
      </w:r>
      <w:r>
        <w:t>.</w:t>
      </w:r>
    </w:p>
    <w:p w14:paraId="479D82C2" w14:textId="698DAF47" w:rsidR="006C6679" w:rsidRDefault="006C6679">
      <w:pPr>
        <w:pStyle w:val="NormalWeb"/>
        <w:divId w:val="2070691876"/>
      </w:pPr>
      <w:r>
        <w:t xml:space="preserve">Machine learning models act as </w:t>
      </w:r>
      <w:r>
        <w:rPr>
          <w:rStyle w:val="Strong"/>
        </w:rPr>
        <w:t>surrogate evaluators</w:t>
      </w:r>
      <w:r>
        <w:t xml:space="preserve">, predicting electrochemical performance indicators such as voltage response, ionic transport characteristics, thermal stability margins, and degradation tendencies. The model is used to </w:t>
      </w:r>
      <w:r>
        <w:rPr>
          <w:rStyle w:val="Strong"/>
        </w:rPr>
        <w:t>vet and rank candidate chemistries</w:t>
      </w:r>
      <w:r>
        <w:t xml:space="preserve">, progressively reducing the search space to a small set of high-performing configurations. These shortlisted candidates undergo </w:t>
      </w:r>
      <w:r>
        <w:rPr>
          <w:rStyle w:val="Strong"/>
        </w:rPr>
        <w:t xml:space="preserve">physics-based electrochemical simulation using the </w:t>
      </w:r>
      <w:r w:rsidR="001E0016">
        <w:rPr>
          <w:rStyle w:val="Strong"/>
        </w:rPr>
        <w:t>Doyle–Fuller–Newman model</w:t>
      </w:r>
      <w:r>
        <w:t>, enabling detailed analysis of charge–discharge dynamics, transport limitations, and reaction kinetics.</w:t>
      </w:r>
    </w:p>
    <w:p w14:paraId="00AE299E" w14:textId="77777777" w:rsidR="006C6679" w:rsidRDefault="006C6679">
      <w:pPr>
        <w:pStyle w:val="NormalWeb"/>
        <w:divId w:val="2070691876"/>
      </w:pPr>
      <w:r>
        <w:t xml:space="preserve">The most promising cell configurations are subsequently integrated into </w:t>
      </w:r>
      <w:r>
        <w:rPr>
          <w:rStyle w:val="Strong"/>
        </w:rPr>
        <w:t>cell-aware battery pack simulations</w:t>
      </w:r>
      <w:r>
        <w:t xml:space="preserve">, incorporating thermal modeling, climate-dependent degradation factors, and representative grid load datasets. System-level performance is evaluated across scenarios involving </w:t>
      </w:r>
      <w:r>
        <w:rPr>
          <w:rStyle w:val="Strong"/>
        </w:rPr>
        <w:t>unstable grid supply, peak demand fluctuations, and intermittent renewable integration</w:t>
      </w:r>
      <w:r>
        <w:t>.</w:t>
      </w:r>
    </w:p>
    <w:p w14:paraId="347F3D69" w14:textId="77777777" w:rsidR="006C6679" w:rsidRDefault="006C6679">
      <w:pPr>
        <w:pStyle w:val="NormalWeb"/>
        <w:divId w:val="2070691876"/>
      </w:pPr>
      <w:r>
        <w:t xml:space="preserve">The results demonstrate that </w:t>
      </w:r>
      <w:r>
        <w:rPr>
          <w:rStyle w:val="Strong"/>
        </w:rPr>
        <w:t xml:space="preserve">optimized NFPP-based sodium-ion configurations can achieve improvements in energy density, round-trip efficiency, and thermal stability relative to </w:t>
      </w:r>
      <w:r>
        <w:rPr>
          <w:rStyle w:val="Strong"/>
        </w:rPr>
        <w:lastRenderedPageBreak/>
        <w:t>conventional NFPP cells</w:t>
      </w:r>
      <w:r>
        <w:t xml:space="preserve">, while maintaining significant cost advantages due to the elimination of lithium and reduced reliance on critical minerals. These characteristics position the optimized sodium-ion system as a </w:t>
      </w:r>
      <w:r>
        <w:rPr>
          <w:rStyle w:val="Strong"/>
        </w:rPr>
        <w:t>potentially competitive alternative to lithium-based stationary storage technologies for equatorial and emerging grid environments</w:t>
      </w:r>
      <w:r>
        <w:t>.</w:t>
      </w:r>
    </w:p>
    <w:p w14:paraId="12025B0B" w14:textId="4307B049" w:rsidR="003114B4" w:rsidRDefault="006C6679" w:rsidP="00320047">
      <w:pPr>
        <w:pStyle w:val="NormalWeb"/>
        <w:divId w:val="2070691876"/>
      </w:pPr>
      <w:r>
        <w:t xml:space="preserve">The study contributes a </w:t>
      </w:r>
      <w:r>
        <w:rPr>
          <w:rStyle w:val="Strong"/>
        </w:rPr>
        <w:t>computationally guided methodology for electrochemical and economic co-optimization of sodium-ion battery systems</w:t>
      </w:r>
      <w:r>
        <w:t xml:space="preserve">, offering a framework for designing </w:t>
      </w:r>
      <w:r>
        <w:rPr>
          <w:rStyle w:val="Strong"/>
        </w:rPr>
        <w:t>grid-resilient energy storage solutions tailored to tropical climates and infrastructure-constrained electricity networks</w:t>
      </w:r>
      <w:r>
        <w:t>.</w:t>
      </w:r>
    </w:p>
    <w:p w14:paraId="7B4947C9" w14:textId="6B15C193" w:rsidR="00854ADE" w:rsidRDefault="00854ADE">
      <w:pPr>
        <w:pStyle w:val="NormalWeb"/>
        <w:divId w:val="361177283"/>
      </w:pPr>
    </w:p>
    <w:p w14:paraId="4553F191" w14:textId="77777777" w:rsidR="00854ADE" w:rsidRDefault="00854ADE">
      <w:pPr>
        <w:pStyle w:val="Heading2"/>
        <w:divId w:val="361177283"/>
        <w:rPr>
          <w:rFonts w:eastAsia="Times New Roman"/>
        </w:rPr>
      </w:pPr>
      <w:r>
        <w:rPr>
          <w:rFonts w:eastAsia="Times New Roman"/>
        </w:rPr>
        <w:t>Keywords</w:t>
      </w:r>
    </w:p>
    <w:p w14:paraId="406711C8" w14:textId="77777777" w:rsidR="00854ADE" w:rsidRDefault="00854ADE">
      <w:pPr>
        <w:pStyle w:val="NormalWeb"/>
        <w:divId w:val="361177283"/>
      </w:pPr>
      <w:r>
        <w:t xml:space="preserve">Sodium-ion battery; Sodium iron pyrophosphate (NFPP); Hard carbon anode; Electrolyte optimization; Machine-learning optimization; Cell-level modeling; Cell-aware battery pack; Nigerian grid dataset; Humid tropical climate; Harmattan climate; Stationary energy storage; </w:t>
      </w:r>
      <w:proofErr w:type="spellStart"/>
      <w:r>
        <w:t>LiFePO</w:t>
      </w:r>
      <w:proofErr w:type="spellEnd"/>
      <w:r>
        <w:t>₄ benchmarking.</w:t>
      </w:r>
    </w:p>
    <w:p w14:paraId="48E1CF62" w14:textId="3CB00C8E" w:rsidR="00854ADE" w:rsidRDefault="00854ADE">
      <w:pPr>
        <w:pStyle w:val="NormalWeb"/>
        <w:divId w:val="361177283"/>
      </w:pPr>
    </w:p>
    <w:p w14:paraId="7DA3CDE6" w14:textId="70950E40" w:rsidR="00787B35" w:rsidRPr="00884F20" w:rsidRDefault="00787B35" w:rsidP="00884F20">
      <w:pPr>
        <w:divId w:val="916667817"/>
        <w:rPr>
          <w:rFonts w:eastAsia="Times New Roman"/>
        </w:rPr>
      </w:pPr>
    </w:p>
    <w:p w14:paraId="2AEDAF27" w14:textId="1F3CF42D" w:rsidR="00156227" w:rsidRDefault="00156227">
      <w:pPr>
        <w:pStyle w:val="NormalWeb"/>
        <w:divId w:val="595526128"/>
      </w:pPr>
    </w:p>
    <w:p w14:paraId="23E82EDE" w14:textId="502B567E" w:rsidR="00FE20D0" w:rsidRDefault="00FE20D0">
      <w:pPr>
        <w:pStyle w:val="NormalWeb"/>
        <w:divId w:val="2017802945"/>
      </w:pPr>
    </w:p>
    <w:p w14:paraId="1DD9651E" w14:textId="312F9B63" w:rsidR="00596A95" w:rsidRDefault="00596A95">
      <w:pPr>
        <w:pStyle w:val="NormalWeb"/>
        <w:divId w:val="2077043616"/>
      </w:pPr>
    </w:p>
    <w:p w14:paraId="3808F163" w14:textId="13B934A0" w:rsidR="00596A95" w:rsidRDefault="00596A95">
      <w:pPr>
        <w:divId w:val="2077043616"/>
        <w:rPr>
          <w:rFonts w:eastAsia="Times New Roman"/>
        </w:rPr>
      </w:pPr>
    </w:p>
    <w:p w14:paraId="3631F62E" w14:textId="401FD531" w:rsidR="006C362C" w:rsidRDefault="006C362C">
      <w:pPr>
        <w:pStyle w:val="NormalWeb"/>
        <w:divId w:val="1538272232"/>
      </w:pPr>
    </w:p>
    <w:p w14:paraId="35BE1B0D" w14:textId="3DF01271" w:rsidR="00B96F4F" w:rsidRDefault="00B96F4F">
      <w:pPr>
        <w:divId w:val="1538272232"/>
        <w:rPr>
          <w:rFonts w:eastAsia="Times New Roman"/>
        </w:rPr>
      </w:pPr>
    </w:p>
    <w:p w14:paraId="1B61499F" w14:textId="6BD45307" w:rsidR="00D20F20" w:rsidRDefault="00B96F4F" w:rsidP="00B96F4F">
      <w:pPr>
        <w:rPr>
          <w:rFonts w:eastAsia="Times New Roman"/>
        </w:rPr>
      </w:pPr>
      <w:r>
        <w:rPr>
          <w:rFonts w:eastAsia="Times New Roman"/>
        </w:rPr>
        <w:br w:type="page"/>
      </w:r>
    </w:p>
    <w:p w14:paraId="0E9FB9A9" w14:textId="77777777" w:rsidR="00964582" w:rsidRDefault="00964582" w:rsidP="00F52255">
      <w:pPr>
        <w:spacing w:before="100" w:beforeAutospacing="1" w:after="100" w:afterAutospacing="1" w:line="240" w:lineRule="auto"/>
        <w:divId w:val="1798988505"/>
        <w:rPr>
          <w:rFonts w:eastAsia="Times New Roman"/>
        </w:rPr>
      </w:pPr>
    </w:p>
    <w:p w14:paraId="3EDF24C4" w14:textId="77777777" w:rsidR="00FA4424" w:rsidRPr="00CB1AB0" w:rsidRDefault="00FA4424" w:rsidP="00F0650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Methodology</w:t>
      </w:r>
    </w:p>
    <w:p w14:paraId="119244E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0 — Environmental Model Calibration (LFP Anchor)</w:t>
      </w:r>
    </w:p>
    <w:p w14:paraId="33691EC4" w14:textId="77777777" w:rsidR="00FA4424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Before sodium-ion candidate optimization begins, the environmental response model is calibrated using a lithium-iron-phosphate (LFP) benchmark system.</w:t>
      </w:r>
    </w:p>
    <w:p w14:paraId="06F9554D" w14:textId="076EE2A5" w:rsidR="006B496E" w:rsidRPr="00CB1AB0" w:rsidRDefault="006B496E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B496E">
        <w:rPr>
          <w:rFonts w:ascii="Times New Roman" w:eastAsia="Times New Roman" w:hAnsi="Times New Roman" w:cs="Times New Roman"/>
          <w:kern w:val="0"/>
          <w14:ligatures w14:val="none"/>
        </w:rPr>
        <w:t>A benchmark 51.2 V, 100 Ah LFP battery pack (16S1P) is adopted as the Phase 0 environmental calibration anchor. Equivalent circuit and thermal parameters are derived from manufacturer specifications and pulse-response fitting under representative Nigerian operating conditions</w:t>
      </w:r>
    </w:p>
    <w:p w14:paraId="62CE136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Calibrate system-level environmental response parameters under Nigerian operating conditions, defining:</w:t>
      </w:r>
    </w:p>
    <w:p w14:paraId="16CC2EB7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behavior</w:t>
      </w:r>
    </w:p>
    <w:p w14:paraId="3228EE75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transport properties</w:t>
      </w:r>
    </w:p>
    <w:p w14:paraId="6750DF62" w14:textId="77777777" w:rsidR="00FA4424" w:rsidRPr="00CB1AB0" w:rsidRDefault="00FA4424" w:rsidP="003A65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Cooling response thresholds</w:t>
      </w:r>
    </w:p>
    <w:p w14:paraId="2496AD7C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Inputs:</w:t>
      </w:r>
    </w:p>
    <w:p w14:paraId="438A43B1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Nigerian grid load dataset</w:t>
      </w:r>
    </w:p>
    <w:p w14:paraId="2A53A861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Solar generation profiles derived from Nigerian irradiance records</w:t>
      </w:r>
    </w:p>
    <w:p w14:paraId="666F6B3A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 coastal climate profile</w:t>
      </w:r>
    </w:p>
    <w:p w14:paraId="5B716FAD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Harmattan seasonal climate profile</w:t>
      </w:r>
    </w:p>
    <w:p w14:paraId="29D6375C" w14:textId="77777777" w:rsidR="00FA4424" w:rsidRPr="00CB1AB0" w:rsidRDefault="00FA4424" w:rsidP="003A65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scenarios (4–8 h load-shedding, 12–24 h blackouts, ±20–30% voltage fluctuations, stochastic frequency deviations around 50 Hz)</w:t>
      </w:r>
    </w:p>
    <w:p w14:paraId="1A16936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Outputs:</w:t>
      </w:r>
    </w:p>
    <w:p w14:paraId="6F2174C3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Thermal stress response coefficient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thermal,env</m:t>
            </m:r>
            <w:proofErr w:type="gramEnd"/>
          </m:sub>
        </m:sSub>
      </m:oMath>
    </w:p>
    <w:p w14:paraId="71894C55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Grid disturbance degradation coefficient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grid,env</m:t>
            </m:r>
            <w:proofErr w:type="gramEnd"/>
          </m:sub>
        </m:sSub>
      </m:oMath>
    </w:p>
    <w:p w14:paraId="3B423D82" w14:textId="77777777" w:rsidR="00FA4424" w:rsidRPr="00CB1AB0" w:rsidRDefault="00FA4424" w:rsidP="003A65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network parameters:</w:t>
      </w:r>
    </w:p>
    <w:p w14:paraId="773E7BF7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Effective thermal resistance matrix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</m:t>
            </m:r>
          </m:sub>
        </m:sSub>
      </m:oMath>
    </w:p>
    <w:p w14:paraId="3326A778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Passive heat transfer coefficients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h</m:t>
        </m:r>
      </m:oMath>
    </w:p>
    <w:p w14:paraId="6CF38048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Cooling activation threshold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  <w:proofErr w:type="gramEnd"/>
          </m:sub>
        </m:sSub>
      </m:oMath>
    </w:p>
    <w:p w14:paraId="548D3441" w14:textId="77777777" w:rsidR="00FA4424" w:rsidRPr="00CB1AB0" w:rsidRDefault="00FA4424" w:rsidP="003A65E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Hotspot formation sensitivity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hotspot</m:t>
            </m:r>
          </m:sub>
        </m:sSub>
      </m:oMath>
    </w:p>
    <w:p w14:paraId="3C29D55D" w14:textId="5EDD97FD" w:rsidR="00FA4424" w:rsidRPr="00CB1AB0" w:rsidRDefault="00FA4424" w:rsidP="00EB05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Isolation Rule: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The LFP model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score sodium-ion candidates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; it only calibrates environmental parameters. Once derived, these parameters are locked for downstream use, with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adaptive scaling introduced later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to mitigate electrochemical bias.</w:t>
      </w:r>
    </w:p>
    <w:p w14:paraId="2BEB239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1 — Sodium-Ion Cell Discovery and Optimization</w:t>
      </w:r>
    </w:p>
    <w:p w14:paraId="76C0D9F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Phase 1 performs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electrochemical material discovery and cell-level optimization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 No pack-level simulation occurs yet to maintain computational tractability.</w:t>
      </w:r>
    </w:p>
    <w:p w14:paraId="5F7642C6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1 — Targeted Materials Database Mining</w:t>
      </w:r>
    </w:p>
    <w:p w14:paraId="56EC9DB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Search space restricted to sodium-ion chemistries compatible with hard carbon anodes. Data sources: Materials Project, AFLOW, OQMD.</w:t>
      </w:r>
    </w:p>
    <w:p w14:paraId="4E6C4682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Cathodes: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NASICON phosphates, polyanionic compounds, Prussian blue analogs, layered sodium transition-metal oxides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Electrolytes: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NaPF₆, NaClO₄, NaFSI carbonate electrolytes, ether-based electrolytes</w:t>
      </w:r>
    </w:p>
    <w:p w14:paraId="2AD9C3D1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Extracted descriptors include formation energy, sodium diffusion barrier, redox voltage window, ionic conductivity, electrochemical and thermal stability limits.</w:t>
      </w:r>
    </w:p>
    <w:p w14:paraId="7F39F38D" w14:textId="048AF89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416520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2 — Heuristic Space Reduction</w:t>
      </w:r>
    </w:p>
    <w:p w14:paraId="00D1750A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Electrochemical constraints:</w:t>
      </w:r>
    </w:p>
    <w:p w14:paraId="7E83B035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2.5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≤V≤4.2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diff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&lt;0.6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eV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V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stable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≥3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 V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decomp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≥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50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∘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C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w:br/>
          </m:r>
        </m:oMath>
      </m:oMathPara>
    </w:p>
    <w:p w14:paraId="1D0BEE9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Economic constraints:</w:t>
      </w:r>
    </w:p>
    <w:p w14:paraId="6DCC2C15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Elemental crustal abundance threshold</w:t>
      </w:r>
    </w:p>
    <w:p w14:paraId="4CC401B0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Exclusion of scarce noble metals</w:t>
      </w:r>
    </w:p>
    <w:p w14:paraId="16819189" w14:textId="77777777" w:rsidR="00FA4424" w:rsidRPr="00CB1AB0" w:rsidRDefault="00FA4424" w:rsidP="003A65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Supply-chain risk filtering</w:t>
      </w:r>
    </w:p>
    <w:p w14:paraId="03B8EB0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After filtering, ~10,000–15,000 candidates remain.</w:t>
      </w:r>
    </w:p>
    <w:p w14:paraId="681CE5C5" w14:textId="5C71D0F0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A7B74B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2b — Intermediate Thermal Scaling</w:t>
      </w:r>
    </w:p>
    <w:p w14:paraId="382F945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Adjust the LFP-based cooling threshold for sodium-ion candidates.</w:t>
      </w:r>
    </w:p>
    <w:p w14:paraId="145A63CA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=1+β⋅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form,LFP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AB2E6D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6C4FAC1C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lastRenderedPageBreak/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form,cathode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form,anode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form,LFP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78AA9BA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β</m:t>
        </m:r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= tunable proportionality constant.</w:t>
      </w:r>
    </w:p>
    <w:p w14:paraId="2D9E32A4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Adjusted cooling threshold:</w:t>
      </w:r>
    </w:p>
    <w:p w14:paraId="290990E6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cool,adj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α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therm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cool,LFP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6F08A0CB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Implementation:</w:t>
      </w:r>
    </w:p>
    <w:p w14:paraId="390D7266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Compute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E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form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for each candidate post-heuristic filtering.</w:t>
      </w:r>
    </w:p>
    <w:p w14:paraId="53EA870C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Scale LFP-based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cool,LFP</m:t>
            </m:r>
            <w:proofErr w:type="gramEnd"/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to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  <w:proofErr w:type="gramEnd"/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using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α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therm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74BC8F3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Pass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  <w:proofErr w:type="gramEnd"/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to Stage 3 and subsequent ML ranking.</w:t>
      </w:r>
    </w:p>
    <w:p w14:paraId="6168FA33" w14:textId="77777777" w:rsidR="00FA4424" w:rsidRPr="00CB1AB0" w:rsidRDefault="00FA4424" w:rsidP="003A65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Stage 7 DFN simulation will refine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 using candidate-specific heat generation data.</w:t>
      </w:r>
    </w:p>
    <w:p w14:paraId="13537443" w14:textId="15697BD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9FD9E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3 — Stratified Candidate Sampling</w:t>
      </w:r>
    </w:p>
    <w:p w14:paraId="26762E4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Stratified sampling ensures representative coverage of electrochemical properties:</w:t>
      </w:r>
    </w:p>
    <w:p w14:paraId="1EDB4E90" w14:textId="77777777" w:rsidR="00FA4424" w:rsidRPr="00CB1AB0" w:rsidRDefault="00FA4424" w:rsidP="003A65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Cathodes: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voltage, theoretical capacity, diffusion barrier, formation energy</w:t>
      </w:r>
    </w:p>
    <w:p w14:paraId="5E61B730" w14:textId="77777777" w:rsidR="00FA4424" w:rsidRPr="00CB1AB0" w:rsidRDefault="00FA4424" w:rsidP="003A65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Electrolytes: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ionic conductivity, electrochemical stability, thermal stability</w:t>
      </w:r>
    </w:p>
    <w:p w14:paraId="65BD9436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Balanced pool of ~1,000 candidates forwarded to ML screening.</w:t>
      </w:r>
    </w:p>
    <w:p w14:paraId="34EBCB69" w14:textId="0AC12CE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A16C9D" w14:textId="66D09860" w:rsidR="004C57A9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4 — Machine Learning Electrochemical Prediction</w:t>
      </w:r>
    </w:p>
    <w:p w14:paraId="689830BE" w14:textId="693B7B35" w:rsidR="008F5092" w:rsidRPr="00CB1AB0" w:rsidRDefault="005D11AC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Clearity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on model scores in tasks like this and </w:t>
      </w:r>
      <w:r w:rsidR="004C57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certainty metadata </w:t>
      </w:r>
    </w:p>
    <w:p w14:paraId="49BF98B3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Predicts surrogate electrochemical performance indicators:</w:t>
      </w:r>
    </w:p>
    <w:p w14:paraId="5651FA4B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Cathode: structural stability, sodium diffusion kinetics, redox potential stability</w:t>
      </w:r>
    </w:p>
    <w:p w14:paraId="21FC0556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Hard carbon anode: SEI formation probability, intercalation stability</w:t>
      </w:r>
    </w:p>
    <w:p w14:paraId="5C6571E8" w14:textId="77777777" w:rsidR="00FA4424" w:rsidRPr="00CB1AB0" w:rsidRDefault="00FA4424" w:rsidP="003A65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Electrolyte: ionic conductivity, electrochemical stability, thermal stability</w:t>
      </w:r>
    </w:p>
    <w:p w14:paraId="3ACFBDEE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Outputs inform multi-objective ranking.</w:t>
      </w:r>
    </w:p>
    <w:p w14:paraId="4EB61579" w14:textId="2FE4FB3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629DC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5 — Multi-Objective Electrochemical Ranking</w:t>
      </w:r>
    </w:p>
    <w:p w14:paraId="744B6E19" w14:textId="7777777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w:lastRenderedPageBreak/>
            <m:t>Score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η+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3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crit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Score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final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Score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-λ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mat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λ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OPEX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local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0CCBA5A1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Where:</w:t>
      </w:r>
    </w:p>
    <w:p w14:paraId="7B9DBE38" w14:textId="77777777" w:rsidR="00FA4424" w:rsidRPr="00CB1AB0" w:rsidRDefault="00000000" w:rsidP="003A65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local</m:t>
            </m:r>
          </m:sub>
        </m:sSub>
      </m:oMath>
      <w:r w:rsidR="00FA4424"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= regional OPEX/maintenance penalty based on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cool,adj</m:t>
            </m:r>
            <w:proofErr w:type="gramEnd"/>
          </m:sub>
        </m:sSub>
      </m:oMath>
      <w:r w:rsidR="00FA4424" w:rsidRPr="00CB1AB0">
        <w:rPr>
          <w:rFonts w:ascii="Times New Roman" w:eastAsia="Times New Roman" w:hAnsi="Times New Roman" w:cs="Times New Roman"/>
          <w:kern w:val="0"/>
          <w14:ligatures w14:val="none"/>
        </w:rPr>
        <w:t>and predicted cooling activation frequency under humid and Harmattan profiles.</w:t>
      </w:r>
    </w:p>
    <w:p w14:paraId="6D97550A" w14:textId="4AAAFC16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A653A5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6 — Sensitivity Validation</w:t>
      </w:r>
    </w:p>
    <w:p w14:paraId="44E3DA40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Perturb electrochemical parameters (diffusion coefficient, reaction rate constant, particle radius, electrolyte conductivity) to reject non-physical or unstable candidates.</w:t>
      </w:r>
    </w:p>
    <w:p w14:paraId="7438A602" w14:textId="63A4FD40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4595FC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7 — DFN Electrochemical Simulation with Manufacturing Corrections</w:t>
      </w:r>
    </w:p>
    <w:p w14:paraId="5497B6BE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Simulate detailed electrochemical dynamics for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 15 candidates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B4A7AD4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Voltage profiles</w:t>
      </w:r>
    </w:p>
    <w:p w14:paraId="5356EEC1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Ion diffusion dynamics</w:t>
      </w:r>
    </w:p>
    <w:p w14:paraId="491256DA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Reaction kinetics</w:t>
      </w:r>
    </w:p>
    <w:p w14:paraId="5F9AC2E2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SEI formation</w:t>
      </w:r>
    </w:p>
    <w:p w14:paraId="4F334233" w14:textId="77777777" w:rsidR="00FA4424" w:rsidRPr="00CB1AB0" w:rsidRDefault="00FA4424" w:rsidP="003A65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Heat generation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gen</m:t>
            </m:r>
          </m:sub>
        </m:sSub>
      </m:oMath>
    </w:p>
    <w:p w14:paraId="7C7F8028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Manufacturing corrections:</w:t>
      </w:r>
    </w:p>
    <w:p w14:paraId="4264725F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E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cell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active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dead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th,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eff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active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dead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inactive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284794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Environmental Update: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DFN-derived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gen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is used to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update the thermal network parameters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from Phase 0:</w:t>
      </w:r>
    </w:p>
    <w:p w14:paraId="4F2E9A86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Adjust passive heat transfer coefficients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h</m:t>
        </m:r>
      </m:oMath>
    </w:p>
    <w:p w14:paraId="49EAE3D1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Adjust hotspot formation sensitivity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S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hotspot</m:t>
            </m:r>
          </m:sub>
        </m:sSub>
      </m:oMath>
    </w:p>
    <w:p w14:paraId="53329A4C" w14:textId="77777777" w:rsidR="00FA4424" w:rsidRPr="00CB1AB0" w:rsidRDefault="00FA4424" w:rsidP="003A65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Refine cooling threshold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</w:t>
      </w:r>
    </w:p>
    <w:p w14:paraId="5756397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This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feedback loop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removes LFP-based bias and ensures the environmental model reflects sodium-ion thermodynamics prior to Stage 10 benchmarking.</w:t>
      </w:r>
    </w:p>
    <w:p w14:paraId="21E84F1F" w14:textId="4B94633B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8302283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8 — Climate-Aware Thermal Screening</w:t>
      </w:r>
    </w:p>
    <w:p w14:paraId="19A8FC0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Simulate thermal </w:t>
      </w:r>
      <w:proofErr w:type="gramStart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response</w:t>
      </w:r>
      <w:proofErr w:type="gramEnd"/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under:</w:t>
      </w:r>
    </w:p>
    <w:p w14:paraId="02D90C09" w14:textId="77777777" w:rsidR="00FA4424" w:rsidRPr="00CB1AB0" w:rsidRDefault="00FA4424" w:rsidP="003A65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 coastal profile</w:t>
      </w:r>
    </w:p>
    <w:p w14:paraId="5BAF5BEE" w14:textId="77777777" w:rsidR="00FA4424" w:rsidRPr="00CB1AB0" w:rsidRDefault="00FA4424" w:rsidP="003A65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Harmattan seasonal profile</w:t>
      </w:r>
    </w:p>
    <w:p w14:paraId="7166AF2C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Lumped-capacitance network:</w:t>
      </w:r>
    </w:p>
    <w:p w14:paraId="0B5B298B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th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dT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=∑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j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th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gen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cool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43556508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Cooling triggers when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T&gt;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cool</m:t>
            </m:r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. Top three thermally stable candidates proceed to Stage 9.</w:t>
      </w:r>
    </w:p>
    <w:p w14:paraId="3E11ABD6" w14:textId="16AFA641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FA18F8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9 — Grid Disturbance Simulation with Hardware Limits</w:t>
      </w:r>
    </w:p>
    <w:p w14:paraId="039CAEF9" w14:textId="77777777" w:rsidR="00FA4424" w:rsidRPr="00CB1AB0" w:rsidRDefault="00000000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net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grid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G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solar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(t),I(t)=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min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</m:t>
          </m:r>
          <m:d>
            <m:dPr>
              <m:sepChr m:val=","/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L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net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(t)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V(t)</m:t>
                  </m:r>
                </m:den>
              </m:f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max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2CF147DF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degradation: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Implement </w:t>
      </w:r>
      <w:r w:rsidRPr="00CB1A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rainflow cycle counting</w:t>
      </w:r>
      <w:r w:rsidRPr="00CB1AB0">
        <w:rPr>
          <w:rFonts w:ascii="Times New Roman" w:eastAsia="Times New Roman" w:hAnsi="Times New Roman" w:cs="Times New Roman"/>
          <w:kern w:val="0"/>
          <w14:ligatures w14:val="none"/>
        </w:rPr>
        <w:t xml:space="preserve"> to quantify microcycle fatigue from stochastic voltage/frequency fluctuations, adjusting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w</m:t>
            </m:r>
          </m:e>
          <m:sub>
            <w:proofErr w:type="gramStart"/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14:ligatures w14:val="none"/>
              </w:rPr>
              <m:t>grid,N</m:t>
            </m:r>
            <w:proofErr w:type="gramEnd"/>
          </m:sub>
        </m:sSub>
      </m:oMath>
      <w:r w:rsidRPr="00CB1AB0">
        <w:rPr>
          <w:rFonts w:ascii="Times New Roman" w:eastAsia="Times New Roman" w:hAnsi="Times New Roman" w:cs="Times New Roman"/>
          <w:kern w:val="0"/>
          <w14:ligatures w14:val="none"/>
        </w:rPr>
        <w:t>dynamically.</w:t>
      </w:r>
    </w:p>
    <w:p w14:paraId="3F5EFF71" w14:textId="6B89BA97" w:rsidR="00FA4424" w:rsidRPr="00CB1AB0" w:rsidRDefault="00FA4424" w:rsidP="005144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7A6C31" w14:textId="77777777" w:rsidR="00FA4424" w:rsidRPr="00CB1AB0" w:rsidRDefault="00FA4424" w:rsidP="005144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B1A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Stage 10 — Final Benchmarking</w:t>
      </w:r>
    </w:p>
    <w:p w14:paraId="05955AFD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Compare:</w:t>
      </w:r>
    </w:p>
    <w:p w14:paraId="4DD03E74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Optimized sodium-ion candidates</w:t>
      </w:r>
    </w:p>
    <w:p w14:paraId="48F8B7DD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Baseline NFPP–hard carbon–NaPF₆ cell</w:t>
      </w:r>
    </w:p>
    <w:p w14:paraId="08B27D51" w14:textId="77777777" w:rsidR="00FA4424" w:rsidRPr="00CB1AB0" w:rsidRDefault="00FA4424" w:rsidP="003A65E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LFP benchmark system</w:t>
      </w:r>
    </w:p>
    <w:p w14:paraId="427E52B5" w14:textId="77777777" w:rsidR="00FA4424" w:rsidRPr="00CB1AB0" w:rsidRDefault="00FA4424" w:rsidP="005144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Metrics:</w:t>
      </w:r>
    </w:p>
    <w:p w14:paraId="0337D222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Pack-level energy density</w:t>
      </w:r>
    </w:p>
    <w:p w14:paraId="0F8516CE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Round-trip efficiency</w:t>
      </w:r>
    </w:p>
    <w:p w14:paraId="7FC89601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Cycle life</w:t>
      </w:r>
    </w:p>
    <w:p w14:paraId="4D2FABE8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Thermal stability</w:t>
      </w:r>
    </w:p>
    <w:p w14:paraId="38E2D3C0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Grid disturbance resilience</w:t>
      </w:r>
    </w:p>
    <w:p w14:paraId="70E238E0" w14:textId="77777777" w:rsidR="00FA4424" w:rsidRPr="00CB1AB0" w:rsidRDefault="00FA4424" w:rsidP="003A65E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B1AB0">
        <w:rPr>
          <w:rFonts w:ascii="Times New Roman" w:eastAsia="Times New Roman" w:hAnsi="Times New Roman" w:cs="Times New Roman"/>
          <w:kern w:val="0"/>
          <w14:ligatures w14:val="none"/>
        </w:rPr>
        <w:t>Humid/Harmattan performance</w:t>
      </w:r>
    </w:p>
    <w:p w14:paraId="31ACD832" w14:textId="77777777" w:rsidR="00FA4424" w:rsidRDefault="00FA4424" w:rsidP="00514478"/>
    <w:p w14:paraId="2BAF03CB" w14:textId="77777777" w:rsidR="009C259D" w:rsidRDefault="009C259D" w:rsidP="00514478"/>
    <w:p w14:paraId="6ABEEF61" w14:textId="246F6270" w:rsidR="00930C24" w:rsidRPr="005739BD" w:rsidRDefault="00930C24" w:rsidP="007B7238">
      <w:pPr>
        <w:spacing w:before="100" w:beforeAutospacing="1" w:after="100" w:afterAutospacing="1" w:line="240" w:lineRule="auto"/>
        <w:outlineLvl w:val="0"/>
        <w:rPr>
          <w:rFonts w:eastAsia="Times New Roman"/>
        </w:rPr>
      </w:pPr>
    </w:p>
    <w:sectPr w:rsidR="00930C24" w:rsidRPr="005739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3DC5"/>
    <w:multiLevelType w:val="multilevel"/>
    <w:tmpl w:val="DBB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75E3E"/>
    <w:multiLevelType w:val="multilevel"/>
    <w:tmpl w:val="8D02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5E4E10"/>
    <w:multiLevelType w:val="multilevel"/>
    <w:tmpl w:val="E1D6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419DD"/>
    <w:multiLevelType w:val="multilevel"/>
    <w:tmpl w:val="BE96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F4D91"/>
    <w:multiLevelType w:val="multilevel"/>
    <w:tmpl w:val="E298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FF22DC"/>
    <w:multiLevelType w:val="multilevel"/>
    <w:tmpl w:val="1A7C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A151CDA"/>
    <w:multiLevelType w:val="multilevel"/>
    <w:tmpl w:val="35E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F92428B"/>
    <w:multiLevelType w:val="multilevel"/>
    <w:tmpl w:val="479EC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F20D06"/>
    <w:multiLevelType w:val="multilevel"/>
    <w:tmpl w:val="98C2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F50E99"/>
    <w:multiLevelType w:val="multilevel"/>
    <w:tmpl w:val="6F5A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B4578B"/>
    <w:multiLevelType w:val="multilevel"/>
    <w:tmpl w:val="8AFED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8D0294E"/>
    <w:multiLevelType w:val="multilevel"/>
    <w:tmpl w:val="A0880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C111B1"/>
    <w:multiLevelType w:val="multilevel"/>
    <w:tmpl w:val="BD4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A859E0"/>
    <w:multiLevelType w:val="multilevel"/>
    <w:tmpl w:val="7D2C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1A61ABE"/>
    <w:multiLevelType w:val="multilevel"/>
    <w:tmpl w:val="52B2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35F3DE8"/>
    <w:multiLevelType w:val="multilevel"/>
    <w:tmpl w:val="533A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3740E3"/>
    <w:multiLevelType w:val="multilevel"/>
    <w:tmpl w:val="066A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673343A"/>
    <w:multiLevelType w:val="multilevel"/>
    <w:tmpl w:val="B600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B2D0D4B"/>
    <w:multiLevelType w:val="multilevel"/>
    <w:tmpl w:val="7582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DC510C"/>
    <w:multiLevelType w:val="multilevel"/>
    <w:tmpl w:val="F85A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C5915A7"/>
    <w:multiLevelType w:val="multilevel"/>
    <w:tmpl w:val="CD70E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0224366"/>
    <w:multiLevelType w:val="multilevel"/>
    <w:tmpl w:val="E7EE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F0265D"/>
    <w:multiLevelType w:val="multilevel"/>
    <w:tmpl w:val="CCE0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FF2091"/>
    <w:multiLevelType w:val="multilevel"/>
    <w:tmpl w:val="22B8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C2A5BC4"/>
    <w:multiLevelType w:val="multilevel"/>
    <w:tmpl w:val="8E5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284DCA"/>
    <w:multiLevelType w:val="multilevel"/>
    <w:tmpl w:val="ECCCF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0F716E"/>
    <w:multiLevelType w:val="multilevel"/>
    <w:tmpl w:val="904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B560F1"/>
    <w:multiLevelType w:val="multilevel"/>
    <w:tmpl w:val="7A04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69875243">
    <w:abstractNumId w:val="0"/>
  </w:num>
  <w:num w:numId="2" w16cid:durableId="637300031">
    <w:abstractNumId w:val="12"/>
  </w:num>
  <w:num w:numId="3" w16cid:durableId="1230188262">
    <w:abstractNumId w:val="22"/>
  </w:num>
  <w:num w:numId="4" w16cid:durableId="356350202">
    <w:abstractNumId w:val="8"/>
  </w:num>
  <w:num w:numId="5" w16cid:durableId="1406217677">
    <w:abstractNumId w:val="11"/>
  </w:num>
  <w:num w:numId="6" w16cid:durableId="1354763918">
    <w:abstractNumId w:val="18"/>
  </w:num>
  <w:num w:numId="7" w16cid:durableId="497427797">
    <w:abstractNumId w:val="3"/>
  </w:num>
  <w:num w:numId="8" w16cid:durableId="797333824">
    <w:abstractNumId w:val="21"/>
  </w:num>
  <w:num w:numId="9" w16cid:durableId="1902208320">
    <w:abstractNumId w:val="24"/>
  </w:num>
  <w:num w:numId="10" w16cid:durableId="130949886">
    <w:abstractNumId w:val="15"/>
  </w:num>
  <w:num w:numId="11" w16cid:durableId="746465158">
    <w:abstractNumId w:val="26"/>
  </w:num>
  <w:num w:numId="12" w16cid:durableId="98566657">
    <w:abstractNumId w:val="7"/>
  </w:num>
  <w:num w:numId="13" w16cid:durableId="1133870973">
    <w:abstractNumId w:val="2"/>
  </w:num>
  <w:num w:numId="14" w16cid:durableId="516968894">
    <w:abstractNumId w:val="9"/>
  </w:num>
  <w:num w:numId="15" w16cid:durableId="1185172572">
    <w:abstractNumId w:val="6"/>
  </w:num>
  <w:num w:numId="16" w16cid:durableId="1082216947">
    <w:abstractNumId w:val="27"/>
  </w:num>
  <w:num w:numId="17" w16cid:durableId="1864199205">
    <w:abstractNumId w:val="16"/>
  </w:num>
  <w:num w:numId="18" w16cid:durableId="860971719">
    <w:abstractNumId w:val="1"/>
  </w:num>
  <w:num w:numId="19" w16cid:durableId="1069881967">
    <w:abstractNumId w:val="20"/>
  </w:num>
  <w:num w:numId="20" w16cid:durableId="856306537">
    <w:abstractNumId w:val="17"/>
  </w:num>
  <w:num w:numId="21" w16cid:durableId="58021535">
    <w:abstractNumId w:val="13"/>
  </w:num>
  <w:num w:numId="22" w16cid:durableId="669408129">
    <w:abstractNumId w:val="10"/>
  </w:num>
  <w:num w:numId="23" w16cid:durableId="102505771">
    <w:abstractNumId w:val="4"/>
  </w:num>
  <w:num w:numId="24" w16cid:durableId="1957442059">
    <w:abstractNumId w:val="5"/>
  </w:num>
  <w:num w:numId="25" w16cid:durableId="2017270186">
    <w:abstractNumId w:val="19"/>
  </w:num>
  <w:num w:numId="26" w16cid:durableId="1924411317">
    <w:abstractNumId w:val="14"/>
  </w:num>
  <w:num w:numId="27" w16cid:durableId="1751272719">
    <w:abstractNumId w:val="23"/>
  </w:num>
  <w:num w:numId="28" w16cid:durableId="1621376365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C24"/>
    <w:rsid w:val="000076EF"/>
    <w:rsid w:val="00036B20"/>
    <w:rsid w:val="00041CB0"/>
    <w:rsid w:val="00045722"/>
    <w:rsid w:val="00083819"/>
    <w:rsid w:val="000858B4"/>
    <w:rsid w:val="000868F1"/>
    <w:rsid w:val="00096858"/>
    <w:rsid w:val="000B5391"/>
    <w:rsid w:val="000B5EFC"/>
    <w:rsid w:val="000C5603"/>
    <w:rsid w:val="000C5B76"/>
    <w:rsid w:val="000C6A9B"/>
    <w:rsid w:val="000E25EB"/>
    <w:rsid w:val="000E2AA0"/>
    <w:rsid w:val="001073D0"/>
    <w:rsid w:val="00107CAC"/>
    <w:rsid w:val="00114CCA"/>
    <w:rsid w:val="00117BCA"/>
    <w:rsid w:val="00136858"/>
    <w:rsid w:val="001473F9"/>
    <w:rsid w:val="00150327"/>
    <w:rsid w:val="00155A15"/>
    <w:rsid w:val="00156227"/>
    <w:rsid w:val="001700A3"/>
    <w:rsid w:val="001872A7"/>
    <w:rsid w:val="001A6FCC"/>
    <w:rsid w:val="001D4EE4"/>
    <w:rsid w:val="001E0016"/>
    <w:rsid w:val="001E25A5"/>
    <w:rsid w:val="001E6FA8"/>
    <w:rsid w:val="001F42F5"/>
    <w:rsid w:val="001F5738"/>
    <w:rsid w:val="00214059"/>
    <w:rsid w:val="0021616D"/>
    <w:rsid w:val="00216CD8"/>
    <w:rsid w:val="00223ECA"/>
    <w:rsid w:val="00226065"/>
    <w:rsid w:val="00266C84"/>
    <w:rsid w:val="002703C5"/>
    <w:rsid w:val="002831BD"/>
    <w:rsid w:val="002B57B9"/>
    <w:rsid w:val="002C33E4"/>
    <w:rsid w:val="002D77F6"/>
    <w:rsid w:val="002E3C42"/>
    <w:rsid w:val="002F421F"/>
    <w:rsid w:val="003114B4"/>
    <w:rsid w:val="00312C6C"/>
    <w:rsid w:val="00320047"/>
    <w:rsid w:val="00330C82"/>
    <w:rsid w:val="00341D5E"/>
    <w:rsid w:val="00356F00"/>
    <w:rsid w:val="00360300"/>
    <w:rsid w:val="003640C9"/>
    <w:rsid w:val="003A65E0"/>
    <w:rsid w:val="003F673B"/>
    <w:rsid w:val="00410E4D"/>
    <w:rsid w:val="00414F1F"/>
    <w:rsid w:val="00421E16"/>
    <w:rsid w:val="00423A43"/>
    <w:rsid w:val="00433961"/>
    <w:rsid w:val="004557DF"/>
    <w:rsid w:val="00471014"/>
    <w:rsid w:val="004C57A9"/>
    <w:rsid w:val="004C68B4"/>
    <w:rsid w:val="004D6104"/>
    <w:rsid w:val="004E7F32"/>
    <w:rsid w:val="0050155D"/>
    <w:rsid w:val="005048AB"/>
    <w:rsid w:val="0052073A"/>
    <w:rsid w:val="005416E4"/>
    <w:rsid w:val="005419F1"/>
    <w:rsid w:val="00563310"/>
    <w:rsid w:val="00564C12"/>
    <w:rsid w:val="005739BD"/>
    <w:rsid w:val="00596A95"/>
    <w:rsid w:val="005B3F8B"/>
    <w:rsid w:val="005D11AC"/>
    <w:rsid w:val="005E4812"/>
    <w:rsid w:val="005E482C"/>
    <w:rsid w:val="005E6FD9"/>
    <w:rsid w:val="00600839"/>
    <w:rsid w:val="00615479"/>
    <w:rsid w:val="00645A7F"/>
    <w:rsid w:val="00681591"/>
    <w:rsid w:val="006B11B7"/>
    <w:rsid w:val="006B496E"/>
    <w:rsid w:val="006C362C"/>
    <w:rsid w:val="006C3942"/>
    <w:rsid w:val="006C6679"/>
    <w:rsid w:val="006E1E09"/>
    <w:rsid w:val="006E2BB1"/>
    <w:rsid w:val="0070125D"/>
    <w:rsid w:val="00703D3E"/>
    <w:rsid w:val="00707004"/>
    <w:rsid w:val="00710009"/>
    <w:rsid w:val="00720216"/>
    <w:rsid w:val="0073659A"/>
    <w:rsid w:val="00752E21"/>
    <w:rsid w:val="00755EA1"/>
    <w:rsid w:val="0076473F"/>
    <w:rsid w:val="00787B35"/>
    <w:rsid w:val="007A6519"/>
    <w:rsid w:val="007B2CA3"/>
    <w:rsid w:val="007B55C3"/>
    <w:rsid w:val="007B7238"/>
    <w:rsid w:val="007E4D74"/>
    <w:rsid w:val="007E4F58"/>
    <w:rsid w:val="007F1953"/>
    <w:rsid w:val="00854ADE"/>
    <w:rsid w:val="00866128"/>
    <w:rsid w:val="00881AF4"/>
    <w:rsid w:val="00884F20"/>
    <w:rsid w:val="00891E21"/>
    <w:rsid w:val="008F5092"/>
    <w:rsid w:val="00906056"/>
    <w:rsid w:val="00924B2B"/>
    <w:rsid w:val="00927227"/>
    <w:rsid w:val="00930C24"/>
    <w:rsid w:val="00937D29"/>
    <w:rsid w:val="00940235"/>
    <w:rsid w:val="00943CC8"/>
    <w:rsid w:val="0095354C"/>
    <w:rsid w:val="00953AF6"/>
    <w:rsid w:val="00964582"/>
    <w:rsid w:val="00990AC9"/>
    <w:rsid w:val="009A57FA"/>
    <w:rsid w:val="009A7B80"/>
    <w:rsid w:val="009C259D"/>
    <w:rsid w:val="00A01EE7"/>
    <w:rsid w:val="00A544FF"/>
    <w:rsid w:val="00A81401"/>
    <w:rsid w:val="00B044C5"/>
    <w:rsid w:val="00B07C07"/>
    <w:rsid w:val="00B12F12"/>
    <w:rsid w:val="00B20439"/>
    <w:rsid w:val="00B422C7"/>
    <w:rsid w:val="00B62D86"/>
    <w:rsid w:val="00B75AAB"/>
    <w:rsid w:val="00B810B6"/>
    <w:rsid w:val="00B96F4F"/>
    <w:rsid w:val="00BA6AE7"/>
    <w:rsid w:val="00BA7744"/>
    <w:rsid w:val="00BA7A59"/>
    <w:rsid w:val="00BB745F"/>
    <w:rsid w:val="00BD4173"/>
    <w:rsid w:val="00BF1A8E"/>
    <w:rsid w:val="00C042C0"/>
    <w:rsid w:val="00C16920"/>
    <w:rsid w:val="00C46118"/>
    <w:rsid w:val="00C46898"/>
    <w:rsid w:val="00C56290"/>
    <w:rsid w:val="00C851BC"/>
    <w:rsid w:val="00CA3B7A"/>
    <w:rsid w:val="00CB50AB"/>
    <w:rsid w:val="00CC075E"/>
    <w:rsid w:val="00CC0BD3"/>
    <w:rsid w:val="00CC6E62"/>
    <w:rsid w:val="00CC7FDA"/>
    <w:rsid w:val="00D15B86"/>
    <w:rsid w:val="00D20F20"/>
    <w:rsid w:val="00D30B0A"/>
    <w:rsid w:val="00D63492"/>
    <w:rsid w:val="00D87314"/>
    <w:rsid w:val="00D9408A"/>
    <w:rsid w:val="00DB2A1E"/>
    <w:rsid w:val="00DC460E"/>
    <w:rsid w:val="00DC472C"/>
    <w:rsid w:val="00E0053E"/>
    <w:rsid w:val="00E15E7D"/>
    <w:rsid w:val="00E269B6"/>
    <w:rsid w:val="00E4306D"/>
    <w:rsid w:val="00E5279B"/>
    <w:rsid w:val="00E5355C"/>
    <w:rsid w:val="00EB0584"/>
    <w:rsid w:val="00EC42FA"/>
    <w:rsid w:val="00ED48BD"/>
    <w:rsid w:val="00EF7643"/>
    <w:rsid w:val="00F0650B"/>
    <w:rsid w:val="00F168E1"/>
    <w:rsid w:val="00F20218"/>
    <w:rsid w:val="00F27A93"/>
    <w:rsid w:val="00F30C61"/>
    <w:rsid w:val="00F46496"/>
    <w:rsid w:val="00F52255"/>
    <w:rsid w:val="00F73417"/>
    <w:rsid w:val="00F83F9D"/>
    <w:rsid w:val="00FA4424"/>
    <w:rsid w:val="00FA7E37"/>
    <w:rsid w:val="00FB3EF2"/>
    <w:rsid w:val="00FE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77D6"/>
  <w15:chartTrackingRefBased/>
  <w15:docId w15:val="{B18BDCBF-A5B6-9E44-8781-225B61D6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0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0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2"/>
    <w:qFormat/>
    <w:rsid w:val="00930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930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C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20D0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E20D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E20D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20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20D0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E20D0"/>
    <w:rPr>
      <w:rFonts w:ascii="Courier New" w:eastAsiaTheme="minorEastAsia" w:hAnsi="Courier New" w:cs="Courier New"/>
      <w:sz w:val="20"/>
      <w:szCs w:val="20"/>
    </w:rPr>
  </w:style>
  <w:style w:type="paragraph" w:customStyle="1" w:styleId="Author">
    <w:name w:val="Author"/>
    <w:basedOn w:val="Normal"/>
    <w:uiPriority w:val="3"/>
    <w:qFormat/>
    <w:rsid w:val="00FA7E37"/>
    <w:pPr>
      <w:pBdr>
        <w:bottom w:val="single" w:sz="8" w:space="17" w:color="000000" w:themeColor="text1"/>
      </w:pBdr>
      <w:spacing w:after="640" w:line="240" w:lineRule="auto"/>
      <w:contextualSpacing/>
    </w:pPr>
    <w:rPr>
      <w:rFonts w:eastAsiaTheme="minorHAnsi"/>
      <w:color w:val="000000" w:themeColor="text1"/>
      <w:kern w:val="0"/>
      <w:lang w:eastAsia="ja-JP"/>
      <w14:ligatures w14:val="none"/>
    </w:rPr>
  </w:style>
  <w:style w:type="character" w:styleId="Emphasis">
    <w:name w:val="Emphasis"/>
    <w:basedOn w:val="DefaultParagraphFont"/>
    <w:uiPriority w:val="20"/>
    <w:qFormat/>
    <w:rsid w:val="005419F1"/>
    <w:rPr>
      <w:i/>
      <w:iCs/>
    </w:rPr>
  </w:style>
  <w:style w:type="character" w:customStyle="1" w:styleId="katex-mathml">
    <w:name w:val="katex-mathml"/>
    <w:basedOn w:val="DefaultParagraphFont"/>
    <w:rsid w:val="00940235"/>
  </w:style>
  <w:style w:type="character" w:customStyle="1" w:styleId="mord">
    <w:name w:val="mord"/>
    <w:basedOn w:val="DefaultParagraphFont"/>
    <w:rsid w:val="00940235"/>
  </w:style>
  <w:style w:type="character" w:customStyle="1" w:styleId="mopen">
    <w:name w:val="mopen"/>
    <w:basedOn w:val="DefaultParagraphFont"/>
    <w:rsid w:val="00940235"/>
  </w:style>
  <w:style w:type="character" w:customStyle="1" w:styleId="mclose">
    <w:name w:val="mclose"/>
    <w:basedOn w:val="DefaultParagraphFont"/>
    <w:rsid w:val="00940235"/>
  </w:style>
  <w:style w:type="character" w:customStyle="1" w:styleId="mrel">
    <w:name w:val="mrel"/>
    <w:basedOn w:val="DefaultParagraphFont"/>
    <w:rsid w:val="00940235"/>
  </w:style>
  <w:style w:type="character" w:customStyle="1" w:styleId="vlist-s">
    <w:name w:val="vlist-s"/>
    <w:basedOn w:val="DefaultParagraphFont"/>
    <w:rsid w:val="009402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26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08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98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82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3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43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32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22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12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491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35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42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69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0831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787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12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360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693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331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1731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64819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443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3203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417452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60729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094615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2852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083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3606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6953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633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89673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94400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42476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71362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820614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44955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49987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4891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3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950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9454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02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42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701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3673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0639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469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9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5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68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4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92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28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01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35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4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2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77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0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3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33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335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07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550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899462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016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644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918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97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201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9367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7716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753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7728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2007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2819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076614">
                                                      <w:marLeft w:val="0"/>
                                                      <w:marRight w:val="0"/>
                                                      <w:marTop w:val="24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97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5664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217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26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091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759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1056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6323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0978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52745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8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39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6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74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2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8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73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39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0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88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367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49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3996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1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467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5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9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17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9</Pages>
  <Words>1595</Words>
  <Characters>9094</Characters>
  <Application>Microsoft Office Word</Application>
  <DocSecurity>0</DocSecurity>
  <Lines>75</Lines>
  <Paragraphs>21</Paragraphs>
  <ScaleCrop>false</ScaleCrop>
  <Company/>
  <LinksUpToDate>false</LinksUpToDate>
  <CharactersWithSpaces>10668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Irem</dc:creator>
  <cp:keywords/>
  <dc:description/>
  <cp:lastModifiedBy>Paul Irem</cp:lastModifiedBy>
  <cp:revision>162</cp:revision>
  <dcterms:created xsi:type="dcterms:W3CDTF">2026-03-05T12:01:00Z</dcterms:created>
  <dcterms:modified xsi:type="dcterms:W3CDTF">2026-03-30T09:48:00Z</dcterms:modified>
</cp:coreProperties>
</file>