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28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Vectorless vs Vector-Based Retrieval-Augmented Generation: A Comparative Study for Legal Question Answering</w:t>
      </w:r>
    </w:p>
    <w:p>
      <w:pPr>
        <w:pStyle w:val="Author"/>
      </w:pPr>
      <w:r>
        <w:t xml:space="preserve">[Author Name]</w:t>
      </w:r>
      <w:r>
        <w:rPr>
          <w:vertAlign w:val="superscript"/>
        </w:rPr>
        <w:t xml:space="preserve">[1]</w:t>
      </w:r>
    </w:p>
    <w:p>
      <w:pPr>
        <w:pStyle w:val="Author"/>
      </w:pPr>
      <w:r>
        <w:t xml:space="preserve">[Co-Author 1]</w:t>
      </w:r>
      <w:r>
        <w:rPr>
          <w:vertAlign w:val="superscript"/>
        </w:rPr>
        <w:t xml:space="preserve">[1]</w:t>
      </w:r>
    </w:p>
    <w:p>
      <w:pPr>
        <w:pStyle w:val="Author"/>
      </w:pPr>
      <w:r>
        <w:t xml:space="preserve">[Co-Author 2]</w:t>
      </w:r>
      <w:r>
        <w:rPr>
          <w:vertAlign w:val="superscript"/>
        </w:rPr>
        <w:t xml:space="preserve">[1]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Legal question answering is a high-stakes application of large language models (LLMs)</w:t>
      </w:r>
      <w:r>
        <w:t xml:space="preserve"> </w:t>
      </w:r>
      <w:r>
        <w:t xml:space="preserve">in which grounded, auditable, and citation-backed answers are essential. Retrieval-Augmented</w:t>
      </w:r>
      <w:r>
        <w:t xml:space="preserve"> </w:t>
      </w:r>
      <w:r>
        <w:t xml:space="preserve">Generation (RAG) is the prevailing architecture for such systems, but the design space spans</w:t>
      </w:r>
      <w:r>
        <w:t xml:space="preserve"> </w:t>
      </w:r>
      <w:r>
        <w:t xml:space="preserve">two markedly different families: traditional vector-based pipelines that rely on dense embeddings</w:t>
      </w:r>
      <w:r>
        <w:t xml:space="preserve"> </w:t>
      </w:r>
      <w:r>
        <w:t xml:space="preserve">and similarity search, and the recently proposed</w:t>
      </w:r>
      <w:r>
        <w:t xml:space="preserve"> </w:t>
      </w:r>
      <w:r>
        <w:rPr>
          <w:i/>
          <w:iCs/>
        </w:rPr>
        <w:t xml:space="preserve">vectorless</w:t>
      </w:r>
      <w:r>
        <w:t xml:space="preserve"> </w:t>
      </w:r>
      <w:r>
        <w:t xml:space="preserve">approach (PageIndex, 2025) that</w:t>
      </w:r>
      <w:r>
        <w:t xml:space="preserve"> </w:t>
      </w:r>
      <w:r>
        <w:t xml:space="preserve">navigates a hierarchical document tree using an LLM agent without any embeddings or vector store.</w:t>
      </w:r>
      <w:r>
        <w:t xml:space="preserve"> </w:t>
      </w:r>
      <w:r>
        <w:t xml:space="preserve">This paper presents a controlled head-to-head comparison of the two paradigms on the Constitution</w:t>
      </w:r>
      <w:r>
        <w:t xml:space="preserve"> </w:t>
      </w:r>
      <w:r>
        <w:t xml:space="preserve">of India. We build two pipelines that share an identical answer-generation backbone and evaluate</w:t>
      </w:r>
      <w:r>
        <w:t xml:space="preserve"> </w:t>
      </w:r>
      <w:r>
        <w:t xml:space="preserve">them on more than 200 question–answer pairs using six complementary metrics — context precision,</w:t>
      </w:r>
      <w:r>
        <w:t xml:space="preserve"> </w:t>
      </w:r>
      <w:r>
        <w:t xml:space="preserve">context recall, hit rate, faithfulness, answer correctness, and semantic similarity. The results</w:t>
      </w:r>
      <w:r>
        <w:t xml:space="preserve"> </w:t>
      </w:r>
      <w:r>
        <w:t xml:space="preserve">reveal a clean trade-off: the vectorless tree-based system dominates every retrieval-quality</w:t>
      </w:r>
      <w:r>
        <w:t xml:space="preserve"> </w:t>
      </w:r>
      <w:r>
        <w:t xml:space="preserve">metric, while the vector-and-graph pipeline dominates every answer-quality metric. Our analysis</w:t>
      </w:r>
      <w:r>
        <w:t xml:space="preserve"> </w:t>
      </w:r>
      <w:r>
        <w:t xml:space="preserve">attributes this split to the structural alignment between the Constitution’s hierarchy and the</w:t>
      </w:r>
      <w:r>
        <w:t xml:space="preserve"> </w:t>
      </w:r>
      <w:r>
        <w:t xml:space="preserve">PageIndex tree, and to the broader contextual envelope provided by top-k cosine retrieval. The</w:t>
      </w:r>
      <w:r>
        <w:t xml:space="preserve"> </w:t>
      </w:r>
      <w:r>
        <w:t xml:space="preserve">findings argue that legal RAG systems should be evaluated on both axes jointly and motivate</w:t>
      </w:r>
      <w:r>
        <w:t xml:space="preserve"> </w:t>
      </w:r>
      <w:r>
        <w:t xml:space="preserve">hybrid pipelines that combine vectorless precision with graph-augmented recall.</w:t>
      </w:r>
    </w:p>
    <w:bookmarkStart w:id="20" w:name="introduction"/>
    <w:p>
      <w:pPr>
        <w:pStyle w:val="heading 1"/>
      </w:pPr>
      <w:r>
        <w:t xml:space="preserve">1 Introduction</w:t>
      </w:r>
    </w:p>
    <w:p>
      <w:pPr>
        <w:pStyle w:val="FirstParagraph"/>
      </w:pPr>
      <w:r>
        <w:t xml:space="preserve">Legal information systems are among the most demanding applications of natural language processing.</w:t>
      </w:r>
      <w:r>
        <w:t xml:space="preserve"> </w:t>
      </w:r>
      <w:r>
        <w:t xml:space="preserve">Statutes are written in dense, cross-referencing prose; a single article often inherits meaning</w:t>
      </w:r>
      <w:r>
        <w:t xml:space="preserve"> </w:t>
      </w:r>
      <w:r>
        <w:t xml:space="preserve">from earlier definitions, depends on later schedules, and is amended by clauses scattered across</w:t>
      </w:r>
      <w:r>
        <w:t xml:space="preserve"> </w:t>
      </w:r>
      <w:r>
        <w:t xml:space="preserve">the document. Practitioners therefore expect any artificial-intelligence assistant in the legal</w:t>
      </w:r>
      <w:r>
        <w:t xml:space="preserve"> </w:t>
      </w:r>
      <w:r>
        <w:t xml:space="preserve">domain to do more than produce fluent answers — they require</w:t>
      </w:r>
      <w:r>
        <w:t xml:space="preserve"> </w:t>
      </w:r>
      <w:r>
        <w:rPr>
          <w:i/>
          <w:iCs/>
        </w:rPr>
        <w:t xml:space="preserve">grounded</w:t>
      </w:r>
      <w:r>
        <w:t xml:space="preserve"> </w:t>
      </w:r>
      <w:r>
        <w:t xml:space="preserve">answers that can be</w:t>
      </w:r>
      <w:r>
        <w:t xml:space="preserve"> </w:t>
      </w:r>
      <w:r>
        <w:t xml:space="preserve">verified against authoritative source material, with a clear audit trail back to the article,</w:t>
      </w:r>
      <w:r>
        <w:t xml:space="preserve"> </w:t>
      </w:r>
      <w:r>
        <w:t xml:space="preserve">clause, or sub-clause that supports each statement</w:t>
      </w:r>
      <w:r>
        <w:t xml:space="preserve"> </w:t>
      </w:r>
      <w:r>
        <w:t xml:space="preserve">[</w:t>
      </w:r>
      <w:hyperlink w:anchor="ref-paul2023inlegalbert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Retrieval-Augmented Generation (RAG)</w:t>
      </w:r>
      <w:r>
        <w:t xml:space="preserve"> </w:t>
      </w:r>
      <w:r>
        <w:t xml:space="preserve">[</w:t>
      </w:r>
      <w:hyperlink w:anchor="ref-lewis2020rag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has become the dominant architecture for</w:t>
      </w:r>
      <w:r>
        <w:t xml:space="preserve"> </w:t>
      </w:r>
      <w:r>
        <w:t xml:space="preserve">this class of problem. By inserting a retrieval step between the user’s question and the language</w:t>
      </w:r>
      <w:r>
        <w:t xml:space="preserve"> </w:t>
      </w:r>
      <w:r>
        <w:t xml:space="preserve">model, RAG grounds the generator in a small set of relevant passages, reducing parametric</w:t>
      </w:r>
      <w:r>
        <w:t xml:space="preserve"> </w:t>
      </w:r>
      <w:r>
        <w:t xml:space="preserve">hallucination and enabling source citation. The retrieval step is typically realised through dense</w:t>
      </w:r>
      <w:r>
        <w:t xml:space="preserve"> </w:t>
      </w:r>
      <w:r>
        <w:t xml:space="preserve">vector embeddings and approximate nearest-neighbour search</w:t>
      </w:r>
      <w:r>
        <w:t xml:space="preserve"> </w:t>
      </w:r>
      <w:r>
        <w:t xml:space="preserve">[</w:t>
      </w:r>
      <w:hyperlink w:anchor="ref-karpukhin2020dpr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, optionally</w:t>
      </w:r>
      <w:r>
        <w:t xml:space="preserve"> </w:t>
      </w:r>
      <w:r>
        <w:t xml:space="preserve">augmented with a knowledge graph that captures explicit cross-references between entities or</w:t>
      </w:r>
      <w:r>
        <w:t xml:space="preserve"> </w:t>
      </w:r>
      <w:r>
        <w:t xml:space="preserve">articles</w:t>
      </w:r>
      <w:r>
        <w:t xml:space="preserve"> </w:t>
      </w:r>
      <w:r>
        <w:t xml:space="preserve">[</w:t>
      </w:r>
      <w:hyperlink w:anchor="ref-edge2024graphrag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 We refer to this family collectively as</w:t>
      </w:r>
      <w:r>
        <w:t xml:space="preserve"> </w:t>
      </w:r>
      <w:r>
        <w:rPr>
          <w:b/>
          <w:bCs/>
        </w:rPr>
        <w:t xml:space="preserve">vector-based RAG</w:t>
      </w:r>
      <w:r>
        <w:t xml:space="preserve">.</w:t>
      </w:r>
    </w:p>
    <w:p>
      <w:pPr>
        <w:pStyle w:val="BodyText"/>
      </w:pPr>
      <w:r>
        <w:t xml:space="preserve">In September 2025 a different approach gained attention under the name</w:t>
      </w:r>
      <w:r>
        <w:t xml:space="preserve"> </w:t>
      </w:r>
      <w:r>
        <w:rPr>
          <w:b/>
          <w:bCs/>
        </w:rPr>
        <w:t xml:space="preserve">PageIndex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vectorless</w:t>
      </w:r>
      <w:r>
        <w:t xml:space="preserve"> </w:t>
      </w:r>
      <w:r>
        <w:t xml:space="preserve">RAG technique that abandons embeddings and similarity search entirely. Instead,</w:t>
      </w:r>
      <w:r>
        <w:t xml:space="preserve"> </w:t>
      </w:r>
      <w:r>
        <w:t xml:space="preserve">the document is represented as a hierarchical tree (parts, chapters, articles, clauses) that</w:t>
      </w:r>
      <w:r>
        <w:t xml:space="preserve"> </w:t>
      </w:r>
      <w:r>
        <w:t xml:space="preserve">mirrors the table of contents. At query time, an LLM agent navigates this tree through</w:t>
      </w:r>
      <w:r>
        <w:t xml:space="preserve"> </w:t>
      </w:r>
      <w:r>
        <w:t xml:space="preserve">tool-calling steps, descending into branches whose titles or summaries appear relevant and</w:t>
      </w:r>
      <w:r>
        <w:t xml:space="preserve"> </w:t>
      </w:r>
      <w:r>
        <w:t xml:space="preserve">gathering the leaf passages it needs to compose an answer. Because no embeddings exist, retrieval</w:t>
      </w:r>
      <w:r>
        <w:t xml:space="preserve"> </w:t>
      </w:r>
      <w:r>
        <w:t xml:space="preserve">is fully deterministic in its addressing scheme and the document’s logical structure is preserved</w:t>
      </w:r>
      <w:r>
        <w:t xml:space="preserve"> </w:t>
      </w:r>
      <w:r>
        <w:t xml:space="preserve">intact — both attractive properties for legal text, where hierarchy is meaningful.</w:t>
      </w:r>
    </w:p>
    <w:p>
      <w:pPr>
        <w:pStyle w:val="BodyText"/>
      </w:pPr>
      <w:r>
        <w:t xml:space="preserve">These two families embody opposite design philosophies. Vector-based RAG treats the document as a</w:t>
      </w:r>
      <w:r>
        <w:t xml:space="preserve"> </w:t>
      </w:r>
      <w:r>
        <w:t xml:space="preserve">flat soup of chunks and relies on learned representations to surface relevant ones; vectorless</w:t>
      </w:r>
      <w:r>
        <w:t xml:space="preserve"> </w:t>
      </w:r>
      <w:r>
        <w:t xml:space="preserve">RAG treats the document as a structured artefact and relies on its existing organisation to guide</w:t>
      </w:r>
      <w:r>
        <w:t xml:space="preserve"> </w:t>
      </w:r>
      <w:r>
        <w:t xml:space="preserve">retrieval. Whether one or the other is preferable for legal question answering — and which</w:t>
      </w:r>
      <w:r>
        <w:t xml:space="preserve"> </w:t>
      </w:r>
      <w:r>
        <w:t xml:space="preserve">qualities of the answer they each preserve or sacrifice — is an open empirical question.</w:t>
      </w:r>
    </w:p>
    <w:p>
      <w:pPr>
        <w:pStyle w:val="BodyText"/>
      </w:pPr>
      <w:r>
        <w:t xml:space="preserve">This paper provides a direct, controlled answer. We implement two pipelines on the same legal</w:t>
      </w:r>
      <w:r>
        <w:t xml:space="preserve"> </w:t>
      </w:r>
      <w:r>
        <w:t xml:space="preserve">corpus (the Constitution of India), with the same answer-generation model (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at</w:t>
      </w:r>
      <w:r>
        <w:t xml:space="preserve"> </w:t>
      </w:r>
      <w:r>
        <w:t xml:space="preserve">temperature zero) and the same prompts, varying only the retrieval philosophy. We evaluate the</w:t>
      </w:r>
      <w:r>
        <w:t xml:space="preserve"> </w:t>
      </w:r>
      <w:r>
        <w:t xml:space="preserve">two systems on more than 200 question–answer pairs using six complementary metrics drawn from</w:t>
      </w:r>
      <w:r>
        <w:t xml:space="preserve"> </w:t>
      </w:r>
      <w:r>
        <w:t xml:space="preserve">the recent RAG-evaluation literature</w:t>
      </w:r>
      <w:r>
        <w:t xml:space="preserve"> </w:t>
      </w:r>
      <w:r>
        <w:t xml:space="preserve">[</w:t>
      </w:r>
      <w:hyperlink w:anchor="ref-es2024ragas">
        <w:r>
          <w:rPr>
            <w:rStyle w:val="Hyperlink"/>
          </w:rPr>
          <w:t xml:space="preserve">5</w:t>
        </w:r>
      </w:hyperlink>
      <w:r>
        <w:t xml:space="preserve">–</w:t>
      </w:r>
      <w:hyperlink w:anchor="ref-adlakha2024evaluating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Across the full evaluation, we observe a sharp three-versus-three split: the vectorless system</w:t>
      </w:r>
      <w:r>
        <w:t xml:space="preserve"> </w:t>
      </w:r>
      <w:r>
        <w:t xml:space="preserve">wins every retrieval-quality metric (precision, recall, hit rate), while the vector-plus-graph</w:t>
      </w:r>
      <w:r>
        <w:t xml:space="preserve"> </w:t>
      </w:r>
      <w:r>
        <w:t xml:space="preserve">system wins every answer-quality metric (faithfulness, correctness, semantic similarity).</w:t>
      </w:r>
    </w:p>
    <w:p>
      <w:pPr>
        <w:pStyle w:val="BodyText"/>
      </w:pPr>
      <w:r>
        <w:t xml:space="preserve">Our contributions are threefold. First, we present a head-to-head comparison of vectorless and</w:t>
      </w:r>
      <w:r>
        <w:t xml:space="preserve"> </w:t>
      </w:r>
      <w:r>
        <w:t xml:space="preserve">vector-based RAG on a real legal corpus, with the generator held constant so that observed</w:t>
      </w:r>
      <w:r>
        <w:t xml:space="preserve"> </w:t>
      </w:r>
      <w:r>
        <w:t xml:space="preserve">differences are attributable to the retrieval architecture. Second, we introduce a six-metric</w:t>
      </w:r>
      <w:r>
        <w:t xml:space="preserve"> </w:t>
      </w:r>
      <w:r>
        <w:t xml:space="preserve">evaluation methodology that combines deterministic signals (token-level F1, embedding cosine,</w:t>
      </w:r>
      <w:r>
        <w:t xml:space="preserve"> </w:t>
      </w:r>
      <w:r>
        <w:t xml:space="preserve">ground-truth-source matching) with LLM-judged signals (claim-decomposition faithfulness,</w:t>
      </w:r>
      <w:r>
        <w:t xml:space="preserve"> </w:t>
      </w:r>
      <w:r>
        <w:t xml:space="preserve">structured-JSON correctness), reducing reliance on any single subjective measure. Third, we</w:t>
      </w:r>
      <w:r>
        <w:t xml:space="preserve"> </w:t>
      </w:r>
      <w:r>
        <w:t xml:space="preserve">articulate a clear architectural trade-off: vectorless retrieval offers superior source fidelity,</w:t>
      </w:r>
      <w:r>
        <w:t xml:space="preserve"> </w:t>
      </w:r>
      <w:r>
        <w:t xml:space="preserve">while vector-and-graph retrieval offers superior answer quality, suggesting that legal practitioners</w:t>
      </w:r>
      <w:r>
        <w:t xml:space="preserve"> </w:t>
      </w:r>
      <w:r>
        <w:t xml:space="preserve">should choose between the two based on whether citation accuracy or answer fluency is the dominant</w:t>
      </w:r>
      <w:r>
        <w:t xml:space="preserve"> </w:t>
      </w:r>
      <w:r>
        <w:t xml:space="preserve">requirement of their use case.</w:t>
      </w:r>
    </w:p>
    <w:bookmarkEnd w:id="20"/>
    <w:bookmarkStart w:id="24" w:name="background"/>
    <w:p>
      <w:pPr>
        <w:pStyle w:val="heading 1"/>
      </w:pPr>
      <w:r>
        <w:t xml:space="preserve">2 An Overview of RAG Approaches for Legal AI</w:t>
      </w:r>
    </w:p>
    <w:p>
      <w:pPr>
        <w:pStyle w:val="FirstParagraph"/>
      </w:pPr>
      <w:r>
        <w:t xml:space="preserve">Retrieval-Augmented Generation pipelines for legal text fall along a spectrum of how heavily they</w:t>
      </w:r>
      <w:r>
        <w:t xml:space="preserve"> </w:t>
      </w:r>
      <w:r>
        <w:t xml:space="preserve">rely on learned vector representations. This section surveys the spectrum and contrasts the two</w:t>
      </w:r>
      <w:r>
        <w:t xml:space="preserve"> </w:t>
      </w:r>
      <w:r>
        <w:t xml:space="preserve">endpoints that we compare empirically in later sections.</w:t>
      </w:r>
    </w:p>
    <w:bookmarkStart w:id="21" w:name="traditional-vector-based-rag"/>
    <w:p>
      <w:pPr>
        <w:pStyle w:val="heading 2"/>
      </w:pPr>
      <w:r>
        <w:t xml:space="preserve">2.1 Traditional Vector-Based RAG</w:t>
      </w:r>
    </w:p>
    <w:p>
      <w:pPr>
        <w:pStyle w:val="FirstParagraph"/>
      </w:pPr>
      <w:r>
        <w:t xml:space="preserve">A traditional RAG pipeline begins with an offline ingestion stage in which the source corpus is</w:t>
      </w:r>
      <w:r>
        <w:t xml:space="preserve"> </w:t>
      </w:r>
      <w:r>
        <w:t xml:space="preserve">divided into chunks of bounded length, each chunk is embedded into a fixed-dimensional vector by a</w:t>
      </w:r>
      <w:r>
        <w:t xml:space="preserve"> </w:t>
      </w:r>
      <w:r>
        <w:t xml:space="preserve">neural encoder, and the resulting vectors are stored in an approximate-nearest-neighbour index.</w:t>
      </w:r>
      <w:r>
        <w:t xml:space="preserve"> </w:t>
      </w:r>
      <w:r>
        <w:t xml:space="preserve">At query time, the user question is embedded with the same encoder; the top-</w:t>
      </w:r>
      <w:r>
        <w:rPr>
          <w:i/>
          <w:iCs/>
        </w:rPr>
        <w:t xml:space="preserve">k</w:t>
      </w:r>
      <w:r>
        <w:t xml:space="preserve"> </w:t>
      </w:r>
      <w:r>
        <w:t xml:space="preserve">most similar</w:t>
      </w:r>
      <w:r>
        <w:t xml:space="preserve"> </w:t>
      </w:r>
      <w:r>
        <w:t xml:space="preserve">chunks are retrieved by cosine distance and concatenated into the prompt that conditions answer</w:t>
      </w:r>
      <w:r>
        <w:t xml:space="preserve"> </w:t>
      </w:r>
      <w:r>
        <w:t xml:space="preserve">generation</w:t>
      </w:r>
      <w:r>
        <w:t xml:space="preserve"> </w:t>
      </w:r>
      <w:r>
        <w:t xml:space="preserve">[</w:t>
      </w:r>
      <w:hyperlink w:anchor="ref-karpukhin2020dpr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 This design has two properties that make it convenient: the</w:t>
      </w:r>
      <w:r>
        <w:t xml:space="preserve"> </w:t>
      </w:r>
      <w:r>
        <w:t xml:space="preserve">retrieval step is independent of the LLM, and indexing scales linearly with corpus size.</w:t>
      </w:r>
    </w:p>
    <w:p>
      <w:pPr>
        <w:pStyle w:val="BodyText"/>
      </w:pPr>
      <w:r>
        <w:t xml:space="preserve">For legal documents, however, the chunking step poses a structural problem. Legal text is rich in</w:t>
      </w:r>
      <w:r>
        <w:t xml:space="preserve"> </w:t>
      </w:r>
      <w:r>
        <w:t xml:space="preserve">cross-references — a clause in Article 32 of the Indian Constitution refers back to the</w:t>
      </w:r>
      <w:r>
        <w:t xml:space="preserve"> </w:t>
      </w:r>
      <w:r>
        <w:t xml:space="preserve">fundamental rights enumerated in Articles 12 to 30, while Article 368 invokes provisions about</w:t>
      </w:r>
      <w:r>
        <w:t xml:space="preserve"> </w:t>
      </w:r>
      <w:r>
        <w:t xml:space="preserve">amendment procedure that span several earlier parts. Naïve chunking by token length severs these</w:t>
      </w:r>
      <w:r>
        <w:t xml:space="preserve"> </w:t>
      </w:r>
      <w:r>
        <w:t xml:space="preserve">references; embedding-based retrieval may then surface a clause about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of fundamental</w:t>
      </w:r>
      <w:r>
        <w:t xml:space="preserve"> </w:t>
      </w:r>
      <w:r>
        <w:t xml:space="preserve">rights without surfacing the rights themselves. Hyde-style query rewriting</w:t>
      </w:r>
      <w:r>
        <w:t xml:space="preserve"> </w:t>
      </w:r>
      <w:r>
        <w:t xml:space="preserve">[</w:t>
      </w:r>
      <w:hyperlink w:anchor="ref-gao2023hyde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 </w:t>
      </w:r>
      <w:r>
        <w:t xml:space="preserve">partially</w:t>
      </w:r>
      <w:r>
        <w:t xml:space="preserve"> </w:t>
      </w:r>
      <w:r>
        <w:t xml:space="preserve">mitigates the problem but does not eliminate it.</w:t>
      </w:r>
    </w:p>
    <w:bookmarkEnd w:id="21"/>
    <w:bookmarkStart w:id="22" w:name="knowledge-graph-augmentation"/>
    <w:p>
      <w:pPr>
        <w:pStyle w:val="heading 2"/>
      </w:pPr>
      <w:r>
        <w:t xml:space="preserve">2.2 Knowledge-Graph Augmentation</w:t>
      </w:r>
    </w:p>
    <w:p>
      <w:pPr>
        <w:pStyle w:val="FirstParagraph"/>
      </w:pPr>
      <w:r>
        <w:t xml:space="preserve">A common remedy is to overlay a knowledge graph on top of the vector index. In our implementation,</w:t>
      </w:r>
      <w:r>
        <w:t xml:space="preserve"> </w:t>
      </w:r>
      <w:r>
        <w:t xml:space="preserve">each Constitution article becomes a node and each explicit reference (e.g. </w:t>
      </w:r>
      <w:r>
        <w:t xml:space="preserve">“subject to the</w:t>
      </w:r>
      <w:r>
        <w:t xml:space="preserve"> </w:t>
      </w:r>
      <w:r>
        <w:t xml:space="preserve">provisions of Article 19”</w:t>
      </w:r>
      <w:r>
        <w:t xml:space="preserve">) becomes a directed</w:t>
      </w:r>
      <w:r>
        <w:t xml:space="preserve"> </w:t>
      </w:r>
      <w:r>
        <w:rPr>
          <w:rStyle w:val="VerbatimChar"/>
        </w:rPr>
        <w:t xml:space="preserve">REFERS_TO</w:t>
      </w:r>
      <w:r>
        <w:t xml:space="preserve"> </w:t>
      </w:r>
      <w:r>
        <w:t xml:space="preserve">edge in a Neo4j graph. After the cosine</w:t>
      </w:r>
      <w:r>
        <w:t xml:space="preserve"> </w:t>
      </w:r>
      <w:r>
        <w:t xml:space="preserve">retrieval step returns its top-</w:t>
      </w:r>
      <w:r>
        <w:rPr>
          <w:i/>
          <w:iCs/>
        </w:rPr>
        <w:t xml:space="preserve">k</w:t>
      </w:r>
      <w:r>
        <w:t xml:space="preserve"> </w:t>
      </w:r>
      <w:r>
        <w:t xml:space="preserve">chunks, the pipeline expands the result set with one or two</w:t>
      </w:r>
      <w:r>
        <w:t xml:space="preserve"> </w:t>
      </w:r>
      <w:r>
        <w:t xml:space="preserve">hops along these edges, restoring the cross-references that chunking would have destroyed. The</w:t>
      </w:r>
      <w:r>
        <w:t xml:space="preserve"> </w:t>
      </w:r>
      <w:r>
        <w:t xml:space="preserve">graph also provides a deterministic fallback when embedding similarity fails to surface a</w:t>
      </w:r>
      <w:r>
        <w:t xml:space="preserve"> </w:t>
      </w:r>
      <w:r>
        <w:t xml:space="preserve">known-related article. Variations of this idea appear in GraphRAG</w:t>
      </w:r>
      <w:r>
        <w:t xml:space="preserve"> </w:t>
      </w:r>
      <w:r>
        <w:t xml:space="preserve">[</w:t>
      </w:r>
      <w:hyperlink w:anchor="ref-edge2024graphrag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related work that combines structured and unstructured retrieval.</w:t>
      </w:r>
    </w:p>
    <w:bookmarkEnd w:id="22"/>
    <w:bookmarkStart w:id="23" w:name="vectorless-rag-via-pageindex"/>
    <w:p>
      <w:pPr>
        <w:pStyle w:val="heading 2"/>
      </w:pPr>
      <w:r>
        <w:t xml:space="preserve">2.3 Vectorless RAG via PageIndex</w:t>
      </w:r>
    </w:p>
    <w:p>
      <w:pPr>
        <w:pStyle w:val="FirstParagraph"/>
      </w:pPr>
      <w:r>
        <w:t xml:space="preserve">The vectorless approach (PageIndex, 2025</w:t>
      </w:r>
      <w:r>
        <w:t xml:space="preserve"> </w:t>
      </w:r>
      <w:r>
        <w:t xml:space="preserve">[</w:t>
      </w:r>
      <w:hyperlink w:anchor="ref-pageindex2025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) removes the embedding step entirely.</w:t>
      </w:r>
      <w:r>
        <w:t xml:space="preserve"> </w:t>
      </w:r>
      <w:r>
        <w:t xml:space="preserve">During ingestion the document is parsed into a hierarchical tree whose structure mirrors its</w:t>
      </w:r>
      <w:r>
        <w:t xml:space="preserve"> </w:t>
      </w:r>
      <w:r>
        <w:t xml:space="preserve">logical organisation: parts contain chapters, chapters contain articles, articles contain clauses</w:t>
      </w:r>
      <w:r>
        <w:t xml:space="preserve"> </w:t>
      </w:r>
      <w:r>
        <w:t xml:space="preserve">and sub-clauses. Each non-leaf node carries a short summary; each leaf node stores the raw text.</w:t>
      </w:r>
      <w:r>
        <w:t xml:space="preserve"> </w:t>
      </w:r>
      <w:r>
        <w:t xml:space="preserve">At query time, the system uses an LLM as a navigation agent: starting at the root, the agent</w:t>
      </w:r>
      <w:r>
        <w:t xml:space="preserve"> </w:t>
      </w:r>
      <w:r>
        <w:t xml:space="preserve">inspects child summaries, chooses a subtree to descend, and either returns the leaf content it</w:t>
      </w:r>
      <w:r>
        <w:t xml:space="preserve"> </w:t>
      </w:r>
      <w:r>
        <w:t xml:space="preserve">finds or recurses into another sub-tree. Retrieval terminates when the agent declares that it has</w:t>
      </w:r>
      <w:r>
        <w:t xml:space="preserve"> </w:t>
      </w:r>
      <w:r>
        <w:t xml:space="preserve">gathered sufficient evidence or a maximum hop budget is reached.</w:t>
      </w:r>
    </w:p>
    <w:p>
      <w:pPr>
        <w:pStyle w:val="BodyText"/>
      </w:pPr>
      <w:r>
        <w:t xml:space="preserve">Because the retrieval surface is the document’s own table of contents, vectorless RAG preserves</w:t>
      </w:r>
      <w:r>
        <w:t xml:space="preserve"> </w:t>
      </w:r>
      <w:r>
        <w:t xml:space="preserve">hierarchy by construction. There is no chunk-boundary loss: the leaf node of</w:t>
      </w:r>
      <w:r>
        <w:t xml:space="preserve"> </w:t>
      </w:r>
      <w:r>
        <w:rPr>
          <w:i/>
          <w:iCs/>
        </w:rPr>
        <w:t xml:space="preserve">Article 21</w:t>
      </w:r>
      <w:r>
        <w:t xml:space="preserve"> </w:t>
      </w:r>
      <w:r>
        <w:t xml:space="preserve">is</w:t>
      </w:r>
      <w:r>
        <w:t xml:space="preserve"> </w:t>
      </w:r>
      <w:r>
        <w:t xml:space="preserve">exactly the article and only the article. Cross-references can still be missed if the agent does</w:t>
      </w:r>
      <w:r>
        <w:t xml:space="preserve"> </w:t>
      </w:r>
      <w:r>
        <w:t xml:space="preserve">not navigate to a related article, but the addressing of any returned passage is canonical and</w:t>
      </w:r>
      <w:r>
        <w:t xml:space="preserve"> </w:t>
      </w:r>
      <w:r>
        <w:t xml:space="preserve">auditable. The trade-off is computational: each retrieval call invokes the LLM, and a single</w:t>
      </w:r>
      <w:r>
        <w:t xml:space="preserve"> </w:t>
      </w:r>
      <w:r>
        <w:t xml:space="preserve">multi-hop trace may consume two or three LLM calls before the answer model is even invoked.</w:t>
      </w:r>
    </w:p>
    <w:bookmarkEnd w:id="23"/>
    <w:bookmarkEnd w:id="24"/>
    <w:bookmarkStart w:id="25" w:name="related"/>
    <w:p>
      <w:pPr>
        <w:pStyle w:val="heading 1"/>
      </w:pPr>
      <w:r>
        <w:t xml:space="preserve">3 Related Works</w:t>
      </w:r>
    </w:p>
    <w:p>
      <w:pPr>
        <w:pStyle w:val="FirstParagraph"/>
      </w:pPr>
      <w:r>
        <w:t xml:space="preserve">A growing body of literature studies the evaluation and improvement of RAG pipelines. Lewis et al.</w:t>
      </w:r>
      <w:r>
        <w:t xml:space="preserve"> </w:t>
      </w:r>
      <w:r>
        <w:t xml:space="preserve">[</w:t>
      </w:r>
      <w:hyperlink w:anchor="ref-lewis2020rag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established the basic encoder–decoder architecture; Karpukhin et al.</w:t>
      </w:r>
      <w:r>
        <w:t xml:space="preserve"> </w:t>
      </w:r>
      <w:r>
        <w:t xml:space="preserve">[</w:t>
      </w:r>
      <w:hyperlink w:anchor="ref-karpukhin2020dpr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 </w:t>
      </w:r>
      <w:r>
        <w:t xml:space="preserve">introduced dense passage retrieval as a learned alternative to BM25.</w:t>
      </w:r>
      <w:r>
        <w:t xml:space="preserve"> </w:t>
      </w:r>
      <w:r>
        <w:t xml:space="preserve">Frameworks for automated RAG evaluation include RAGAS</w:t>
      </w:r>
      <w:r>
        <w:t xml:space="preserve"> </w:t>
      </w:r>
      <w:r>
        <w:t xml:space="preserve">[</w:t>
      </w:r>
      <w:hyperlink w:anchor="ref-es2024ragas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, which proposes</w:t>
      </w:r>
      <w:r>
        <w:t xml:space="preserve"> </w:t>
      </w:r>
      <w:r>
        <w:t xml:space="preserve">LLM-judged metrics for context precision, faithfulness, and answer relevance, and ARES</w:t>
      </w:r>
      <w:r>
        <w:t xml:space="preserve"> </w:t>
      </w:r>
      <w:r>
        <w:t xml:space="preserve">[</w:t>
      </w:r>
      <w:hyperlink w:anchor="ref-saadfalcon2024ares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, which fine-tunes lightweight judges from synthetic question–answer pairs.</w:t>
      </w:r>
      <w:r>
        <w:t xml:space="preserve"> </w:t>
      </w:r>
      <w:r>
        <w:t xml:space="preserve">Liu et al.</w:t>
      </w:r>
      <w:r>
        <w:t xml:space="preserve"> </w:t>
      </w:r>
      <w:r>
        <w:t xml:space="preserve">[</w:t>
      </w:r>
      <w:hyperlink w:anchor="ref-liu2023geval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 </w:t>
      </w:r>
      <w:r>
        <w:t xml:space="preserve">showed that GPT-4 itself can serve as a reliable evaluator when prompted</w:t>
      </w:r>
      <w:r>
        <w:t xml:space="preserve"> </w:t>
      </w:r>
      <w:r>
        <w:t xml:space="preserve">with structured rubrics, motivating the LLM-as-judge methodology we adopt for several of our</w:t>
      </w:r>
      <w:r>
        <w:t xml:space="preserve"> </w:t>
      </w:r>
      <w:r>
        <w:t xml:space="preserve">metrics. Adlakha et al.</w:t>
      </w:r>
      <w:r>
        <w:t xml:space="preserve"> </w:t>
      </w:r>
      <w:r>
        <w:t xml:space="preserve">[</w:t>
      </w:r>
      <w:hyperlink w:anchor="ref-adlakha2024evaluating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specifically demonstrated that</w:t>
      </w:r>
      <w:r>
        <w:t xml:space="preserve"> </w:t>
      </w:r>
      <w:r>
        <w:t xml:space="preserve">instruction-following LLMs frequently produce answers that are correct in isolation but</w:t>
      </w:r>
      <w:r>
        <w:t xml:space="preserve"> </w:t>
      </w:r>
      <w:r>
        <w:t xml:space="preserve">unsupported by retrieved context, while Mallen et al.</w:t>
      </w:r>
      <w:r>
        <w:t xml:space="preserve"> </w:t>
      </w:r>
      <w:r>
        <w:t xml:space="preserve">[</w:t>
      </w:r>
      <w:hyperlink w:anchor="ref-mallen2023whennottrust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 </w:t>
      </w:r>
      <w:r>
        <w:t xml:space="preserve">identified</w:t>
      </w:r>
      <w:r>
        <w:t xml:space="preserve"> </w:t>
      </w:r>
      <w:r>
        <w:t xml:space="preserve">parametric memory of popular entities as a contributor to that gap. Edge et al.</w:t>
      </w:r>
      <w:r>
        <w:t xml:space="preserve"> </w:t>
      </w:r>
      <w:r>
        <w:t xml:space="preserve">[</w:t>
      </w:r>
      <w:hyperlink w:anchor="ref-edge2024graphrag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 </w:t>
      </w:r>
      <w:r>
        <w:t xml:space="preserve">proposed a graph-based retrieval variant that motivates the knowledge-graph layer of our</w:t>
      </w:r>
      <w:r>
        <w:t xml:space="preserve"> </w:t>
      </w:r>
      <w:r>
        <w:t xml:space="preserve">vector-based pipeline. In the legal domain, InLegalBERT</w:t>
      </w:r>
      <w:r>
        <w:t xml:space="preserve"> </w:t>
      </w:r>
      <w:r>
        <w:t xml:space="preserve">[</w:t>
      </w:r>
      <w:hyperlink w:anchor="ref-paul2023inlegalbert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illustrates the</w:t>
      </w:r>
      <w:r>
        <w:t xml:space="preserve"> </w:t>
      </w:r>
      <w:r>
        <w:t xml:space="preserve">value of domain-adapted encoders for Indian legal text. Most of these works study retrieval</w:t>
      </w:r>
      <w:r>
        <w:t xml:space="preserve"> </w:t>
      </w:r>
      <w:r>
        <w:t xml:space="preserve">quality and answer quality independently, or evaluate a single architecture in isolation; we are</w:t>
      </w:r>
      <w:r>
        <w:t xml:space="preserve"> </w:t>
      </w:r>
      <w:r>
        <w:t xml:space="preserve">aware of no prior work that contrasts the</w:t>
      </w:r>
      <w:r>
        <w:t xml:space="preserve"> </w:t>
      </w:r>
      <w:r>
        <w:rPr>
          <w:i/>
          <w:iCs/>
        </w:rPr>
        <w:t xml:space="preserve">retrieval philosophy</w:t>
      </w:r>
      <w:r>
        <w:t xml:space="preserve"> </w:t>
      </w:r>
      <w:r>
        <w:t xml:space="preserve">— vectorless tree-navigation</w:t>
      </w:r>
      <w:r>
        <w:t xml:space="preserve"> </w:t>
      </w:r>
      <w:r>
        <w:t xml:space="preserve">versus vector-plus-graph similarity search — on a single legal corpus with a controlled</w:t>
      </w:r>
      <w:r>
        <w:t xml:space="preserve"> </w:t>
      </w:r>
      <w:r>
        <w:t xml:space="preserve">generator. Our study fills that gap.</w:t>
      </w:r>
    </w:p>
    <w:bookmarkEnd w:id="25"/>
    <w:bookmarkStart w:id="32" w:name="case-study"/>
    <w:p>
      <w:pPr>
        <w:pStyle w:val="heading 1"/>
      </w:pPr>
      <w:r>
        <w:t xml:space="preserve">4 A Case Study on the Indian Constitution</w:t>
      </w:r>
    </w:p>
    <w:p>
      <w:pPr>
        <w:pStyle w:val="FirstParagraph"/>
      </w:pPr>
      <w:r>
        <w:t xml:space="preserve">This section describes the corpus, the question–answer dataset, and the two RAG pipelines that</w:t>
      </w:r>
      <w:r>
        <w:t xml:space="preserve"> </w:t>
      </w:r>
      <w:r>
        <w:t xml:space="preserve">form the case study. The Indian Constitution is a particularly suitable test corpus: it is long</w:t>
      </w:r>
      <w:r>
        <w:t xml:space="preserve"> </w:t>
      </w:r>
      <w:r>
        <w:t xml:space="preserve">(over 450 articles in 25 parts), highly hierarchical, and densely cross-referenced, exposing each</w:t>
      </w:r>
      <w:r>
        <w:t xml:space="preserve"> </w:t>
      </w:r>
      <w:r>
        <w:t xml:space="preserve">retrieval philosophy to its characteristic strengths and weaknesses.</w:t>
      </w:r>
    </w:p>
    <w:bookmarkStart w:id="26" w:name="dataset"/>
    <w:p>
      <w:pPr>
        <w:pStyle w:val="heading 2"/>
      </w:pPr>
      <w:r>
        <w:t xml:space="preserve">4.1 Dataset</w:t>
      </w:r>
    </w:p>
    <w:p>
      <w:pPr>
        <w:pStyle w:val="FirstParagraph"/>
      </w:pPr>
      <w:r>
        <w:t xml:space="preserve">The corpus consists of the full text of the Constitution of India in machine-readable form, with</w:t>
      </w:r>
      <w:r>
        <w:t xml:space="preserve"> </w:t>
      </w:r>
      <w:r>
        <w:t xml:space="preserve">its hierarchy of parts, chapters, articles, and clauses preserved. The evaluation dataset contains</w:t>
      </w:r>
      <w:r>
        <w:t xml:space="preserve"> </w:t>
      </w:r>
      <w:r>
        <w:t xml:space="preserve">more than 200 question–answer pairs, drawn from real interpretive questions about constitutional</w:t>
      </w:r>
      <w:r>
        <w:t xml:space="preserve"> </w:t>
      </w:r>
      <w:r>
        <w:t xml:space="preserve">provisions. Each pair records the question text, a reference answer written by a domain</w:t>
      </w:r>
      <w:r>
        <w:t xml:space="preserve"> </w:t>
      </w:r>
      <w:r>
        <w:t xml:space="preserve">annotator, and a set of</w:t>
      </w:r>
      <w:r>
        <w:t xml:space="preserve"> </w:t>
      </w:r>
      <w:r>
        <w:rPr>
          <w:i/>
          <w:iCs/>
        </w:rPr>
        <w:t xml:space="preserve">ground-truth source labels</w:t>
      </w:r>
      <w:r>
        <w:t xml:space="preserve"> </w:t>
      </w:r>
      <w:r>
        <w:t xml:space="preserve">identifying the article(s) on which the</w:t>
      </w:r>
      <w:r>
        <w:t xml:space="preserve"> </w:t>
      </w:r>
      <w:r>
        <w:t xml:space="preserve">correct answer must be based. Roughly three-quarters of the questions have a single ground-truth</w:t>
      </w:r>
      <w:r>
        <w:t xml:space="preserve"> </w:t>
      </w:r>
      <w:r>
        <w:t xml:space="preserve">article (e.g. </w:t>
      </w:r>
      <w:r>
        <w:t xml:space="preserve">“What does Article 21 guarantee?”</w:t>
      </w:r>
      <w:r>
        <w:t xml:space="preserve">), while the remainder require multiple articles</w:t>
      </w:r>
      <w:r>
        <w:t xml:space="preserve"> </w:t>
      </w:r>
      <w:r>
        <w:t xml:space="preserve">(e.g. </w:t>
      </w:r>
      <w:r>
        <w:t xml:space="preserve">“Who appoints the Chief Justice of India?”</w:t>
      </w:r>
      <w:r>
        <w:t xml:space="preserve"> </w:t>
      </w:r>
      <w:r>
        <w:t xml:space="preserve">— Articles 124 and 126). This mix exercises</w:t>
      </w:r>
      <w:r>
        <w:t xml:space="preserve"> </w:t>
      </w:r>
      <w:r>
        <w:t xml:space="preserve">both the retrieval recall capacity of each system and its ability to combine evidence across</w:t>
      </w:r>
      <w:r>
        <w:t xml:space="preserve"> </w:t>
      </w:r>
      <w:r>
        <w:t xml:space="preserve">related provisions.</w:t>
      </w:r>
    </w:p>
    <w:bookmarkEnd w:id="26"/>
    <w:bookmarkStart w:id="27" w:name="X3ef1c636d3717174af8a07904a999ae9d30eff3"/>
    <w:p>
      <w:pPr>
        <w:pStyle w:val="heading 2"/>
      </w:pPr>
      <w:r>
        <w:t xml:space="preserve">4.2 System A: Vector-and-Graph RAG (Traditional)</w:t>
      </w:r>
    </w:p>
    <w:p>
      <w:pPr>
        <w:pStyle w:val="FirstParagraph"/>
      </w:pPr>
      <w:r>
        <w:t xml:space="preserve">The traditional pipeline ingests the Constitution by chunking each article into self-contained</w:t>
      </w:r>
      <w:r>
        <w:t xml:space="preserve"> </w:t>
      </w:r>
      <w:r>
        <w:t xml:space="preserve">passages and embedding them with the open-source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model (768 dimensions).</w:t>
      </w:r>
      <w:r>
        <w:t xml:space="preserve"> </w:t>
      </w:r>
      <w:r>
        <w:t xml:space="preserve">Vectors are stored in a Qdrant collection of 1,677 points using cosine distance. At query time,</w:t>
      </w:r>
      <w:r>
        <w:t xml:space="preserve"> </w:t>
      </w:r>
      <w:r>
        <w:t xml:space="preserve">the user question is embedded with the same model and the top-10 most similar chunks are</w:t>
      </w:r>
      <w:r>
        <w:t xml:space="preserve"> </w:t>
      </w:r>
      <w:r>
        <w:t xml:space="preserve">retrieved. The retrieved chunks are then augmented through one hop along</w:t>
      </w:r>
      <w:r>
        <w:t xml:space="preserve"> </w:t>
      </w:r>
      <w:r>
        <w:rPr>
          <w:rStyle w:val="VerbatimChar"/>
        </w:rPr>
        <w:t xml:space="preserve">REFERS_TO</w:t>
      </w:r>
      <w:r>
        <w:t xml:space="preserve"> </w:t>
      </w:r>
      <w:r>
        <w:t xml:space="preserve">edges in a</w:t>
      </w:r>
      <w:r>
        <w:t xml:space="preserve"> </w:t>
      </w:r>
      <w:r>
        <w:t xml:space="preserve">Neo4j graph that encodes inter-article references mined during ingestion. Finally, the union of</w:t>
      </w:r>
      <w:r>
        <w:t xml:space="preserve"> </w:t>
      </w:r>
      <w:r>
        <w:t xml:space="preserve">cosine-retrieved and graph-expanded chunks is concatenated into a prompt that asks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(temperature 0) to compose the answer. This architecture is summarised on the left side of</w:t>
      </w:r>
      <w:r>
        <w:t xml:space="preserve"> </w:t>
      </w:r>
      <w:r>
        <w:t xml:space="preserve">Figure 1.</w:t>
      </w:r>
    </w:p>
    <w:bookmarkEnd w:id="27"/>
    <w:bookmarkStart w:id="31" w:name="system-b-vectorless-rag-via-pageindex"/>
    <w:p>
      <w:pPr>
        <w:pStyle w:val="heading 2"/>
      </w:pPr>
      <w:r>
        <w:t xml:space="preserve">4.3 System B: Vectorless RAG via PageIndex</w:t>
      </w:r>
    </w:p>
    <w:p>
      <w:pPr>
        <w:pStyle w:val="FirstParagraph"/>
      </w:pPr>
      <w:r>
        <w:t xml:space="preserve">The vectorless pipeline ingests the Constitution into a pre-built hierarchical tree. Each tree</w:t>
      </w:r>
      <w:r>
        <w:t xml:space="preserve"> </w:t>
      </w:r>
      <w:r>
        <w:t xml:space="preserve">node carries a brief summary; leaves carry article-level text. At query time, an LLM navigation</w:t>
      </w:r>
      <w:r>
        <w:t xml:space="preserve"> </w:t>
      </w:r>
      <w:r>
        <w:t xml:space="preserve">agent starts at the root, inspects summaries of children, and descends through up to three hops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MAX_HOPS = 3</w:t>
      </w:r>
      <w:r>
        <w:t xml:space="preserve">), emitting tool calls to read leaf content when it identifies relevant</w:t>
      </w:r>
      <w:r>
        <w:t xml:space="preserve"> </w:t>
      </w:r>
      <w:r>
        <w:t xml:space="preserve">articles. The agent terminates by invoking a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tool, after which the same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model — using the same answer prompt as System A — composes the final response from the</w:t>
      </w:r>
      <w:r>
        <w:t xml:space="preserve"> </w:t>
      </w:r>
      <w:r>
        <w:t xml:space="preserve">collected passages. This architecture is summarised on the right side of Figure 1. No</w:t>
      </w:r>
      <w:r>
        <w:t xml:space="preserve"> </w:t>
      </w:r>
      <w:r>
        <w:t xml:space="preserve">embeddings, vector indexes, or graph databases are involved in this pipeline; the only</w:t>
      </w:r>
      <w:r>
        <w:t xml:space="preserve"> </w:t>
      </w:r>
      <w:r>
        <w:t xml:space="preserve">infrastructure required is the pre-built JSON tree.</w:t>
      </w:r>
    </w:p>
    <w:p>
      <w:pPr>
        <w:pStyle w:val="CaptionedFigure"/>
      </w:pPr>
      <w:r>
        <w:drawing>
          <wp:inline>
            <wp:extent cx="3943350" cy="1592541"/>
            <wp:effectExtent b="0" l="0" r="0" t="0"/>
            <wp:docPr descr="Architecture overview of the two RAG pipelines under comparison: vector-and-graph (left) versus vectorless tree navigation (right). Both share an identical gpt-4o-mini answer-generation backbone." title="" id="29" name="Picture"/>
            <a:graphic>
              <a:graphicData uri="http://schemas.openxmlformats.org/drawingml/2006/picture">
                <pic:pic>
                  <pic:nvPicPr>
                    <pic:cNvPr descr="figures/architecture_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9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overview of the two RAG pipelines under comparison: vector-and-graph</w:t>
      </w:r>
      <w:r>
        <w:t xml:space="preserve"> </w:t>
      </w:r>
      <w:r>
        <w:t xml:space="preserve">(left) versus vectorless tree navigation (right). Both share an identical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answer-generation backbone.</w:t>
      </w:r>
    </w:p>
    <w:p>
      <w:pPr>
        <w:pStyle w:val="BodyText"/>
      </w:pPr>
      <w:r>
        <w:t xml:space="preserve">To make the comparison meaningful, every other variable is held constant. Both systems use the</w:t>
      </w:r>
      <w:r>
        <w:t xml:space="preserve"> </w:t>
      </w:r>
      <w:r>
        <w:t xml:space="preserve">same answer model, the same answer-generation prompt, the same temperature, the same evaluation</w:t>
      </w:r>
      <w:r>
        <w:t xml:space="preserve"> </w:t>
      </w:r>
      <w:r>
        <w:t xml:space="preserve">dataset, and the same metric definitions. Differences in evaluation scores can therefore be</w:t>
      </w:r>
      <w:r>
        <w:t xml:space="preserve"> </w:t>
      </w:r>
      <w:r>
        <w:t xml:space="preserve">attributed to the retrieval architecture rather than to confounding factors in the generator</w:t>
      </w:r>
      <w:r>
        <w:t xml:space="preserve"> </w:t>
      </w:r>
      <w:r>
        <w:t xml:space="preserve">or in the prompt design.</w:t>
      </w:r>
    </w:p>
    <w:bookmarkEnd w:id="31"/>
    <w:bookmarkEnd w:id="32"/>
    <w:bookmarkStart w:id="46" w:name="evaluation"/>
    <w:p>
      <w:pPr>
        <w:pStyle w:val="heading 1"/>
      </w:pPr>
      <w:r>
        <w:t xml:space="preserve">5 Evaluation Methodology and Results</w:t>
      </w:r>
    </w:p>
    <w:p>
      <w:pPr>
        <w:pStyle w:val="FirstParagraph"/>
      </w:pPr>
      <w:r>
        <w:t xml:space="preserve">This section describes the metrics, the judge configuration, and the results obtained over the</w:t>
      </w:r>
      <w:r>
        <w:t xml:space="preserve"> </w:t>
      </w:r>
      <w:r>
        <w:t xml:space="preserve">full evaluation set.</w:t>
      </w:r>
    </w:p>
    <w:bookmarkStart w:id="33" w:name="metrics"/>
    <w:p>
      <w:pPr>
        <w:pStyle w:val="heading 2"/>
      </w:pPr>
      <w:r>
        <w:t xml:space="preserve">5.1 Metrics</w:t>
      </w:r>
    </w:p>
    <w:p>
      <w:pPr>
        <w:pStyle w:val="FirstParagraph"/>
      </w:pPr>
      <w:r>
        <w:t xml:space="preserve">We evaluate each system along six complementary axes, three of which target retrieval quality and</w:t>
      </w:r>
      <w:r>
        <w:t xml:space="preserve"> </w:t>
      </w:r>
      <w:r>
        <w:t xml:space="preserve">three of which target answer quality.</w:t>
      </w:r>
    </w:p>
    <w:p>
      <w:pPr>
        <w:pStyle w:val="BodyText"/>
      </w:pPr>
      <w:r>
        <w:rPr>
          <w:b/>
          <w:bCs/>
        </w:rPr>
        <w:t xml:space="preserve">Context Precision.</w:t>
      </w:r>
      <w:r>
        <w:t xml:space="preserve"> </w:t>
      </w:r>
      <w:r>
        <w:t xml:space="preserve">For each question, every retrieved chunk is independently judged by an LLM</w:t>
      </w:r>
      <w:r>
        <w:t xml:space="preserve"> </w:t>
      </w:r>
      <w:r>
        <w:t xml:space="preserve">as relevant (YES) or not (NO) with respect to the question. Context precision is the fraction of</w:t>
      </w:r>
      <w:r>
        <w:t xml:space="preserve"> </w:t>
      </w:r>
      <w:r>
        <w:t xml:space="preserve">retrieved chunks judged relevant. This metric penalises retrieval pipelines that surface noisy or</w:t>
      </w:r>
      <w:r>
        <w:t xml:space="preserve"> </w:t>
      </w:r>
      <w:r>
        <w:t xml:space="preserve">off-topic passages.</w:t>
      </w:r>
    </w:p>
    <w:p>
      <w:pPr>
        <w:pStyle w:val="BodyText"/>
      </w:pPr>
      <w:r>
        <w:rPr>
          <w:b/>
          <w:bCs/>
        </w:rPr>
        <w:t xml:space="preserve">Context Recall.</w:t>
      </w:r>
      <w:r>
        <w:t xml:space="preserve"> </w:t>
      </w:r>
      <w:r>
        <w:t xml:space="preserve">This metric is computed deterministically. For each question, we check how</w:t>
      </w:r>
      <w:r>
        <w:t xml:space="preserve"> </w:t>
      </w:r>
      <w:r>
        <w:t xml:space="preserve">many of the ground-truth source labels appear, by exact match or by article-number boundary, in</w:t>
      </w:r>
      <w:r>
        <w:t xml:space="preserve"> </w:t>
      </w:r>
      <w:r>
        <w:t xml:space="preserve">the concatenated retrieved text. Context recall is the fraction of ground-truth sources that are</w:t>
      </w:r>
      <w:r>
        <w:t xml:space="preserve"> </w:t>
      </w:r>
      <w:r>
        <w:t xml:space="preserve">recovered. Because the metric is rule-based, it does not depend on judge subjectivity.</w:t>
      </w:r>
    </w:p>
    <w:p>
      <w:pPr>
        <w:pStyle w:val="BodyText"/>
      </w:pPr>
      <w:r>
        <w:rPr>
          <w:b/>
          <w:bCs/>
        </w:rPr>
        <w:t xml:space="preserve">Hit Rate.</w:t>
      </w:r>
      <w:r>
        <w:t xml:space="preserve"> </w:t>
      </w:r>
      <w:r>
        <w:t xml:space="preserve">A binary deterministic signal: 1 if any ground-truth source is found in the</w:t>
      </w:r>
      <w:r>
        <w:t xml:space="preserve"> </w:t>
      </w:r>
      <w:r>
        <w:t xml:space="preserve">retrieved chunks, 0 otherwise. This summarises whether the pipeline is</w:t>
      </w:r>
      <w:r>
        <w:t xml:space="preserve"> </w:t>
      </w:r>
      <w:r>
        <w:rPr>
          <w:i/>
          <w:iCs/>
        </w:rPr>
        <w:t xml:space="preserve">able</w:t>
      </w:r>
      <w:r>
        <w:t xml:space="preserve"> </w:t>
      </w:r>
      <w:r>
        <w:t xml:space="preserve">to find the</w:t>
      </w:r>
      <w:r>
        <w:t xml:space="preserve"> </w:t>
      </w:r>
      <w:r>
        <w:t xml:space="preserve">authoritative passage at all, regardless of how many ground-truth labels it recovers.</w:t>
      </w:r>
    </w:p>
    <w:p>
      <w:pPr>
        <w:pStyle w:val="BodyText"/>
      </w:pPr>
      <w:r>
        <w:rPr>
          <w:b/>
          <w:bCs/>
        </w:rPr>
        <w:t xml:space="preserve">Faithfulness.</w:t>
      </w:r>
      <w:r>
        <w:t xml:space="preserve"> </w:t>
      </w:r>
      <w:r>
        <w:t xml:space="preserve">The generated answer is decomposed into atomic factual claims by a first LLM</w:t>
      </w:r>
      <w:r>
        <w:t xml:space="preserve"> </w:t>
      </w:r>
      <w:r>
        <w:t xml:space="preserve">call; each claim is then independently verified against the retrieved context by a second LLM</w:t>
      </w:r>
      <w:r>
        <w:t xml:space="preserve"> </w:t>
      </w:r>
      <w:r>
        <w:t xml:space="preserve">call. Faithfulness is the fraction of claims judged supported</w:t>
      </w:r>
      <w:r>
        <w:t xml:space="preserve"> </w:t>
      </w:r>
      <w:r>
        <w:t xml:space="preserve">[</w:t>
      </w:r>
      <w:hyperlink w:anchor="ref-es2024ragas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hyperlink w:anchor="ref-adlakha2024evaluating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. The metric captures</w:t>
      </w:r>
      <w:r>
        <w:t xml:space="preserve"> </w:t>
      </w:r>
      <w:r>
        <w:rPr>
          <w:i/>
          <w:iCs/>
        </w:rPr>
        <w:t xml:space="preserve">grounding</w:t>
      </w:r>
      <w:r>
        <w:t xml:space="preserve"> </w:t>
      </w:r>
      <w:r>
        <w:t xml:space="preserve">— whether the answer is derived from</w:t>
      </w:r>
      <w:r>
        <w:t xml:space="preserve"> </w:t>
      </w:r>
      <w:r>
        <w:t xml:space="preserve">the retrieved chunks rather than from the model’s parametric memory.</w:t>
      </w:r>
    </w:p>
    <w:p>
      <w:pPr>
        <w:pStyle w:val="BodyText"/>
      </w:pPr>
      <w:r>
        <w:rPr>
          <w:b/>
          <w:bCs/>
        </w:rPr>
        <w:t xml:space="preserve">Answer Correctness.</w:t>
      </w:r>
      <w:r>
        <w:t xml:space="preserve"> </w:t>
      </w:r>
      <w:r>
        <w:t xml:space="preserve">A composite score</w:t>
      </w:r>
      <w:r>
        <w:t xml:space="preserve"> </w:t>
      </w:r>
      <w:r>
        <w:rPr>
          <w:rStyle w:val="VerbatimChar"/>
        </w:rPr>
        <w:t xml:space="preserve">0.4 · token_F1 + 0.6 · L</w:t>
      </w:r>
      <w:r>
        <w:t xml:space="preserve">, where token_F1 is the</w:t>
      </w:r>
      <w:r>
        <w:t xml:space="preserve"> </w:t>
      </w:r>
      <w:r>
        <w:t xml:space="preserve">unigram F1 between the generated answer and the reference answer, and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an LLM-judged score</w:t>
      </w:r>
      <w:r>
        <w:t xml:space="preserve"> </w:t>
      </w:r>
      <w:r>
        <w:t xml:space="preserve">that returns a JSON object with two scalar fields: factual</w:t>
      </w:r>
      <w:r>
        <w:t xml:space="preserve"> </w:t>
      </w:r>
      <w:r>
        <w:rPr>
          <w:i/>
          <w:iCs/>
        </w:rPr>
        <w:t xml:space="preserve">correctness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completeness</w:t>
      </w:r>
      <w:r>
        <w:t xml:space="preserve"> </w:t>
      </w:r>
      <w:r>
        <w:t xml:space="preserve">relative to the reference. This blend balances a deterministic surface-overlap signal with a</w:t>
      </w:r>
      <w:r>
        <w:t xml:space="preserve"> </w:t>
      </w:r>
      <w:r>
        <w:t xml:space="preserve">holistic semantic judgment.</w:t>
      </w:r>
    </w:p>
    <w:p>
      <w:pPr>
        <w:pStyle w:val="BodyText"/>
      </w:pPr>
      <w:r>
        <w:rPr>
          <w:b/>
          <w:bCs/>
        </w:rPr>
        <w:t xml:space="preserve">Semantic Similarity.</w:t>
      </w:r>
      <w:r>
        <w:t xml:space="preserve"> </w:t>
      </w:r>
      <w:r>
        <w:t xml:space="preserve">Cosine similarity between Ollama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embeddings of the</w:t>
      </w:r>
      <w:r>
        <w:t xml:space="preserve"> </w:t>
      </w:r>
      <w:r>
        <w:t xml:space="preserve">generated and reference answers. This deterministic signal complements the previous LLM-judged</w:t>
      </w:r>
      <w:r>
        <w:t xml:space="preserve"> </w:t>
      </w:r>
      <w:r>
        <w:t xml:space="preserve">metrics with a fully reproducible distance measure.</w:t>
      </w:r>
    </w:p>
    <w:bookmarkEnd w:id="33"/>
    <w:bookmarkStart w:id="34" w:name="judge-and-reproducibility"/>
    <w:p>
      <w:pPr>
        <w:pStyle w:val="heading 2"/>
      </w:pPr>
      <w:r>
        <w:t xml:space="preserve">5.2 Judge and Reproducibility</w:t>
      </w:r>
    </w:p>
    <w:p>
      <w:pPr>
        <w:pStyle w:val="FirstParagraph"/>
      </w:pPr>
      <w:r>
        <w:t xml:space="preserve">All LLM-judged metrics use OpenAI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at temperature 0. Each judge prompt is hashed by</w:t>
      </w:r>
      <w:r>
        <w:t xml:space="preserve"> </w:t>
      </w:r>
      <w:r>
        <w:t xml:space="preserve">SHA-256 and the verdict is cached on disk, so re-runs are deterministic and inexpensive. Judge</w:t>
      </w:r>
      <w:r>
        <w:t xml:space="preserve"> </w:t>
      </w:r>
      <w:r>
        <w:t xml:space="preserve">calls are rate-limited to 0.15 seconds between requests with exponential back-off on transient</w:t>
      </w:r>
      <w:r>
        <w:t xml:space="preserve"> </w:t>
      </w:r>
      <w:r>
        <w:t xml:space="preserve">errors. The full evaluation of more than 200 questions across both systems is resumable: the</w:t>
      </w:r>
      <w:r>
        <w:t xml:space="preserve"> </w:t>
      </w:r>
      <w:r>
        <w:t xml:space="preserve">runner persists per-question results to disk after every completed question, so an interrupted</w:t>
      </w:r>
      <w:r>
        <w:t xml:space="preserve"> </w:t>
      </w:r>
      <w:r>
        <w:t xml:space="preserve">run can be continued without recomputation.</w:t>
      </w:r>
    </w:p>
    <w:bookmarkEnd w:id="34"/>
    <w:bookmarkStart w:id="44" w:name="aggregate-results"/>
    <w:p>
      <w:pPr>
        <w:pStyle w:val="heading 2"/>
      </w:pPr>
      <w:r>
        <w:t xml:space="preserve">5.3 Aggregate Results</w:t>
      </w:r>
    </w:p>
    <w:p>
      <w:pPr>
        <w:pStyle w:val="FirstParagraph"/>
      </w:pPr>
      <w:r>
        <w:t xml:space="preserve">Table 1 reports the mean of each metric over the full evaluation set for both pipelines, together</w:t>
      </w:r>
      <w:r>
        <w:t xml:space="preserve"> </w:t>
      </w:r>
      <w:r>
        <w:t xml:space="preserve">with the winning system on each axis.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Aggregate evaluation metrics across the full evaluation set (more than 200</w:t>
      </w:r>
      <w:r>
        <w:t xml:space="preserve"> </w:t>
      </w:r>
      <w:r>
        <w:t xml:space="preserve">question–answer pairs). Bold indicates the higher score on each row.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6"/>
        <w:gridCol w:w="2135"/>
        <w:gridCol w:w="2491"/>
        <w:gridCol w:w="1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PageIndex (vectorless)</w:t>
            </w:r>
          </w:p>
        </w:tc>
        <w:tc>
          <w:tcPr/>
          <w:p>
            <w:pPr>
              <w:pStyle w:val="Compact"/>
            </w:pPr>
            <w:r>
              <w:t xml:space="preserve">Vector+Graph (traditional)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0.7971</w:t>
            </w:r>
          </w:p>
        </w:tc>
        <w:tc>
          <w:tcPr/>
          <w:p>
            <w:pPr>
              <w:pStyle w:val="Compact"/>
            </w:pPr>
            <w:r>
              <w:t xml:space="preserve">0.6813</w:t>
            </w:r>
          </w:p>
        </w:tc>
        <w:tc>
          <w:tcPr/>
          <w:p>
            <w:pPr>
              <w:pStyle w:val="Compact"/>
            </w:pPr>
            <w:r>
              <w:t xml:space="preserve">PageIndex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0.8430</w:t>
            </w:r>
          </w:p>
        </w:tc>
        <w:tc>
          <w:tcPr/>
          <w:p>
            <w:pPr>
              <w:pStyle w:val="Compact"/>
            </w:pPr>
            <w:r>
              <w:t xml:space="preserve">0.6083</w:t>
            </w:r>
          </w:p>
        </w:tc>
        <w:tc>
          <w:tcPr/>
          <w:p>
            <w:pPr>
              <w:pStyle w:val="Compact"/>
            </w:pPr>
            <w:r>
              <w:t xml:space="preserve">PageIndex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0.8636</w:t>
            </w:r>
          </w:p>
        </w:tc>
        <w:tc>
          <w:tcPr/>
          <w:p>
            <w:pPr>
              <w:pStyle w:val="Compact"/>
            </w:pPr>
            <w:r>
              <w:t xml:space="preserve">0.6817</w:t>
            </w:r>
          </w:p>
        </w:tc>
        <w:tc>
          <w:tcPr/>
          <w:p>
            <w:pPr>
              <w:pStyle w:val="Compact"/>
            </w:pPr>
            <w:r>
              <w:t xml:space="preserve">PageIndex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0.6527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0.7331</w:t>
            </w:r>
          </w:p>
        </w:tc>
        <w:tc>
          <w:tcPr/>
          <w:p>
            <w:pPr>
              <w:pStyle w:val="Compact"/>
            </w:pPr>
            <w:r>
              <w:t xml:space="preserve">Vector+Graph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Correctness</w:t>
            </w:r>
          </w:p>
        </w:tc>
        <w:tc>
          <w:tcPr/>
          <w:p>
            <w:pPr>
              <w:pStyle w:val="Compact"/>
            </w:pPr>
            <w:r>
              <w:t xml:space="preserve">0.6849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0.7676</w:t>
            </w:r>
          </w:p>
        </w:tc>
        <w:tc>
          <w:tcPr/>
          <w:p>
            <w:pPr>
              <w:pStyle w:val="Compact"/>
            </w:pPr>
            <w:r>
              <w:t xml:space="preserve">Vector+Graph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Similarity</w:t>
            </w:r>
          </w:p>
        </w:tc>
        <w:tc>
          <w:tcPr/>
          <w:p>
            <w:pPr>
              <w:pStyle w:val="Compact"/>
            </w:pPr>
            <w:r>
              <w:t xml:space="preserve">0.8065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0.8647</w:t>
            </w:r>
          </w:p>
        </w:tc>
        <w:tc>
          <w:tcPr/>
          <w:p>
            <w:pPr>
              <w:pStyle w:val="Compact"/>
            </w:pPr>
            <w:r>
              <w:t xml:space="preserve">Vector+Graph</w:t>
            </w:r>
          </w:p>
        </w:tc>
      </w:tr>
    </w:tbl>
    <w:p>
      <w:pPr>
        <w:pStyle w:val="BodyText"/>
      </w:pPr>
      <w:r>
        <w:t xml:space="preserve">Figures 2 and 3 visualise the same data in bar-chart and radar-chart form respectively, while</w:t>
      </w:r>
      <w:r>
        <w:t xml:space="preserve"> </w:t>
      </w:r>
      <w:r>
        <w:t xml:space="preserve">Figure 4 reproduces the summary table as rendered by the evaluation pipeline.</w:t>
      </w:r>
    </w:p>
    <w:p>
      <w:pPr>
        <w:pStyle w:val="CaptionedFigure"/>
      </w:pPr>
      <w:r>
        <w:drawing>
          <wp:inline>
            <wp:extent cx="3724275" cy="1718896"/>
            <wp:effectExtent b="0" l="0" r="0" t="0"/>
            <wp:docPr descr="Comparison of all six evaluation metrics for the two systems. PageIndex (vectorless) dominates the three retrieval-quality metrics on the left, while Vector+Graph (traditional) dominates the three answer-quality metrics on the right." title="" id="36" name="Picture"/>
            <a:graphic>
              <a:graphicData uri="http://schemas.openxmlformats.org/drawingml/2006/picture">
                <pic:pic>
                  <pic:nvPicPr>
                    <pic:cNvPr descr="figures/comparison_ba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71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all six evaluation metrics for the two systems. PageIndex (vectorless)</w:t>
      </w:r>
      <w:r>
        <w:t xml:space="preserve"> </w:t>
      </w:r>
      <w:r>
        <w:t xml:space="preserve">dominates the three retrieval-quality metrics on the left, while Vector+Graph</w:t>
      </w:r>
      <w:r>
        <w:t xml:space="preserve"> </w:t>
      </w:r>
      <w:r>
        <w:t xml:space="preserve">(traditional) dominates the three answer-quality metrics on the right.</w:t>
      </w:r>
    </w:p>
    <w:p>
      <w:pPr>
        <w:pStyle w:val="CaptionedFigure"/>
      </w:pPr>
      <w:r>
        <w:drawing>
          <wp:inline>
            <wp:extent cx="3067050" cy="3067050"/>
            <wp:effectExtent b="0" l="0" r="0" t="0"/>
            <wp:docPr descr="Radar view of the same six-metric evaluation, showing the complementary strengths of the two architectures." title="" id="39" name="Picture"/>
            <a:graphic>
              <a:graphicData uri="http://schemas.openxmlformats.org/drawingml/2006/picture">
                <pic:pic>
                  <pic:nvPicPr>
                    <pic:cNvPr descr="figures/comparison_rada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Radar view of the same six-metric evaluation, showing the complementary</w:t>
      </w:r>
      <w:r>
        <w:t xml:space="preserve"> </w:t>
      </w:r>
      <w:r>
        <w:t xml:space="preserve">strengths of the two architectures.</w:t>
      </w:r>
    </w:p>
    <w:p>
      <w:pPr>
        <w:pStyle w:val="CaptionedFigure"/>
      </w:pPr>
      <w:r>
        <w:drawing>
          <wp:inline>
            <wp:extent cx="3505200" cy="1364826"/>
            <wp:effectExtent b="0" l="0" r="0" t="0"/>
            <wp:docPr descr="Tabular summary of aggregate metrics, generated by the evaluation pipeline." title="" id="42" name="Picture"/>
            <a:graphic>
              <a:graphicData uri="http://schemas.openxmlformats.org/drawingml/2006/picture">
                <pic:pic>
                  <pic:nvPicPr>
                    <pic:cNvPr descr="figures/summary_tab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64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Tabular summary of aggregate metrics, generated by the evaluation</w:t>
      </w:r>
      <w:r>
        <w:t xml:space="preserve"> </w:t>
      </w:r>
      <w:r>
        <w:t xml:space="preserve">pipeline.</w:t>
      </w:r>
    </w:p>
    <w:p>
      <w:pPr>
        <w:pStyle w:val="BodyText"/>
      </w:pPr>
      <w:r>
        <w:t xml:space="preserve">The pattern is unambiguous. The vectorless system wins every retrieval-quality metric, in some</w:t>
      </w:r>
      <w:r>
        <w:t xml:space="preserve"> </w:t>
      </w:r>
      <w:r>
        <w:t xml:space="preserve">cases by a considerable margin: context recall is higher by 23.5 percentage points</w:t>
      </w:r>
      <w:r>
        <w:t xml:space="preserve"> </w:t>
      </w:r>
      <w:r>
        <w:t xml:space="preserve">(0.8430 versus 0.6083), and hit rate by 18.2 percentage points (0.8636 versus 0.6817).</w:t>
      </w:r>
      <w:r>
        <w:t xml:space="preserve"> </w:t>
      </w:r>
      <w:r>
        <w:t xml:space="preserve">Conversely, the vector-and-graph system wins every answer-quality metric: faithfulness is higher</w:t>
      </w:r>
      <w:r>
        <w:t xml:space="preserve"> </w:t>
      </w:r>
      <w:r>
        <w:t xml:space="preserve">by 8.0 percentage points (0.7331 versus 0.6527), answer correctness by 8.3 percentage points</w:t>
      </w:r>
      <w:r>
        <w:t xml:space="preserve"> </w:t>
      </w:r>
      <w:r>
        <w:t xml:space="preserve">(0.7676 versus 0.6849), and semantic similarity by 5.8 percentage points (0.8647 versus 0.8065).</w:t>
      </w:r>
      <w:r>
        <w:t xml:space="preserve"> </w:t>
      </w:r>
      <w:r>
        <w:t xml:space="preserve">Neither system wins on both axes; both systems display a clearly dominant strength.</w:t>
      </w:r>
    </w:p>
    <w:bookmarkEnd w:id="44"/>
    <w:bookmarkStart w:id="45" w:name="discussion"/>
    <w:p>
      <w:pPr>
        <w:pStyle w:val="heading 2"/>
      </w:pPr>
      <w:r>
        <w:t xml:space="preserve">5.4 Discussion</w:t>
      </w:r>
    </w:p>
    <w:p>
      <w:pPr>
        <w:pStyle w:val="FirstParagraph"/>
      </w:pPr>
      <w:r>
        <w:t xml:space="preserve">Two structural factors plausibly explain the observed split. On the retrieval side, the</w:t>
      </w:r>
      <w:r>
        <w:t xml:space="preserve"> </w:t>
      </w:r>
      <w:r>
        <w:t xml:space="preserve">Constitution is hierarchical by design — its parts, chapters, articles, and clauses form a tree</w:t>
      </w:r>
      <w:r>
        <w:t xml:space="preserve"> </w:t>
      </w:r>
      <w:r>
        <w:t xml:space="preserve">whose internal nodes carry meaningful semantic labels (e.g. </w:t>
      </w:r>
      <w:r>
        <w:t xml:space="preserve">“Fundamental Rights”</w:t>
      </w:r>
      <w:r>
        <w:t xml:space="preserve">,</w:t>
      </w:r>
      <w:r>
        <w:t xml:space="preserve"> </w:t>
      </w:r>
      <w:r>
        <w:t xml:space="preserve">“Directive Principles”</w:t>
      </w:r>
      <w:r>
        <w:t xml:space="preserve">). The PageIndex tree mirrors this hierarchy directly; navigating from the</w:t>
      </w:r>
      <w:r>
        <w:t xml:space="preserve"> </w:t>
      </w:r>
      <w:r>
        <w:t xml:space="preserve">root to a leaf article is therefore a sequence of choices over genuinely informative summaries.</w:t>
      </w:r>
      <w:r>
        <w:t xml:space="preserve"> </w:t>
      </w:r>
      <w:r>
        <w:t xml:space="preserve">By contrast, the vector pipeline must learn to map a question to article-relevant chunks through</w:t>
      </w:r>
      <w:r>
        <w:t xml:space="preserve"> </w:t>
      </w:r>
      <w:r>
        <w:t xml:space="preserve">embedding similarity alone, with no awareness of the document’s logical structure. When the</w:t>
      </w:r>
      <w:r>
        <w:t xml:space="preserve"> </w:t>
      </w:r>
      <w:r>
        <w:t xml:space="preserve">question is phrased in terms close to the article’s title, both systems perform well; when the</w:t>
      </w:r>
      <w:r>
        <w:t xml:space="preserve"> </w:t>
      </w:r>
      <w:r>
        <w:t xml:space="preserve">question is phrased in functional terms (e.g. </w:t>
      </w:r>
      <w:r>
        <w:t xml:space="preserve">“Who has the power to make laws on subjects in the</w:t>
      </w:r>
      <w:r>
        <w:t xml:space="preserve"> </w:t>
      </w:r>
      <w:r>
        <w:t xml:space="preserve">Concurrent List?”</w:t>
      </w:r>
      <w:r>
        <w:t xml:space="preserve">), the tree-navigation agent benefits more from explicit structural cues than the</w:t>
      </w:r>
      <w:r>
        <w:t xml:space="preserve"> </w:t>
      </w:r>
      <w:r>
        <w:t xml:space="preserve">embedding model does from learned similarity. This advantage is reflected in PageIndex’s higher</w:t>
      </w:r>
      <w:r>
        <w:t xml:space="preserve"> </w:t>
      </w:r>
      <w:r>
        <w:t xml:space="preserve">context precision, recall, and hit rate.</w:t>
      </w:r>
    </w:p>
    <w:p>
      <w:pPr>
        <w:pStyle w:val="BodyText"/>
      </w:pPr>
      <w:r>
        <w:t xml:space="preserve">On the answer side, the trade-off reverses. The vector-and-graph pipeline retrieves a fixed top-10</w:t>
      </w:r>
      <w:r>
        <w:t xml:space="preserve"> </w:t>
      </w:r>
      <w:r>
        <w:t xml:space="preserve">set of chunks and expands it by one graph hop, providing a wide and somewhat redundant context</w:t>
      </w:r>
      <w:r>
        <w:t xml:space="preserve"> </w:t>
      </w:r>
      <w:r>
        <w:t xml:space="preserve">window of typically 12 to 15 passages. PageIndex returns only the leaf passages explicitly visited</w:t>
      </w:r>
      <w:r>
        <w:t xml:space="preserve"> </w:t>
      </w:r>
      <w:r>
        <w:t xml:space="preserve">by the agent, which is a smaller and more focused set (an average of 3 to 4 chunks per question</w:t>
      </w:r>
      <w:r>
        <w:t xml:space="preserve"> </w:t>
      </w:r>
      <w:r>
        <w:t xml:space="preserve">in our run). Although focused retrieval improves precision, it also gives the answer model less</w:t>
      </w:r>
      <w:r>
        <w:t xml:space="preserve"> </w:t>
      </w:r>
      <w:r>
        <w:t xml:space="preserve">material to triangulate from. With the broader vector-and-graph context,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can stitch</w:t>
      </w:r>
      <w:r>
        <w:t xml:space="preserve"> </w:t>
      </w:r>
      <w:r>
        <w:t xml:space="preserve">together facts across multiple loosely-related passages and produce answers that score higher on</w:t>
      </w:r>
      <w:r>
        <w:t xml:space="preserve"> </w:t>
      </w:r>
      <w:r>
        <w:t xml:space="preserve">faithfulness, correctness, and semantic similarity. In essence, the vectorless pipeline trades</w:t>
      </w:r>
      <w:r>
        <w:t xml:space="preserve"> </w:t>
      </w:r>
      <w:r>
        <w:t xml:space="preserve">breadth of context for purity, while the vector-based pipeline trades purity for breadth — and</w:t>
      </w:r>
      <w:r>
        <w:t xml:space="preserve"> </w:t>
      </w:r>
      <w:r>
        <w:t xml:space="preserve">the answer model performs slightly better with breadth on this dataset. We note that this</w:t>
      </w:r>
      <w:r>
        <w:t xml:space="preserve"> </w:t>
      </w:r>
      <w:r>
        <w:t xml:space="preserve">breadth–purity trade-off is itself a function of hyperparameter choices (top-</w:t>
      </w:r>
      <w:r>
        <w:rPr>
          <w:i/>
          <w:iCs/>
        </w:rPr>
        <w:t xml:space="preserve">k</w:t>
      </w:r>
      <w:r>
        <w:t xml:space="preserve"> </w:t>
      </w:r>
      <w:r>
        <w:t xml:space="preserve">in the vector</w:t>
      </w:r>
      <w:r>
        <w:t xml:space="preserve"> </w:t>
      </w:r>
      <w:r>
        <w:t xml:space="preserve">pipeline,</w:t>
      </w:r>
      <w:r>
        <w:t xml:space="preserve"> </w:t>
      </w:r>
      <w:r>
        <w:rPr>
          <w:rStyle w:val="VerbatimChar"/>
        </w:rPr>
        <w:t xml:space="preserve">MAX_HOPS</w:t>
      </w:r>
      <w:r>
        <w:t xml:space="preserve"> </w:t>
      </w:r>
      <w:r>
        <w:t xml:space="preserve">in the tree pipeline); future work should sweep these parameters to map the</w:t>
      </w:r>
      <w:r>
        <w:t xml:space="preserve"> </w:t>
      </w:r>
      <w:r>
        <w:t xml:space="preserve">Pareto frontier between the two regimes.</w:t>
      </w:r>
    </w:p>
    <w:bookmarkEnd w:id="45"/>
    <w:bookmarkEnd w:id="46"/>
    <w:bookmarkStart w:id="47" w:name="conclusion"/>
    <w:p>
      <w:pPr>
        <w:pStyle w:val="heading 1"/>
      </w:pPr>
      <w:r>
        <w:t xml:space="preserve">6 Conclusion</w:t>
      </w:r>
    </w:p>
    <w:p>
      <w:pPr>
        <w:pStyle w:val="FirstParagraph"/>
      </w:pPr>
      <w:r>
        <w:t xml:space="preserve">This paper has presented a controlled comparison of vectorless and vector-based</w:t>
      </w:r>
      <w:r>
        <w:t xml:space="preserve"> </w:t>
      </w:r>
      <w:r>
        <w:t xml:space="preserve">Retrieval-Augmented Generation in the legal-question-answering domain. Using the Constitution of</w:t>
      </w:r>
      <w:r>
        <w:t xml:space="preserve"> </w:t>
      </w:r>
      <w:r>
        <w:t xml:space="preserve">India as the corpus and an evaluation set of more than 200 question–answer pairs, we measured</w:t>
      </w:r>
      <w:r>
        <w:t xml:space="preserve"> </w:t>
      </w:r>
      <w:r>
        <w:t xml:space="preserve">both systems on six complementary metrics that span retrieval quality and answer quality. The</w:t>
      </w:r>
      <w:r>
        <w:t xml:space="preserve"> </w:t>
      </w:r>
      <w:r>
        <w:t xml:space="preserve">results yield a clean architectural trade-off: the vectorless tree-navigation pipeline (PageIndex,</w:t>
      </w:r>
      <w:r>
        <w:t xml:space="preserve"> </w:t>
      </w:r>
      <w:r>
        <w:t xml:space="preserve">2025) wins every retrieval-quality metric, while the traditional vector-and-graph pipeline wins</w:t>
      </w:r>
      <w:r>
        <w:t xml:space="preserve"> </w:t>
      </w:r>
      <w:r>
        <w:t xml:space="preserve">every answer-quality metric.</w:t>
      </w:r>
    </w:p>
    <w:p>
      <w:pPr>
        <w:pStyle w:val="BodyText"/>
      </w:pPr>
      <w:r>
        <w:t xml:space="preserve">For practitioners building legal AI systems, the practical implication is that the choice of</w:t>
      </w:r>
      <w:r>
        <w:t xml:space="preserve"> </w:t>
      </w:r>
      <w:r>
        <w:t xml:space="preserve">retrieval philosophy should be driven by which form of correctness matters more for the</w:t>
      </w:r>
      <w:r>
        <w:t xml:space="preserve"> </w:t>
      </w:r>
      <w:r>
        <w:t xml:space="preserve">deployment in question. When the system must produce verifiable citations to authoritative</w:t>
      </w:r>
      <w:r>
        <w:t xml:space="preserve"> </w:t>
      </w:r>
      <w:r>
        <w:t xml:space="preserve">provisions — for example in audit, compliance, or research workflows — the vectorless approach</w:t>
      </w:r>
      <w:r>
        <w:t xml:space="preserve"> </w:t>
      </w:r>
      <w:r>
        <w:t xml:space="preserve">offers materially higher source-fidelity. When the priority is fluent, complete answers to</w:t>
      </w:r>
      <w:r>
        <w:t xml:space="preserve"> </w:t>
      </w:r>
      <w:r>
        <w:t xml:space="preserve">multi-article questions and citation accuracy is secondary, the vector-and-graph pipeline is</w:t>
      </w:r>
      <w:r>
        <w:t xml:space="preserve"> </w:t>
      </w:r>
      <w:r>
        <w:t xml:space="preserve">better suited. For evaluation, we argue that both axes should always be reported together: a</w:t>
      </w:r>
      <w:r>
        <w:t xml:space="preserve"> </w:t>
      </w:r>
      <w:r>
        <w:t xml:space="preserve">single answer-quality score hides the grounding deficit of a vector pipeline, while a single</w:t>
      </w:r>
      <w:r>
        <w:t xml:space="preserve"> </w:t>
      </w:r>
      <w:r>
        <w:t xml:space="preserve">retrieval-quality score hides the breadth limitation of a vectorless pipeline. Future legal AI</w:t>
      </w:r>
      <w:r>
        <w:t xml:space="preserve"> </w:t>
      </w:r>
      <w:r>
        <w:t xml:space="preserve">systems may benefit from hybrid architectures that combine the structural precision of vectorless</w:t>
      </w:r>
      <w:r>
        <w:t xml:space="preserve"> </w:t>
      </w:r>
      <w:r>
        <w:t xml:space="preserve">tree navigation with the broad recall of vector-and-graph retrieval, jointly optimising for both</w:t>
      </w:r>
      <w:r>
        <w:t xml:space="preserve"> </w:t>
      </w:r>
      <w:r>
        <w:t xml:space="preserve">forms of correctness rather than trading one against the other.</w:t>
      </w:r>
    </w:p>
    <w:p>
      <w:pPr>
        <w:pStyle w:val="BodyText"/>
      </w:pPr>
      <w:r>
        <w:rPr>
          <w:b/>
          <w:bCs/>
        </w:rPr>
        <w:t xml:space="preserve">Acknowledgments.</w:t>
      </w:r>
      <w:r>
        <w:t xml:space="preserve"> </w:t>
      </w:r>
      <w:r>
        <w:t xml:space="preserve">[Acknowledgments to be added by authors.]</w:t>
      </w:r>
    </w:p>
    <w:p>
      <w:pPr>
        <w:pStyle w:val="BodyText"/>
      </w:pPr>
      <w:r>
        <w:rPr>
          <w:b/>
          <w:bCs/>
        </w:rPr>
        <w:t xml:space="preserve">Disclosure of Interests.</w:t>
      </w:r>
      <w:r>
        <w:t xml:space="preserve"> </w:t>
      </w:r>
      <w:r>
        <w:t xml:space="preserve">The authors have no competing interests to declare that are relevant</w:t>
      </w:r>
      <w:r>
        <w:t xml:space="preserve"> </w:t>
      </w:r>
      <w:r>
        <w:t xml:space="preserve">to the content of this article.</w:t>
      </w:r>
    </w:p>
    <w:bookmarkEnd w:id="47"/>
    <w:bookmarkStart w:id="61" w:name="references"/>
    <w:p>
      <w:pPr>
        <w:pStyle w:val="heading 1"/>
      </w:pPr>
      <w:r>
        <w:t xml:space="preserve">References</w:t>
      </w:r>
    </w:p>
    <w:bookmarkStart w:id="60" w:name="refs"/>
    <w:bookmarkStart w:id="48" w:name="ref-paul2023inlegalber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Paul, S., Mandal, A., Goyal, P., Ghosh, S.: Pre-trained language models for the legal domain: A case study on</w:t>
      </w:r>
      <w:r>
        <w:t xml:space="preserve"> </w:t>
      </w:r>
      <w:r>
        <w:t xml:space="preserve">I</w:t>
      </w:r>
      <w:r>
        <w:t xml:space="preserve">ndian law. In: Proceedings of the 19th international conference on artificial intelligence and law (ICAIL) (2023).</w:t>
      </w:r>
    </w:p>
    <w:bookmarkEnd w:id="48"/>
    <w:bookmarkStart w:id="49" w:name="ref-lewis2020rag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Lewis, P., Perez, E., Piktus, A., Petroni, F., Karpukhin, V., Goyal, N., Küttler, H., Lewis, M., Yih, W., Rocktäschel, T., Riedel, S., Kiela, D.: Retrieval-augmented generation for knowledge-intensive</w:t>
      </w:r>
      <w:r>
        <w:t xml:space="preserve"> </w:t>
      </w:r>
      <w:r>
        <w:t xml:space="preserve">NLP</w:t>
      </w:r>
      <w:r>
        <w:t xml:space="preserve"> </w:t>
      </w:r>
      <w:r>
        <w:t xml:space="preserve">tasks. In: Advances in neural information processing systems (NeurIPS) (2020).</w:t>
      </w:r>
    </w:p>
    <w:bookmarkEnd w:id="49"/>
    <w:bookmarkStart w:id="50" w:name="ref-karpukhin2020dpr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Karpukhin, V., Oğuz, B., Min, S., Lewis, P., Wu, L., Edunov, S., Chen, D., Yih, W.: Dense passage retrieval for open-domain question answering. In: Proceedings of the 2020 conference on empirical methods in natural language processing (EMNLP) (2020).</w:t>
      </w:r>
    </w:p>
    <w:bookmarkEnd w:id="50"/>
    <w:bookmarkStart w:id="52" w:name="ref-edge2024graphrag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Edge, D., Trinh, H., Cheng, N., Bradley, J., Chao, A., Mody, A., Truitt, S., Larson, J.: From local to global: A graph</w:t>
      </w:r>
      <w:r>
        <w:t xml:space="preserve"> </w:t>
      </w:r>
      <w:r>
        <w:t xml:space="preserve">RAG</w:t>
      </w:r>
      <w:r>
        <w:t xml:space="preserve"> </w:t>
      </w:r>
      <w:r>
        <w:t xml:space="preserve">approach to query-focused summarization,</w:t>
      </w:r>
      <w:r>
        <w:t xml:space="preserve"> </w:t>
      </w:r>
      <w:hyperlink r:id="rId51">
        <w:r>
          <w:rPr>
            <w:rStyle w:val="Hyperlink"/>
          </w:rPr>
          <w:t xml:space="preserve">https://arxiv.org/abs/2404.16130</w:t>
        </w:r>
      </w:hyperlink>
      <w:r>
        <w:t xml:space="preserve">, (2024).</w:t>
      </w:r>
    </w:p>
    <w:bookmarkEnd w:id="52"/>
    <w:bookmarkStart w:id="53" w:name="ref-es2024raga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Es, S., James, J., Espinosa-Anke, L., Schockaert, S.:</w:t>
      </w:r>
      <w:r>
        <w:t xml:space="preserve"> </w:t>
      </w:r>
      <w:r>
        <w:t xml:space="preserve">RAGAS</w:t>
      </w:r>
      <w:r>
        <w:t xml:space="preserve">: Automated evaluation of retrieval-augmented generation. In: Proceedings of the 18th conference of the european chapter of the association for computational linguistics: System demonstrations (EACL) (2024).</w:t>
      </w:r>
    </w:p>
    <w:bookmarkEnd w:id="53"/>
    <w:bookmarkStart w:id="54" w:name="ref-saadfalcon2024ares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Saad-Falcon, J., Khattab, O., Potts, C., Zaharia, M.:</w:t>
      </w:r>
      <w:r>
        <w:t xml:space="preserve"> </w:t>
      </w:r>
      <w:r>
        <w:t xml:space="preserve">ARES</w:t>
      </w:r>
      <w:r>
        <w:t xml:space="preserve">: An automated evaluation framework for retrieval-augmented generation systems. In: Proceedings of the 2024 conference of the north american chapter of the association for computational linguistics (NAACL) (2024).</w:t>
      </w:r>
    </w:p>
    <w:bookmarkEnd w:id="54"/>
    <w:bookmarkStart w:id="55" w:name="ref-adlakha2024evaluating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Adlakha, V., Dhuliawala, S., Suleman, K., Vries, H. de, Reddy, S.: Evaluating correctness and faithfulness of instruction-following models for question answering. Transactions of the Association for Computational Linguistics (TACL). (2024).</w:t>
      </w:r>
    </w:p>
    <w:bookmarkEnd w:id="55"/>
    <w:bookmarkStart w:id="56" w:name="ref-gao2023hyde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Gao, L., Ma, X., Lin, J., Callan, J.: Precise zero-shot dense retrieval without relevance labels. In: Proceedings of the 61st annual meeting of the association for computational linguistics (ACL) (2023).</w:t>
      </w:r>
    </w:p>
    <w:bookmarkEnd w:id="56"/>
    <w:bookmarkStart w:id="57" w:name="ref-pageindex2025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VectifyAI:</w:t>
      </w:r>
      <w:r>
        <w:t xml:space="preserve"> </w:t>
      </w:r>
      <w:r>
        <w:t xml:space="preserve">PageIndex</w:t>
      </w:r>
      <w:r>
        <w:t xml:space="preserve">: Vectorless document indexing and retrieval for reasoning-based</w:t>
      </w:r>
      <w:r>
        <w:t xml:space="preserve"> </w:t>
      </w:r>
      <w:r>
        <w:t xml:space="preserve">RAG</w:t>
      </w:r>
      <w:r>
        <w:t xml:space="preserve">, (2025).</w:t>
      </w:r>
    </w:p>
    <w:bookmarkEnd w:id="57"/>
    <w:bookmarkStart w:id="58" w:name="ref-liu2023geval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Liu, Y., Iter, D., Xu, Y., Wang, S., Xu, R., Zhu, C.:</w:t>
      </w:r>
      <w:r>
        <w:t xml:space="preserve"> </w:t>
      </w:r>
      <w:r>
        <w:t xml:space="preserve">G-Eval</w:t>
      </w:r>
      <w:r>
        <w:t xml:space="preserve">:</w:t>
      </w:r>
      <w:r>
        <w:t xml:space="preserve"> </w:t>
      </w:r>
      <w:r>
        <w:t xml:space="preserve">NLG</w:t>
      </w:r>
      <w:r>
        <w:t xml:space="preserve"> </w:t>
      </w:r>
      <w:r>
        <w:t xml:space="preserve">evaluation using</w:t>
      </w:r>
      <w:r>
        <w:t xml:space="preserve"> </w:t>
      </w:r>
      <w:r>
        <w:t xml:space="preserve">GPT-4</w:t>
      </w:r>
      <w:r>
        <w:t xml:space="preserve"> </w:t>
      </w:r>
      <w:r>
        <w:t xml:space="preserve">with better human alignment. In: Proceedings of the 2023 conference on empirical methods in natural language processing (EMNLP) (2023).</w:t>
      </w:r>
    </w:p>
    <w:bookmarkEnd w:id="58"/>
    <w:bookmarkStart w:id="59" w:name="ref-mallen2023whennottrust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Mallen, A., Asai, A., Zhong, V., Das, R., Khashabi, D., Hajishirzi, H.: When not to trust language models: Investigating effectiveness of parametric and non-parametric memories. In: Proceedings of the 61st annual meeting of the association for computational linguistics (ACL) (2023).</w:t>
      </w:r>
    </w:p>
    <w:bookmarkEnd w:id="59"/>
    <w:bookmarkEnd w:id="60"/>
    <w:bookmarkEnd w:id="61"/>
    <w:sectPr w:rsidR="00F5783C" w:rsidRPr="00606587" w:rsidSect="009F7FCE">
      <w:headerReference r:id="rId10" w:type="even"/>
      <w:headerReference r:id="rId9" w:type="default"/>
      <w:footerReference r:id="rId12" w:type="even"/>
      <w:footerReference r:id="rId14" w:type="default"/>
      <w:headerReference r:id="rId11" w:type="first"/>
      <w:footerReference r:id="rId13" w:type="first"/>
      <w:pgSz w:code="9" w:h="16838" w:w="11906"/>
      <w:pgMar w:bottom="2948" w:footer="2324" w:gutter="0" w:header="2381" w:left="2494" w:right="2494" w:top="2948"/>
      <w:cols w:space="227"/>
      <w:titlePg/>
      <w:docGrid w:linePitch="2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090B89">
      <w:t xml:space="preserve"> </w:t>
    </w:r>
    <w:r w:rsidR="00090B89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Pr="00090B89" w:rsidRDefault="00090B89" w:rsidP="00090B89">
    <w:pPr>
      <w:pStyle w:val="runningheadright"/>
    </w:pPr>
    <w:r>
      <w:tab/>
    </w:r>
    <w:r w:rsidRPr="00090B89">
      <w:t>Contribution Title (shortened if too long) 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Default="00090B89" w:rsidP="00090B8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default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hAnsi="Wingdings" w:hint="default"/>
      </w:rPr>
    </w:lvl>
  </w:abstractNum>
  <w:abstractNum w15:restartNumberingAfterBreak="0" w:abstractNumId="1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default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default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default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default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default"/>
      </w:rPr>
    </w:lvl>
  </w:abstractNum>
  <w:abstractNum w15:restartNumberingAfterBreak="0" w:abstractNumId="2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pos="567" w:val="num"/>
        </w:tabs>
        <w:ind w:hanging="567" w:left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  <w:rPr>
        <w:rFonts w:hint="default"/>
      </w:rPr>
    </w:lvl>
  </w:abstractNum>
  <w:abstractNum w15:restartNumberingAfterBreak="0" w:abstractNumId="3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pos="0" w:val="num"/>
        </w:tabs>
        <w:ind w:hanging="57" w:left="22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pos="227" w:val="num"/>
        </w:tabs>
        <w:ind w:hanging="227" w:left="454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pos="454" w:val="num"/>
        </w:tabs>
        <w:ind w:hanging="340" w:left="79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pos="794" w:val="num"/>
        </w:tabs>
        <w:ind w:hanging="283" w:left="107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pos="1077" w:val="num"/>
        </w:tabs>
        <w:ind w:hanging="283" w:left="1360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pos="1360" w:val="num"/>
        </w:tabs>
        <w:ind w:hanging="340" w:left="170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pos="1896" w:val="num"/>
        </w:tabs>
        <w:ind w:hanging="360" w:left="189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pos="2616" w:val="num"/>
        </w:tabs>
        <w:ind w:hanging="180" w:left="26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pos="3336" w:val="num"/>
        </w:tabs>
        <w:ind w:hanging="360" w:left="3336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pos="4056" w:val="num"/>
        </w:tabs>
        <w:ind w:hanging="360" w:left="4056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pos="4776" w:val="num"/>
        </w:tabs>
        <w:ind w:hanging="180" w:left="47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496" w:val="num"/>
        </w:tabs>
        <w:ind w:hanging="360" w:left="549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6216" w:val="num"/>
        </w:tabs>
        <w:ind w:hanging="360" w:left="6216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pos="6936" w:val="num"/>
        </w:tabs>
        <w:ind w:hanging="180" w:left="6936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60"/>
  <w:embedSystemFonts/>
  <w:proofState w:grammar="clean" w:spelling="clean"/>
  <w:stylePaneFormatFilter w:allStyles="1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al="0001" w:visibleStyles="0"/>
  <w:doNotTrackMoves/>
  <w:defaultTabStop w:val="227"/>
  <w:autoHyphenation/>
  <w:hyphenationZone w:val="400"/>
  <w:doNotHyphenateCaps/>
  <w:evenAndOddHeaders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95682A"/>
    <w:rsid w:val="009930E4"/>
    <w:rsid w:val="009B2539"/>
    <w:rsid w:val="009F7FCE"/>
    <w:rsid w:val="00A13D60"/>
    <w:rsid w:val="00B23481"/>
    <w:rsid w:val="00F321B4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cs="Times New Roman" w:eastAsiaTheme="Times New Roman" w:hAnsiTheme="Times New Roman"/>
        <w:sz w:val="20"/>
        <w:szCs w:val="20"/>
        <w:lang w:bidi="ar-SA" w:eastAsia="en-US" w:val="en-US"/>
      </w:rPr>
    </w:rPrDefault>
    <w:pPrDefault>
      <w:pPr>
        <w:spacing w:after="0" w:line="240" w:lineRule="atLeast"/>
      </w:pPr>
    </w:pPrDefault>
  </w:docDefaults>
  <w:latentStyles w:count="267" w:defLockedState="0" w:defQFormat="0" w:defSemiHidden="1" w:defUIPriority="0" w:defUnhideWhenUsed="0">
    <w:lsdException w:name="Normal" w:qFormat="1" w:semiHidden="0"/>
  </w:latentStyles>
  <w:style w:default="1" w:styleId="Normal" w:type="paragraph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bidi="ar-SA" w:eastAsia="en-US" w:val="en-US"/>
    </w:rPr>
  </w:style>
  <w:style w:default="1" w:styleId="Default Paragraph Font" w:type="character">
    <w:name w:val="Default Paragraph Font"/>
    <w:uiPriority w:val="1"/>
    <w:semiHidden/>
    <w:unhideWhenUsed/>
  </w:style>
  <w:style w:default="1" w:styleId="Normal Table" w:type="table">
    <w:name w:val="Normal Table"/>
    <w:uiPriority w:val="99"/>
    <w:semiHidden/>
    <w:unhideWhenUsed/>
    <w:tblPr>
      <w:tblInd w:type="dxa" w:w="0"/>
      <w:tblCellMar>
        <w:top w:type="dxa" w:w="57"/>
        <w:left w:type="dxa" w:w="57"/>
        <w:bottom w:type="dxa" w:w="57"/>
        <w:right w:type="dxa" w:w="57"/>
      </w:tblCellMar>
    </w:tblPr>
  </w:style>
  <w:style w:default="1" w:styleId="No List" w:type="numbering">
    <w:name w:val="No List"/>
    <w:uiPriority w:val="99"/>
    <w:semiHidden/>
    <w:unhideWhenUsed/>
  </w:style>
  <w:style w:customStyle="1" w:styleId="abstract" w:type="paragraph">
    <w:name w:val="abstract"/>
    <w:basedOn w:val="Normal"/>
    <w:pPr>
      <w:spacing w:after="360" w:before="600" w:line="220" w:lineRule="atLeast"/>
      <w:ind w:left="567" w:right="567"/>
      <w:contextualSpacing/>
    </w:pPr>
    <w:rPr>
      <w:sz w:val="18"/>
    </w:rPr>
  </w:style>
  <w:style w:customStyle="1" w:styleId="address" w:type="paragraph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customStyle="1" w:styleId="arabnumitem" w:type="numbering">
    <w:name w:val="arabnumitem"/>
    <w:basedOn w:val="No List"/>
    <w:pPr>
      <w:numPr>
        <w:numId w:val="5"/>
      </w:numPr>
    </w:pPr>
  </w:style>
  <w:style w:customStyle="1" w:styleId="author" w:type="paragraph">
    <w:name w:val="author"/>
    <w:basedOn w:val="Normal"/>
    <w:next w:val="address"/>
    <w:pPr>
      <w:spacing w:after="200" w:line="220" w:lineRule="atLeast"/>
      <w:ind w:firstLine="0"/>
      <w:jc w:val="center"/>
    </w:pPr>
  </w:style>
  <w:style w:customStyle="1" w:styleId="bulletitem" w:type="paragraph">
    <w:name w:val="bulletitem"/>
    <w:basedOn w:val="Normal"/>
    <w:pPr>
      <w:numPr>
        <w:numId w:val="2"/>
      </w:numPr>
      <w:spacing w:after="160" w:before="160"/>
      <w:contextualSpacing/>
    </w:pPr>
  </w:style>
  <w:style w:customStyle="1" w:styleId="dashitem" w:type="paragraph">
    <w:name w:val="dashitem"/>
    <w:basedOn w:val="Normal"/>
    <w:pPr>
      <w:numPr>
        <w:numId w:val="4"/>
      </w:numPr>
      <w:spacing w:after="160" w:before="160"/>
      <w:contextualSpacing/>
    </w:pPr>
  </w:style>
  <w:style w:customStyle="1" w:styleId="e-mail" w:type="character">
    <w:name w:val="e-mail"/>
    <w:basedOn w:val="Default Paragraph Font"/>
    <w:rPr>
      <w:rFonts w:ascii="Courier" w:hAnsi="Courier"/>
      <w:noProof/>
    </w:rPr>
  </w:style>
  <w:style w:customStyle="1" w:styleId="equation" w:type="paragraph">
    <w:name w:val="equation"/>
    <w:basedOn w:val="Normal"/>
    <w:next w:val="Normal"/>
    <w:pPr>
      <w:tabs>
        <w:tab w:pos="3289" w:val="center"/>
        <w:tab w:pos="6917" w:val="right"/>
      </w:tabs>
      <w:spacing w:after="160" w:before="160"/>
      <w:ind w:firstLine="0"/>
    </w:pPr>
  </w:style>
  <w:style w:customStyle="1" w:styleId="figurecaption" w:type="paragraph">
    <w:name w:val="figurecaption"/>
    <w:basedOn w:val="Normal"/>
    <w:next w:val="Normal"/>
    <w:pPr>
      <w:keepLines/>
      <w:spacing w:after="240" w:before="120" w:line="220" w:lineRule="atLeast"/>
      <w:ind w:firstLine="0"/>
      <w:jc w:val="center"/>
    </w:pPr>
    <w:rPr>
      <w:sz w:val="18"/>
    </w:rPr>
  </w:style>
  <w:style w:styleId="footnote reference" w:type="character">
    <w:name w:val="footnote reference"/>
    <w:basedOn w:val="Default Paragraph Font"/>
    <w:semiHidden/>
    <w:unhideWhenUsed/>
    <w:rPr>
      <w:position w:val="0"/>
      <w:vertAlign w:val="superscript"/>
    </w:rPr>
  </w:style>
  <w:style w:styleId="footer" w:type="paragraph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customStyle="1" w:styleId="heading1" w:type="paragraph">
    <w:name w:val="heading1"/>
    <w:basedOn w:val="Normal"/>
    <w:next w:val="p1a"/>
    <w:qFormat/>
    <w:pPr>
      <w:keepNext/>
      <w:keepLines/>
      <w:suppressAutoHyphens/>
      <w:spacing w:after="240" w:before="360" w:line="300" w:lineRule="atLeast"/>
      <w:ind w:hanging="567" w:left="567"/>
      <w:jc w:val="left"/>
      <w:outlineLvl w:val="0"/>
      <w:numPr>
        <w:numId w:val="7"/>
      </w:numPr>
    </w:pPr>
    <w:rPr>
      <w:b/>
      <w:sz w:val="24"/>
    </w:rPr>
  </w:style>
  <w:style w:styleId="heading 1" w:type="paragraph">
    <w:name w:val="heading 1"/>
    <w:basedOn w:val="Normal"/>
    <w:next w:val="p1a"/>
    <w:semiHidden/>
    <w:unhideWhenUsed/>
    <w:qFormat/>
    <w:pPr>
      <w:keepNext/>
      <w:keepLines/>
      <w:suppressAutoHyphens/>
      <w:spacing w:after="240" w:before="360" w:line="300" w:lineRule="atLeast"/>
      <w:ind w:hanging="567" w:left="567"/>
      <w:jc w:val="left"/>
      <w:outlineLvl w:val="0"/>
    </w:pPr>
    <w:rPr>
      <w:b/>
      <w:sz w:val="24"/>
    </w:rPr>
  </w:style>
  <w:style w:customStyle="1" w:styleId="heading2" w:type="paragraph">
    <w:name w:val="heading2"/>
    <w:basedOn w:val="Normal"/>
    <w:next w:val="p1a"/>
    <w:qFormat/>
    <w:pPr>
      <w:keepNext/>
      <w:keepLines/>
      <w:suppressAutoHyphens/>
      <w:spacing w:after="160" w:before="360"/>
      <w:ind w:hanging="567" w:left="567"/>
      <w:jc w:val="left"/>
      <w:outlineLvl w:val="1"/>
      <w:numPr>
        <w:ilvl w:val="1"/>
        <w:numId w:val="7"/>
      </w:numPr>
    </w:pPr>
    <w:rPr>
      <w:b/>
    </w:rPr>
  </w:style>
  <w:style w:styleId="heading 2" w:type="paragraph">
    <w:name w:val="heading 2"/>
    <w:basedOn w:val="Normal"/>
    <w:next w:val="p1a"/>
    <w:qFormat/>
    <w:semiHidden/>
    <w:unhideWhenUsed/>
    <w:pPr>
      <w:keepNext/>
      <w:keepLines/>
      <w:suppressAutoHyphens/>
      <w:spacing w:after="160" w:before="360"/>
      <w:ind w:hanging="567" w:left="567"/>
      <w:jc w:val="left"/>
      <w:outlineLvl w:val="1"/>
    </w:pPr>
    <w:rPr>
      <w:b/>
    </w:rPr>
  </w:style>
  <w:style w:styleId="heading 3" w:type="paragraph">
    <w:name w:val="heading 3"/>
    <w:basedOn w:val="Normal"/>
    <w:next w:val="Normal"/>
    <w:qFormat/>
    <w:pPr>
      <w:spacing w:before="360"/>
      <w:ind w:firstLine="0"/>
      <w:outlineLvl w:val="2"/>
      <w:b/>
    </w:pPr>
  </w:style>
  <w:style w:customStyle="1" w:styleId="heading3" w:type="character">
    <w:name w:val="heading3"/>
    <w:basedOn w:val="Default Paragraph Font"/>
    <w:rPr>
      <w:b/>
    </w:rPr>
  </w:style>
  <w:style w:styleId="acknowlegments" w:type="paragraph">
    <w:name w:val="acknowlegments"/>
    <w:basedOn w:val="Normal"/>
    <w:next w:val="acknowlegments"/>
    <w:qFormat/>
    <w:pPr>
      <w:spacing w:before="240"/>
      <w:ind w:firstLine="0"/>
      <w:spacing w:line="220" w:lineRule="atLeast"/>
      <w:b/>
    </w:pPr>
    <w:rPr>
      <w:sz w:val="18"/>
    </w:rPr>
  </w:style>
  <w:style w:styleId="heading 4" w:type="paragraph">
    <w:name w:val="heading 4"/>
    <w:basedOn w:val="Normal"/>
    <w:next w:val="Normal"/>
    <w:qFormat/>
    <w:pPr>
      <w:spacing w:before="240"/>
      <w:ind w:firstLine="0"/>
      <w:outlineLvl w:val="3"/>
      <w:i/>
    </w:pPr>
  </w:style>
  <w:style w:customStyle="1" w:styleId="heading4" w:type="character">
    <w:name w:val="heading4"/>
    <w:basedOn w:val="Default Paragraph Font"/>
    <w:rPr>
      <w:i/>
    </w:rPr>
  </w:style>
  <w:style w:customStyle="1" w:styleId="headings" w:type="numbering">
    <w:name w:val="headings"/>
    <w:basedOn w:val="arabnumitem"/>
    <w:pPr>
      <w:numPr>
        <w:numId w:val="7"/>
      </w:numPr>
    </w:pPr>
  </w:style>
  <w:style w:styleId="Hyperlink" w:type="character">
    <w:name w:val="Hyperlink"/>
    <w:basedOn w:val="Default Paragraph Font"/>
    <w:semiHidden/>
    <w:unhideWhenUsed/>
    <w:rPr>
      <w:color w:val="auto"/>
      <w:u w:val="none"/>
    </w:rPr>
  </w:style>
  <w:style w:customStyle="1" w:styleId="image" w:type="paragraph">
    <w:name w:val="image"/>
    <w:basedOn w:val="Normal"/>
    <w:next w:val="Normal"/>
    <w:pPr>
      <w:spacing w:after="120" w:before="240"/>
      <w:ind w:firstLine="0"/>
      <w:jc w:val="center"/>
    </w:pPr>
  </w:style>
  <w:style w:customStyle="1" w:styleId="itemization1" w:type="numbering">
    <w:name w:val="itemization1"/>
    <w:basedOn w:val="No List"/>
    <w:pPr>
      <w:numPr>
        <w:numId w:val="1"/>
      </w:numPr>
    </w:pPr>
  </w:style>
  <w:style w:customStyle="1" w:styleId="itemization2" w:type="numbering">
    <w:name w:val="itemization2"/>
    <w:basedOn w:val="No List"/>
    <w:pPr>
      <w:numPr>
        <w:numId w:val="3"/>
      </w:numPr>
    </w:pPr>
  </w:style>
  <w:style w:customStyle="1" w:styleId="keywords" w:type="paragraph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styleId="header" w:type="paragraph">
    <w:name w:val="header"/>
    <w:basedOn w:val="Normal"/>
    <w:semiHidden/>
    <w:unhideWhenUsed/>
    <w:pPr>
      <w:tabs>
        <w:tab w:pos="4536" w:val="center"/>
        <w:tab w:pos="9072" w:val="right"/>
      </w:tabs>
      <w:ind w:firstLine="0"/>
    </w:pPr>
    <w:rPr>
      <w:sz w:val="18"/>
      <w:szCs w:val="18"/>
    </w:rPr>
  </w:style>
  <w:style w:customStyle="1" w:styleId="numitem" w:type="paragraph">
    <w:name w:val="numitem"/>
    <w:basedOn w:val="Normal"/>
    <w:pPr>
      <w:numPr>
        <w:numId w:val="6"/>
      </w:numPr>
      <w:spacing w:after="160" w:before="160"/>
      <w:contextualSpacing/>
    </w:pPr>
  </w:style>
  <w:style w:customStyle="1" w:styleId="p1a" w:type="paragraph">
    <w:name w:val="p1a"/>
    <w:basedOn w:val="Normal"/>
    <w:next w:val="Normal"/>
    <w:pPr>
      <w:ind w:firstLine="0"/>
    </w:pPr>
  </w:style>
  <w:style w:customStyle="1" w:styleId="programcode" w:type="paragraph">
    <w:name w:val="programcode"/>
    <w:basedOn w:val="Normal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spacing w:after="160" w:before="160"/>
      <w:ind w:firstLine="0"/>
      <w:contextualSpacing/>
      <w:jc w:val="left"/>
    </w:pPr>
    <w:rPr>
      <w:rFonts w:ascii="Courier" w:hAnsi="Courier"/>
    </w:rPr>
  </w:style>
  <w:style w:customStyle="1" w:styleId="referenceitem" w:type="paragraph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customStyle="1" w:styleId="referencelist" w:type="numbering">
    <w:name w:val="referencelist"/>
    <w:basedOn w:val="No List"/>
    <w:semiHidden/>
    <w:pPr>
      <w:numPr>
        <w:numId w:val="8"/>
      </w:numPr>
    </w:pPr>
  </w:style>
  <w:style w:customStyle="1" w:styleId="runningheadleft" w:type="paragraph">
    <w:name w:val="runninghead left"/>
    <w:basedOn w:val="Normal"/>
    <w:pPr>
      <w:ind w:firstLine="0"/>
      <w:jc w:val="left"/>
      <w:tabs>
        <w:tab w:pos="680" w:val="left"/>
      </w:tabs>
      <w:ind w:firstLine="0"/>
      <w:jc w:val="left"/>
    </w:pPr>
    <w:rPr>
      <w:sz w:val="18"/>
      <w:szCs w:val="18"/>
    </w:rPr>
  </w:style>
  <w:style w:customStyle="1" w:styleId="runningheadright" w:type="paragraph">
    <w:name w:val="runninghead right"/>
    <w:basedOn w:val="Normal"/>
    <w:pPr>
      <w:ind w:firstLine="0"/>
      <w:jc w:val="left"/>
      <w:tabs>
        <w:tab w:pos="6237" w:val="right"/>
        <w:tab w:pos="6917" w:val="right"/>
      </w:tabs>
      <w:ind w:firstLine="0"/>
      <w:jc w:val="left"/>
    </w:pPr>
    <w:rPr>
      <w:bCs/>
      <w:sz w:val="18"/>
      <w:szCs w:val="18"/>
    </w:rPr>
  </w:style>
  <w:style w:styleId="page number" w:type="character">
    <w:name w:val="page number"/>
    <w:basedOn w:val="Default Paragraph Font"/>
    <w:semiHidden/>
    <w:unhideWhenUsed/>
    <w:rPr>
      <w:sz w:val="18"/>
    </w:rPr>
  </w:style>
  <w:style w:customStyle="1" w:styleId="papertitle" w:type="paragraph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customStyle="1" w:styleId="papersubtitle" w:type="paragraph">
    <w:name w:val="papersubtitle"/>
    <w:basedOn w:val="papertitle"/>
    <w:next w:val="author"/>
    <w:pPr>
      <w:spacing w:before="120" w:line="280" w:lineRule="atLeast"/>
    </w:pPr>
    <w:rPr>
      <w:sz w:val="24"/>
    </w:rPr>
  </w:style>
  <w:style w:customStyle="1" w:styleId="tablecaption" w:type="paragraph">
    <w:name w:val="tablecaption"/>
    <w:basedOn w:val="Normal"/>
    <w:next w:val="Normal"/>
    <w:pPr>
      <w:keepNext/>
      <w:keepLines/>
      <w:spacing w:after="120" w:before="240" w:line="220" w:lineRule="atLeast"/>
      <w:ind w:firstLine="0"/>
      <w:jc w:val="center"/>
    </w:pPr>
    <w:rPr>
      <w:sz w:val="18"/>
    </w:rPr>
  </w:style>
  <w:style w:customStyle="1" w:styleId="url" w:type="character">
    <w:name w:val="url"/>
    <w:basedOn w:val="Default Paragraph Font"/>
    <w:rPr>
      <w:rFonts w:ascii="Courier" w:hAnsi="Courier"/>
      <w:noProof/>
    </w:rPr>
  </w:style>
  <w:style w:customStyle="1" w:styleId="ORCID" w:type="character">
    <w:name w:val="ORCID"/>
    <w:basedOn w:val="Default Paragraph Font"/>
    <w:rPr>
      <w:position w:val="0"/>
      <w:vertAlign w:val="superscript"/>
    </w:rPr>
  </w:style>
  <w:style w:styleId="footnote text" w:type="paragraph">
    <w:name w:val="footnote text"/>
    <w:basedOn w:val="Normal"/>
    <w:semiHidden/>
    <w:pPr>
      <w:spacing w:line="220" w:lineRule="atLeast"/>
      <w:ind w:hanging="227" w:left="227"/>
    </w:pPr>
    <w:rPr>
      <w:sz w:val="18"/>
    </w:rPr>
  </w:style>
  <w:style w:customStyle="1" w:styleId="ReferenceLine" w:type="paragraph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1.xml" Type="http://schemas.openxmlformats.org/officeDocument/2006/relationships/footer" /><Relationship Id="rId13" Target="footer3.xml" Type="http://schemas.openxmlformats.org/officeDocument/2006/relationships/footer" /><Relationship Id="rId14" Target="footer2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51" Target="https://arxiv.org/abs/2404.161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rxiv.org/abs/2404.16130" TargetMode="External" 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Vectorless vs Vector-Based Retrieval-Augmented Generation: A Comparative Study for Legal Question Answering</dc:title>
  <dc:creator>[Author Name][1]; [Co-Author 1][1]; [Co-Author 2][1]</dc:creator>
  <cp:keywords>Legal Question Answering, Retrieval-Augmented Generation, Vectorless RAG, PageIndex, Knowledge Graph, LLM Evaluation</cp:keywords>
  <dcterms:created xsi:type="dcterms:W3CDTF">2026-05-08T10:39:30Z</dcterms:created>
  <dcterms:modified xsi:type="dcterms:W3CDTF">2026-05-08T10:39:30Z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Legal question answering is a high-stakes application of large language models (LLMs) in which grounded, auditable, and citation-backed answers are essential. Retrieval-Augmented Generation (RAG) is the prevailing architecture for such systems, but the design space spans two markedly different families: traditional vector-based pipelines that rely on dense embeddings and similarity search, and the recently proposed vectorless approach (PageIndex, 2025) that navigates a hierarchical document tree using an LLM agent without any embeddings or vector store. This paper presents a controlled head-to-head comparison of the two paradigms on the Constitution of India. We build two pipelines that share an identical answer-generation backbone and evaluate them on more than 200 question–answer pairs using six complementary metrics — context precision, context recall, hit rate, faithfulness, answer correctness, and semantic similarity. The results reveal a clean trade-off: the vectorless tree-based system dominates every retrieval-quality metric, while the vector-and-graph pipeline dominates every answer-quality metric. Our analysis attributes this split to the structural alignment between the Constitution’s hierarchy and the PageIndex tree, and to the broader contextual envelope provided by top-k cosine retrieval. The findings argue that legal RAG systems should be evaluated on both axes jointly and motivate hybrid pipelines that combine vectorless precision with graph-augmented recall.</vt:lpwstr>
  </property>
  <property fmtid="{D5CDD505-2E9C-101B-9397-08002B2CF9AE}" pid="3" name="affiliation">
    <vt:lpwstr/>
  </property>
  <property fmtid="{D5CDD505-2E9C-101B-9397-08002B2CF9AE}" pid="4" name="bibliography">
    <vt:lpwstr>references.bib</vt:lpwstr>
  </property>
  <property fmtid="{D5CDD505-2E9C-101B-9397-08002B2CF9AE}" pid="5" name="csl">
    <vt:lpwstr>lncs.csl</vt:lpwstr>
  </property>
  <property fmtid="{D5CDD505-2E9C-101B-9397-08002B2CF9AE}" pid="6" name="link-citations">
    <vt:lpwstr>True</vt:lpwstr>
  </property>
</Properties>
</file>