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AC" w:rsidRDefault="000B73AC">
      <w:pPr>
        <w:pStyle w:val="Sumrio1"/>
      </w:pPr>
    </w:p>
    <w:p w:rsidR="000B73AC" w:rsidRDefault="000B73AC">
      <w:pPr>
        <w:pStyle w:val="Sumrio1"/>
      </w:pPr>
    </w:p>
    <w:p w:rsidR="000B73AC" w:rsidRDefault="000B73AC">
      <w:pPr>
        <w:pStyle w:val="Sumrio1"/>
      </w:pPr>
    </w:p>
    <w:p w:rsidR="000B73AC" w:rsidRDefault="000B73AC"/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Layout dos Movimentos de Fee Collection</w:t>
      </w: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Demais Bandeiras</w:t>
      </w: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Envio e Retorno dos Movimentos de Fee Collection</w:t>
      </w:r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Sistema de Adquirência e Sistema de Contestações</w:t>
      </w: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Default="000B73AC">
      <w:pPr>
        <w:pStyle w:val="Sumrio1"/>
      </w:pPr>
    </w:p>
    <w:p w:rsidR="000B73AC" w:rsidRPr="00E94B16" w:rsidRDefault="00FE7269">
      <w:pPr>
        <w:pageBreakBefore/>
        <w:rPr>
          <w:lang w:val="pt-BR"/>
        </w:rPr>
      </w:pPr>
      <w:bookmarkStart w:id="0" w:name="_Toc1272794671"/>
      <w:bookmarkEnd w:id="0"/>
      <w:r>
        <w:rPr>
          <w:rFonts w:ascii="Arial" w:hAnsi="Arial"/>
          <w:lang w:val="pt-BR"/>
        </w:rPr>
        <w:lastRenderedPageBreak/>
        <w:t>Este layout representa o conteúdo dos seguintes arquivos de movimento de Fee Collection para envio e retorno do STC:</w:t>
      </w:r>
    </w:p>
    <w:p w:rsidR="000B73AC" w:rsidRPr="00E94B16" w:rsidRDefault="000B73AC">
      <w:pPr>
        <w:rPr>
          <w:lang w:val="pt-BR"/>
        </w:rPr>
      </w:pPr>
    </w:p>
    <w:p w:rsidR="000B73AC" w:rsidRPr="00E94B16" w:rsidRDefault="00FE7269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débito)</w:t>
      </w:r>
    </w:p>
    <w:p w:rsidR="000B73AC" w:rsidRPr="00E94B16" w:rsidRDefault="00FE7269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crédito)</w:t>
      </w: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FE7269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>00 – Header dos dados do Fee Collection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018"/>
        <w:gridCol w:w="964"/>
        <w:gridCol w:w="5830"/>
      </w:tblGrid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“1-FEE COLLECTION”;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0B73AC" w:rsidRPr="00FF7836">
        <w:trPr>
          <w:trHeight w:val="354"/>
        </w:trPr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A-0439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062-500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FE7269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t>01 – Detalhe dos dados do Fee Collection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018"/>
        <w:gridCol w:w="964"/>
        <w:gridCol w:w="5830"/>
      </w:tblGrid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003-005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Bandeira  (001)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Movimento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006-006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‘I’  - Incoming    ‘O’ - Outgoing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da Transação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007-007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´C´ - Crédito ´D´- Débito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Código da Razão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008-011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Reason Code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/ Hora Corrente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012-037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Campo TimeStamp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Formato: 'AAAA-MM-DD-HH.MM.SS.mmmmmm'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Ex:  '</w:t>
            </w:r>
            <w:r>
              <w:rPr>
                <w:rFonts w:ascii="Arial" w:hAnsi="Arial" w:cs="Arial"/>
                <w:color w:val="262626"/>
                <w:sz w:val="18"/>
                <w:szCs w:val="18"/>
                <w:lang w:val="pt-BR"/>
              </w:rPr>
              <w:t>2013-11-11-18.40.04.026951'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Origem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038-043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BIN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044-049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Destination BIN 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Número do Cartão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050-065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Complemento do Cartão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066-068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 Extension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 Origem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069-071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Currency Code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Valor de Origem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072-083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Amount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084-086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Currency Code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Valor de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087-098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Amount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o Evento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099-102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Event Date (MMDD)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do Pais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103-105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Country Code – Depende do Reason Code.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Caso o Reason Code seja igual a “0100” ou “0190” o campo deverá ser preenchido com um código de pais válido seguido por espaço.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Para Reason Code igual a “0300” o Código do Pais deverá ser “BR ” ou “CA “.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Mensagem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106-175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Message Text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Set-Flag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176-176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Settlement Flag – Indicador de Liquidação.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Incoming – deverá conter 0, 7 (válido somente para América Latina e Caribe) ou 8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Outgoing - deverá conter: 0, 7(válido somente para América Latina e Caribe), 8 ou 9.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da Reclassificação/ Classificação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177-186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Preenchido no Retorno Outgoing para Integrador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do Ajuste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187-190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espaços no envio do incoming ao STC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Preenchido no Retorno Incoming/Outgoing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Ajuste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191-200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espaços no incoming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lastRenderedPageBreak/>
              <w:t>Preenchido no Retorno Outgoing para Integrador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 xml:space="preserve"> Situação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201-201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Fixo 0 (ZERO) no incoming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Preenchido no Retorno Outgoing para Integrador</w:t>
            </w:r>
          </w:p>
          <w:p w:rsidR="000B73AC" w:rsidRPr="00E94B16" w:rsidRDefault="000B73AC">
            <w:pPr>
              <w:suppressAutoHyphens w:val="0"/>
              <w:spacing w:after="0" w:line="100" w:lineRule="atLeast"/>
              <w:rPr>
                <w:lang w:val="pt-BR"/>
              </w:rPr>
            </w:pP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  <w:lang w:val="pt-BR"/>
              </w:rPr>
              <w:t xml:space="preserve">Domínios 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 – Envio Incoming para STC - (SEC)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– Outgoing classificado –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BAND e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2 – Incoming classificado -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classificação ao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3 – I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ncoming reclassificado/Ajuste – (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correção de classificação de incoming ao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bookmarkStart w:id="1" w:name="__DdeLink__1669_210057176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4 – Outgoing reclassificado</w:t>
            </w:r>
            <w:bookmarkStart w:id="2" w:name="__DdeLink__668_635977388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/Ajuste</w:t>
            </w:r>
            <w:bookmarkEnd w:id="1"/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correção de classificação de outgoing ao IC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de Reclassificação / Classificação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A54191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="00FE7269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FE7269">
              <w:rPr>
                <w:rFonts w:ascii="Arial" w:hAnsi="Arial" w:cs="Arial"/>
                <w:sz w:val="18"/>
                <w:szCs w:val="18"/>
                <w:lang w:val="pt-BR"/>
              </w:rPr>
              <w:t>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202-204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que identifica a reclassificação/ classificação financeira de acordo com o Reason de acordo com a nomenclatura VISA  (Tabela de Parâmetros)                  </w:t>
            </w:r>
          </w:p>
        </w:tc>
      </w:tr>
      <w:tr w:rsidR="00E61EAD" w:rsidTr="00A015C0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E61EAD" w:rsidRDefault="00E61EAD" w:rsidP="00A015C0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Reference Number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E61EAD" w:rsidRDefault="00E61EAD" w:rsidP="00E61EAD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E61EAD" w:rsidRDefault="00E61EAD" w:rsidP="00E61EAD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205-227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E61EAD" w:rsidRDefault="00E61EAD" w:rsidP="00A015C0">
            <w:pPr>
              <w:suppressAutoHyphens w:val="0"/>
              <w:spacing w:after="0" w:line="100" w:lineRule="atLeast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Reference Number da transação, quando houver.</w:t>
            </w:r>
          </w:p>
          <w:p w:rsidR="00E61EAD" w:rsidRDefault="00E61EAD" w:rsidP="00E61EAD">
            <w:pPr>
              <w:suppressAutoHyphens w:val="0"/>
              <w:spacing w:after="0" w:line="100" w:lineRule="atLeast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Mandatório para Fee Collection de contrapartida de processos de mediação (Pré Arbitragem/Pré Compliance</w:t>
            </w:r>
            <w:r w:rsidR="00DD32E1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/Cobrança Amigável</w:t>
            </w:r>
            <w:bookmarkStart w:id="3" w:name="_GoBack"/>
            <w:bookmarkEnd w:id="3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).</w:t>
            </w:r>
          </w:p>
          <w:p w:rsidR="00E61EAD" w:rsidRDefault="00E61EAD" w:rsidP="00E61EAD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Opcional nos outros casos (exemplo: Fee financeiro)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 w:rsidP="00E61EAD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A-02</w:t>
            </w:r>
            <w:r w:rsidR="00E61EAD">
              <w:rPr>
                <w:rFonts w:ascii="Arial" w:hAnsi="Arial" w:cs="Arial"/>
                <w:sz w:val="18"/>
                <w:szCs w:val="18"/>
                <w:lang w:val="pt-BR"/>
              </w:rPr>
              <w:t>73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 w:rsidP="00E61EAD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E61EA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-500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 para uso futuro.</w:t>
            </w:r>
          </w:p>
        </w:tc>
      </w:tr>
    </w:tbl>
    <w:p w:rsidR="000B73AC" w:rsidRDefault="000B73AC">
      <w:pPr>
        <w:suppressAutoHyphens w:val="0"/>
      </w:pPr>
    </w:p>
    <w:p w:rsidR="000B73AC" w:rsidRDefault="000B73AC">
      <w:pPr>
        <w:suppressAutoHyphens w:val="0"/>
      </w:pPr>
    </w:p>
    <w:p w:rsidR="000B73AC" w:rsidRDefault="000B73AC">
      <w:pPr>
        <w:suppressAutoHyphens w:val="0"/>
      </w:pPr>
    </w:p>
    <w:p w:rsidR="000B73AC" w:rsidRPr="00E94B16" w:rsidRDefault="00FE7269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>99 – Trailer dos dados do Fee Collection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1026"/>
        <w:gridCol w:w="963"/>
        <w:gridCol w:w="5842"/>
      </w:tblGrid>
      <w:tr w:rsidR="000B73AC">
        <w:trPr>
          <w:trHeight w:val="347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</w:tr>
      <w:tr w:rsidR="000B73AC" w:rsidRPr="00FF7836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0B73AC" w:rsidRPr="00FF7836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A-0489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012-500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sectPr w:rsidR="000B73AC" w:rsidRPr="00E94B16">
      <w:headerReference w:type="default" r:id="rId8"/>
      <w:footerReference w:type="default" r:id="rId9"/>
      <w:pgSz w:w="12240" w:h="15840"/>
      <w:pgMar w:top="992" w:right="454" w:bottom="1417" w:left="567" w:header="720" w:footer="720" w:gutter="0"/>
      <w:cols w:space="720"/>
      <w:formProt w:val="0"/>
      <w:docGrid w:linePitch="368" w:charSpace="344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5F" w:rsidRDefault="00F45A5F">
      <w:pPr>
        <w:spacing w:after="0" w:line="240" w:lineRule="auto"/>
      </w:pPr>
      <w:r>
        <w:separator/>
      </w:r>
    </w:p>
  </w:endnote>
  <w:endnote w:type="continuationSeparator" w:id="0">
    <w:p w:rsidR="00F45A5F" w:rsidRDefault="00F4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1560"/>
      <w:gridCol w:w="8685"/>
      <w:gridCol w:w="990"/>
    </w:tblGrid>
    <w:tr w:rsidR="000B73AC">
      <w:tc>
        <w:tcPr>
          <w:tcW w:w="1560" w:type="dxa"/>
          <w:tcBorders>
            <w:top w:val="single" w:sz="4" w:space="0" w:color="00000A"/>
            <w:right w:val="single" w:sz="4" w:space="0" w:color="00000A"/>
          </w:tcBorders>
          <w:shd w:val="clear" w:color="auto" w:fill="FFFFFF"/>
        </w:tcPr>
        <w:p w:rsidR="000B73AC" w:rsidRDefault="00FE7269">
          <w:pPr>
            <w:pStyle w:val="Rodap"/>
          </w:pPr>
          <w:r>
            <w:fldChar w:fldCharType="begin"/>
          </w:r>
          <w:r>
            <w:instrText>TIME \@"HH:mm:ss"</w:instrText>
          </w:r>
          <w:r>
            <w:fldChar w:fldCharType="separate"/>
          </w:r>
          <w:r w:rsidR="00DD32E1">
            <w:rPr>
              <w:noProof/>
            </w:rPr>
            <w:t>11:22:03</w:t>
          </w:r>
          <w:r>
            <w:fldChar w:fldCharType="end"/>
          </w:r>
        </w:p>
        <w:p w:rsidR="000B73AC" w:rsidRDefault="000B73AC">
          <w:pPr>
            <w:pStyle w:val="Rodap"/>
          </w:pP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48" w:type="dxa"/>
          </w:tcMar>
        </w:tcPr>
        <w:p w:rsidR="000B73AC" w:rsidRDefault="00FE7269">
          <w:pPr>
            <w:pStyle w:val="Rodap"/>
            <w:jc w:val="center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Layout_Fee_Collection_v3</w:t>
          </w:r>
          <w:r>
            <w:fldChar w:fldCharType="end"/>
          </w:r>
        </w:p>
        <w:p w:rsidR="000B73AC" w:rsidRDefault="00FE7269">
          <w:pPr>
            <w:pStyle w:val="Rodap"/>
            <w:jc w:val="center"/>
          </w:pPr>
          <w:r w:rsidRPr="00E94B16">
            <w:rPr>
              <w:rFonts w:ascii="Arial" w:hAnsi="Arial"/>
              <w:sz w:val="12"/>
              <w:szCs w:val="12"/>
            </w:rPr>
            <w:t>Data da Impressão:</w:t>
          </w:r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DATE \@"dd/MM/yy"</w:instrText>
          </w:r>
          <w:r>
            <w:fldChar w:fldCharType="separate"/>
          </w:r>
          <w:r w:rsidR="00DD32E1">
            <w:rPr>
              <w:noProof/>
            </w:rPr>
            <w:t>07/10/16</w:t>
          </w:r>
          <w:r>
            <w:fldChar w:fldCharType="end"/>
          </w:r>
        </w:p>
        <w:p w:rsidR="000B73AC" w:rsidRPr="00E94B16" w:rsidRDefault="00FE7269">
          <w:pPr>
            <w:pStyle w:val="Rodap"/>
            <w:jc w:val="center"/>
            <w:rPr>
              <w:lang w:val="pt-BR"/>
            </w:rPr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48" w:type="dxa"/>
          </w:tcMar>
        </w:tcPr>
        <w:p w:rsidR="000B73AC" w:rsidRDefault="00FE7269">
          <w:pPr>
            <w:pStyle w:val="Rodap"/>
            <w:jc w:val="center"/>
          </w:pPr>
          <w:r>
            <w:rPr>
              <w:rFonts w:ascii="Arial" w:hAnsi="Arial"/>
            </w:rPr>
            <w:t>Página</w:t>
          </w:r>
        </w:p>
        <w:p w:rsidR="000B73AC" w:rsidRDefault="00FE7269">
          <w:pPr>
            <w:pStyle w:val="Rodap"/>
          </w:pPr>
          <w:r>
            <w:rPr>
              <w:rStyle w:val="Nmerodepgina"/>
              <w:rFonts w:ascii="Arial" w:hAnsi="Arial"/>
            </w:rPr>
            <w:t xml:space="preserve">   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PAGE</w:instrText>
          </w:r>
          <w:r>
            <w:fldChar w:fldCharType="separate"/>
          </w:r>
          <w:r w:rsidR="00DD32E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  <w:rFonts w:ascii="Arial" w:hAnsi="Arial"/>
            </w:rPr>
            <w:t>/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NUMPAGES</w:instrText>
          </w:r>
          <w:r>
            <w:fldChar w:fldCharType="separate"/>
          </w:r>
          <w:r w:rsidR="00DD32E1">
            <w:rPr>
              <w:noProof/>
            </w:rPr>
            <w:t>6</w:t>
          </w:r>
          <w:r>
            <w:fldChar w:fldCharType="end"/>
          </w:r>
        </w:p>
      </w:tc>
    </w:tr>
  </w:tbl>
  <w:p w:rsidR="000B73AC" w:rsidRDefault="000B73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5F" w:rsidRDefault="00F45A5F">
      <w:pPr>
        <w:spacing w:after="0" w:line="240" w:lineRule="auto"/>
      </w:pPr>
      <w:r>
        <w:separator/>
      </w:r>
    </w:p>
  </w:footnote>
  <w:footnote w:type="continuationSeparator" w:id="0">
    <w:p w:rsidR="00F45A5F" w:rsidRDefault="00F4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8749"/>
      <w:gridCol w:w="2550"/>
    </w:tblGrid>
    <w:tr w:rsidR="000B73AC" w:rsidRPr="00FF7836">
      <w:tc>
        <w:tcPr>
          <w:tcW w:w="8749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0B73AC" w:rsidRPr="00E94B16" w:rsidRDefault="00FE7269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>Layout do Movimento de Fee Collection  para  Integrador Contábil</w:t>
          </w:r>
        </w:p>
        <w:p w:rsidR="000B73AC" w:rsidRPr="00E94B16" w:rsidRDefault="00FE7269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Adquirencia  </w:t>
          </w:r>
        </w:p>
      </w:tc>
      <w:tc>
        <w:tcPr>
          <w:tcW w:w="2550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0B73AC" w:rsidRPr="00E94B16" w:rsidRDefault="00FE7269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  </w:t>
          </w:r>
        </w:p>
      </w:tc>
    </w:tr>
  </w:tbl>
  <w:p w:rsidR="000B73AC" w:rsidRPr="00E94B16" w:rsidRDefault="000B73AC">
    <w:pPr>
      <w:suppressAutoHyphens w:val="0"/>
      <w:ind w:right="360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E32"/>
    <w:multiLevelType w:val="multilevel"/>
    <w:tmpl w:val="8DFA2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311A14"/>
    <w:multiLevelType w:val="multilevel"/>
    <w:tmpl w:val="35485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AC"/>
    <w:rsid w:val="000B73AC"/>
    <w:rsid w:val="005B05A3"/>
    <w:rsid w:val="008B3B33"/>
    <w:rsid w:val="0099748F"/>
    <w:rsid w:val="00A54191"/>
    <w:rsid w:val="00A646DF"/>
    <w:rsid w:val="00DD32E1"/>
    <w:rsid w:val="00E61EAD"/>
    <w:rsid w:val="00E94B16"/>
    <w:rsid w:val="00F45A5F"/>
    <w:rsid w:val="00FE7269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8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44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8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44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Cielo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7</cp:revision>
  <cp:lastPrinted>2011-04-14T18:07:00Z</cp:lastPrinted>
  <dcterms:created xsi:type="dcterms:W3CDTF">2015-04-16T17:01:00Z</dcterms:created>
  <dcterms:modified xsi:type="dcterms:W3CDTF">2016-10-07T14:22:00Z</dcterms:modified>
  <dc:language>pt</dc:language>
</cp:coreProperties>
</file>