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DOP"/>
        <w:spacing w:lineRule="auto" w:line="240" w:before="0" w:after="40"/>
        <w:rPr/>
      </w:pPr>
      <w:r>
        <w:rPr/>
        <w:t>Date of publication xxxx 00, 0000, date of current version xxxx 00, 0000.</w:t>
      </w:r>
    </w:p>
    <w:p>
      <w:pPr>
        <w:pStyle w:val="DOI"/>
        <w:spacing w:lineRule="auto" w:line="240" w:before="0" w:after="40"/>
        <w:rPr/>
      </w:pPr>
      <w:r>
        <w:rPr/>
        <w:t>Digital Object Identifier 10.1109/ACCESS.2026.Doi Number</w:t>
      </w:r>
    </w:p>
    <w:p>
      <w:pPr>
        <w:pStyle w:val="PaperTitle"/>
        <w:spacing w:lineRule="auto" w:line="240" w:before="480" w:after="40"/>
        <w:jc w:val="center"/>
        <w:rPr/>
      </w:pPr>
      <w:r>
        <w:rPr/>
        <w:t>PairCT: Privacy-Preserving Web3 Service Authentication With Conditional Traceability</w:t>
      </w:r>
    </w:p>
    <w:p>
      <w:pPr>
        <w:pStyle w:val="AU"/>
        <w:spacing w:lineRule="auto" w:line="240" w:before="0" w:after="40"/>
        <w:jc w:val="center"/>
        <w:rPr/>
      </w:pPr>
      <w:r>
        <w:rPr/>
        <w:t>MOONHYEON CHUNG1 AND CHANIK PARK1</w:t>
      </w:r>
    </w:p>
    <w:p>
      <w:pPr>
        <w:pStyle w:val="PI"/>
        <w:spacing w:lineRule="auto" w:line="240" w:before="0" w:after="40"/>
        <w:jc w:val="center"/>
        <w:rPr/>
      </w:pPr>
      <w:r>
        <w:rPr/>
        <w:t>1 Department of Computer Science and Engineering, Pohang University of Science and Technology, Pohang 37673, South Korea</w:t>
      </w:r>
    </w:p>
    <w:p>
      <w:pPr>
        <w:pStyle w:val="PI"/>
        <w:spacing w:lineRule="auto" w:line="240" w:before="0" w:after="40"/>
        <w:jc w:val="center"/>
        <w:rPr/>
      </w:pPr>
      <w:r>
        <w:rPr/>
        <w:t>Corresponding author: Chanik Park (cipark@postech.ac.kr).</w:t>
      </w:r>
    </w:p>
    <w:p>
      <w:pPr>
        <w:pStyle w:val="Normal"/>
        <w:rPr/>
      </w:pPr>
      <w:r>
        <w:rPr/>
      </w:r>
    </w:p>
    <w:p>
      <w:pPr>
        <w:pStyle w:val="Abstract"/>
        <w:spacing w:lineRule="auto" w:line="240" w:before="0" w:after="40"/>
        <w:rPr/>
      </w:pPr>
      <w:r>
        <w:rPr/>
        <w:t>ABSTRACT For many Web3 applications, wallet login is only the entry point to service authentication. A service must still recognize returning users and support accountability when misuse is reported. Wallet-only authentication gives users direct key control, but reusable addresses make users linkable across services and offer no controlled path for identifying the account behind disputed activity. Existing privacy-preserving SSO systems reduce tracking in conventional Web settings, but do not directly address wallet-bound Web3 service authentication with local account continuity and conditional accountability. We develop PairCT, a privacy-preserving Web3 service-authentication protocol that uses signed login statements from an identity provider (IdP) while hiding the accessed service from the IdP during ordinary authentication. PairCT lets a service recognize returning users without learning the user's IdP-side identifier, and binds the signed statement, wallet session key, service challenge, expiration metadata, and zero-knowledge consistency checks into one transcript. If a login is disputed and opening is authorized, the account behind it can be identified by joining retained service and IdP records, without giving the IdP a global service-discovery capability. We formalize IdP-side RP hiding, cross-service unlinkability, session-bound authentication, offline dictionary attack resilience, conditional privacy with authorized opening, and cross-session wallet-binding consistency. A prototype demonstrates the authentication flow and verifier separation.</w:t>
      </w:r>
    </w:p>
    <w:p>
      <w:pPr>
        <w:pStyle w:val="IT"/>
        <w:spacing w:lineRule="auto" w:line="240" w:before="0" w:after="40"/>
        <w:rPr/>
      </w:pPr>
      <w:r>
        <w:rPr/>
        <w:t>INDEX TERMS Web3 service authentication, privacy-preserving single sign-on, pairwise pseudonymous identifier, zero-knowledge proofs, conditional privacy.</w:t>
      </w:r>
    </w:p>
    <w:p>
      <w:pPr>
        <w:pStyle w:val="H1ListNoSpace"/>
        <w:numPr>
          <w:ilvl w:val="0"/>
          <w:numId w:val="2"/>
        </w:numPr>
        <w:jc w:val="left"/>
        <w:rPr/>
      </w:pPr>
      <w:r>
        <w:rPr/>
        <w:t>INTRODUCTION</w:t>
      </w:r>
    </w:p>
    <w:p>
      <w:pPr>
        <w:pStyle w:val="PARA"/>
        <w:spacing w:lineRule="auto" w:line="240" w:before="0" w:after="40"/>
        <w:rPr/>
      </w:pPr>
      <w:r>
        <w:rPr/>
        <w:t>In Web3 applications, authenticating a wallet address is often not enough to operate a user-facing service. A service backend may need to recognize returning users, maintain off-chain authorization state, bind each login to the current session, and investigate misuse reports. These requirements create a service-authentication problem that differs from blockchain transaction authorization alone. The service needs local account continuity, while the user should not become linkable across services or unnecessarily exposed to the identity provider (IdP) that assists the login.</w:t>
      </w:r>
    </w:p>
    <w:p>
      <w:pPr>
        <w:pStyle w:val="PARA"/>
        <w:spacing w:lineRule="auto" w:line="240" w:before="0" w:after="40"/>
        <w:rPr/>
      </w:pPr>
      <w:r>
        <w:rPr/>
        <w:t>Wallet-only authentication gives users direct control over signing keys and is simple to deploy. In many deployments, however, the wallet address itself becomes the service identity. Reusing the same address across services makes users linkable, while using fresh addresses weakens service-local account continuity unless the service adds another account layer. More importantly, a wallet address is either visible or hidden; by itself, it does not provide a controlled mechanism that hides the user during ordinary login but can identify the account behind disputed activity under authorization.</w:t>
      </w:r>
    </w:p>
    <w:p>
      <w:pPr>
        <w:pStyle w:val="PARA"/>
        <w:spacing w:lineRule="auto" w:line="240" w:before="0" w:after="40"/>
        <w:rPr/>
      </w:pPr>
      <w:r>
        <w:rPr/>
        <w:t>Another approach is to use an existing Web login account as evidence of the user's identity. In such flows, the identity provider authenticates the user and issues a signed statement that the service can verify. This reduces onboarding friction and avoids asking users to manage another long-term secret. OIDC and OAuth-based systems provide a mature framework for such Web authentication flows [4], [5]. Systems such as zkLogin show how identity-provider credentials and zero-knowledge proofs can support blockchain transaction authorization [3]. PairCT targets a different Web3 authentication layer: service-backend login rather than transaction authorization. In this layer, the service needs a stable local account and conditional accountability for disputed service activity, while the IdP should not learn which service is being accessed. Conventional assertion flows, however, reveal the accessed service, client, or audience to the identity provider.</w:t>
      </w:r>
    </w:p>
    <w:p>
      <w:pPr>
        <w:pStyle w:val="PARA"/>
        <w:spacing w:lineRule="auto" w:line="240" w:before="0" w:after="40"/>
        <w:rPr/>
      </w:pPr>
      <w:r>
        <w:rPr/>
        <w:t>Prior privacy-preserving SSO systems reduce identity-provider tracking and cross-service linkability in conventional Web settings [6]-[9]. PairCT builds on this privacy goal, but targets a different service-authentication setting: a Web3 backend needs a stable local account, the login result must be tied to a wallet-generated session key, and conditional accountability should remain possible for a disputed service login.</w:t>
      </w:r>
    </w:p>
    <w:p>
      <w:pPr>
        <w:pStyle w:val="PARA"/>
        <w:spacing w:lineRule="auto" w:line="240" w:before="0" w:after="40"/>
        <w:rPr/>
      </w:pPr>
      <w:r>
        <w:rPr/>
        <w:t>These requirements cannot be met by simply choosing whether an identifier is hidden or revealed. A stable global identifier preserves continuity but enables cross-service linking. Revealing the service identifier to the identity provider enables ordinary login tracking. Hiding every identifier unconditionally protects privacy, but leaves the service without a stable local handle and leaves disputed activity without an authorized opening path. The desired behavior is therefore role-specific: during ordinary authentication, the service should learn only a local account handle, the IdP should not learn the accessed service, and later opening should be limited to an authorized disputed-login transcript.</w:t>
      </w:r>
    </w:p>
    <w:p>
      <w:pPr>
        <w:pStyle w:val="PARA"/>
        <w:spacing w:lineRule="auto" w:line="240" w:before="0" w:after="40"/>
        <w:rPr/>
      </w:pPr>
      <w:r>
        <w:rPr/>
        <w:t>PairCT is designed around this separation between ordinary authentication and authorized opening. During ordinary authentication, the IdP verifies a blinded relation and issues a signed login statement without learning which service is being accessed. The service receives a stable local account identifier and can recognize returning users, but it does not learn the user's IdP-side identifier. The wallet binds these values to the service context and session before releasing the authentication transcript.</w:t>
      </w:r>
    </w:p>
    <w:p>
      <w:pPr>
        <w:pStyle w:val="PARA"/>
        <w:spacing w:lineRule="auto" w:line="240" w:before="0" w:after="40"/>
        <w:rPr/>
      </w:pPr>
      <w:r>
        <w:rPr/>
        <w:t>When a login is later disputed, PairCT opens only the retained authentication transcript for that login. The service provides the accepted transcript and supporting evidence, and the IdP locates the corresponding issuance record under an external authorization process. This reveals the account behind the disputed login to the authorized requester, but it does not let the IdP broadcast identifiers to services or search for all services associated with a user.</w:t>
      </w:r>
    </w:p>
    <w:p>
      <w:pPr>
        <w:pStyle w:val="PARA"/>
        <w:rPr/>
      </w:pPr>
      <w:r>
        <w:rPr/>
        <w:t>This design depends on separating verifier responsibilities. The IdP checks that the login statement is tied to a well-formed hidden relation, while the service checks the local account identifier, wallet-generated session key, freshness metadata, and proof needed for service-side acceptance. The wallet derives or verifies the service identifier from authenticated metadata and the visible origin. This division allows the IdP-facing view to hide the accessed service while still giving the service a session-bound login result.</w:t>
      </w:r>
    </w:p>
    <w:p>
      <w:pPr>
        <w:pStyle w:val="PARA"/>
        <w:rPr/>
      </w:pPr>
      <w:r>
        <w:rPr/>
        <w:t>The main contribution of this paper is a formulation and construction for wallet-bound Web3 service authentication with conditional privacy. PairCT shows how service-local account continuity, IdP-side accessed-service hiding, session-bound wallet authentication, and authorized opening can be combined in one authentication transcript. The paper also defines the corresponding verifier responsibilities and security properties, including IdP-side RP hiding, cross-service unlinkability, offline dictionary attack resilience, session-bound authentication, conditional privacy with authorized opening, and cross-session wallet-binding consistency. Finally, a prototype demonstrates the authentication flow, verifier separation, and main binding logic.</w:t>
      </w:r>
    </w:p>
    <w:p>
      <w:pPr>
        <w:pStyle w:val="H1ListSpace"/>
        <w:numPr>
          <w:ilvl w:val="0"/>
          <w:numId w:val="2"/>
        </w:numPr>
        <w:ind w:left="280" w:hanging="280"/>
        <w:jc w:val="left"/>
        <w:rPr/>
      </w:pPr>
      <w:r>
        <w:rPr/>
        <w:t>BACKGROUND</w:t>
      </w:r>
    </w:p>
    <w:p>
      <w:pPr>
        <w:pStyle w:val="Normal"/>
        <w:spacing w:lineRule="auto" w:line="240" w:before="120" w:after="60"/>
        <w:ind w:left="0" w:hanging="0"/>
        <w:rPr/>
      </w:pPr>
      <w:r>
        <w:rPr>
          <w:b/>
          <w:i/>
          <w:color w:val="595959"/>
          <w:sz w:val="20"/>
        </w:rPr>
        <w:t>A. WALLET-BASED WEB3 AUTHENTICATION</w:t>
      </w:r>
    </w:p>
    <w:p>
      <w:pPr>
        <w:pStyle w:val="PARA"/>
        <w:spacing w:lineRule="auto" w:line="240" w:before="0" w:after="40"/>
        <w:rPr/>
      </w:pPr>
      <w:r>
        <w:rPr/>
        <w:t>In wallet-based Web3 authentication, the RP typically issues a nonce-bearing message, the wallet signs it under a blockchain account, and the RP verifies the signature before creating a session. SIWE standardizes this workflow for Ethereum accounts by defining fields such as domain, address, URI, chain ID, nonce, and issued-at time [1]. Nevertheless, wallet-address login remains a limited basis for privacy-preserving service authentication: reused addresses enable cross-service correlation, while fresh addresses require an additional account layer for service-local continuity. Poorly bound signing prompts are a related deployment risk and can expose users to malicious front-end relays or blind-message attacks [2].</w:t>
      </w:r>
    </w:p>
    <w:p>
      <w:pPr>
        <w:pStyle w:val="Normal"/>
        <w:spacing w:lineRule="auto" w:line="240" w:before="120" w:after="60"/>
        <w:rPr/>
      </w:pPr>
      <w:r>
        <w:rPr/>
        <w:t>B. IDENTITY-PROVIDER-ASSISTED WEB3 AUTHENTICATION</w:t>
      </w:r>
    </w:p>
    <w:p>
      <w:pPr>
        <w:pStyle w:val="PARA"/>
        <w:spacing w:lineRule="auto" w:line="240" w:before="0" w:after="40"/>
        <w:rPr/>
      </w:pPr>
      <w:r>
        <w:rPr/>
        <w:t>Identity-provider-assisted Web3 authentication uses existing identity providers to reduce key-management burden. OIDC is an identity layer built on OAuth 2.0 and allows a client or RP to verify an end user through claims in an ID token [4], [5]. zkLogin uses OIDC credentials and zero-knowledge proofs to authenticate blockchain transactions while hiding the link between an off-chain identity and an on-chain address [3]. This improves usability for transaction authorization. Standard OIDC still reveals the client or audience to the IdP, and transaction-authentication systems leave service-local account continuity, IdP-side RP hiding, and authorized opening for disputed service logins as separate concerns [10], [11].</w:t>
      </w:r>
    </w:p>
    <w:p>
      <w:pPr>
        <w:pStyle w:val="Normal"/>
        <w:spacing w:lineRule="auto" w:line="240" w:before="120" w:after="60"/>
        <w:rPr/>
      </w:pPr>
      <w:r>
        <w:rPr>
          <w:b/>
          <w:i/>
          <w:color w:val="595959"/>
          <w:sz w:val="20"/>
        </w:rPr>
        <w:t>C. PRIVACY-PRESERVING SSO AND ACCOUNTABILITY</w:t>
      </w:r>
    </w:p>
    <w:p>
      <w:pPr>
        <w:pStyle w:val="PARA"/>
        <w:spacing w:lineRule="auto" w:line="240" w:before="0" w:after="40"/>
        <w:rPr/>
      </w:pPr>
      <w:r>
        <w:rPr/>
        <w:t>Privacy-preserving SSO systems such as SPRESSO, EL PASSO, UPPRESSO, MISO, and related constructions address user tracking by IdPs and cross-RP linkability [6]-[9]. Anonymous credentials and decentralized identity systems can support selective disclosure and accountability under different trust models [12]. PairCT targets a different setting: Web3 services where the RP needs a stable pseudonymous service account, the wallet binds key material to the RP session, the IdP-facing view hides the RP, and authorized opening remains limited to a disputed authentication transcript.</w:t>
      </w:r>
    </w:p>
    <w:p>
      <w:pPr>
        <w:pStyle w:val="H1ListSpace"/>
        <w:numPr>
          <w:ilvl w:val="0"/>
          <w:numId w:val="2"/>
        </w:numPr>
        <w:ind w:left="280" w:hanging="280"/>
        <w:jc w:val="left"/>
        <w:rPr/>
      </w:pPr>
      <w:r>
        <w:rPr/>
        <w:t>SYSTEM MODEL, SECURITY MODEL, AND GOALS</w:t>
      </w:r>
    </w:p>
    <w:p>
      <w:pPr>
        <w:pStyle w:val="Normal"/>
        <w:spacing w:lineRule="auto" w:line="240" w:before="120" w:after="60"/>
        <w:ind w:left="0" w:hanging="0"/>
        <w:rPr/>
      </w:pPr>
      <w:r>
        <w:rPr>
          <w:b/>
          <w:i/>
          <w:color w:val="595959"/>
          <w:sz w:val="20"/>
        </w:rPr>
        <w:t>A. SYSTEM ENTITIES</w:t>
      </w:r>
    </w:p>
    <w:p>
      <w:pPr>
        <w:pStyle w:val="PARA"/>
        <w:spacing w:lineRule="auto" w:line="240" w:before="0" w:after="40"/>
        <w:rPr/>
      </w:pPr>
      <w:r>
        <w:rPr/>
        <w:t>The system includes a user, a wallet, an identity provider (IdP), a relying party (RP), and public observers. The user controls an IdP account and a wallet. The wallet stores user-side secrets, generates zero-knowledge proofs, and signs RP sessions. The IdP authenticates the user and issues signed login statements, called assertions in the protocol notation. The RP verifies assertions and creates or resumes RP-managed service accounts. Public observers may see blockchain artifacts while RP-side authentication transcripts remain within the PairCT deployment boundary.</w:t>
      </w:r>
    </w:p>
    <w:p>
      <w:pPr>
        <w:pStyle w:val="PARA"/>
        <w:spacing w:lineRule="auto" w:line="240" w:before="0" w:after="40"/>
        <w:rPr/>
      </w:pPr>
      <w:r>
        <w:rPr/>
        <w:t>We use uid for the IdP-side user identifier and rid for the RP identifier. The value rid is derived from authenticated RP context, not treated as an arbitrary frontend string. In a deployment, the wallet derives or verifies rid from the user-visible origin and authenticated RP metadata, for example rid = H("PairCT.rid", origin, rp_client_id, metadata_version). The metadata can come from a same-origin HTTPS endpoint or a signed RP metadata object.</w:t>
      </w:r>
    </w:p>
    <w:p>
      <w:pPr>
        <w:pStyle w:val="PARA"/>
        <w:spacing w:lineRule="auto" w:line="240" w:before="0" w:after="40"/>
        <w:rPr/>
      </w:pPr>
      <w:r>
        <w:rPr/>
        <w:t>PairCT avoids a new global registry, while the wallet authenticates the metadata source before deriving rid. The wallet aborts if a received rid is inconsistent with the visible origin or authenticated metadata. In the formal protocol, the IdP knows uid but should not learn rid during non-opening authentication. The RP knows rid and receives PPID as a stable pairwise account identifier, while uid and the wallet-side salt remain hidden. The wallet sees both uid-derived and RP-derived context and is therefore trusted by the user for privacy.</w:t>
      </w:r>
    </w:p>
    <w:p>
      <w:pPr>
        <w:pStyle w:val="Normal"/>
        <w:spacing w:lineRule="auto" w:line="240" w:before="120" w:after="60"/>
        <w:rPr/>
      </w:pPr>
      <w:r>
        <w:rPr/>
        <w:t>System model. PairCT involves a user wallet, an IdP, an RP, public observers, and an external authorization process for opening. The wallet derives or verifies rid from the visible origin and authenticated RP metadata before producing PairCT proofs. The IdP authenticates uid and, without learning salt_u, stores the auid value from each account's most recent successful authentication, rejecting a login whose auid differs from that stored value. The RP stores PPID as its service-account handle and retains authentication transcripts according to its retention policy. PairCT treats arid_i, auid_i, nonce_i, auth_digest_i, and the IdP signed login statement as authentication transcript artifacts rather than public on-chain identifiers.</w:t>
      </w:r>
    </w:p>
    <w:p>
      <w:pPr>
        <w:pStyle w:val="Normal"/>
        <w:spacing w:lineRule="auto" w:line="240" w:before="120" w:after="60"/>
        <w:rPr/>
      </w:pPr>
      <w:r>
        <w:rPr/>
        <w:t>Security model. The IdP and RP are honest-but-curious and non-colluding except during authorized opening. The wallet is trusted to protect user-side secrets, perform wallet-side RP-context validation, generate high-entropy fresh randomness, and run the specified derivation and validation checks. Network metadata leakage, wallet compromise, misleading UI that prevents wallet-side RP-context validation, public transcript publication, and global Sybil resistance across multiple IdP accounts are outside the model.</w:t>
      </w:r>
    </w:p>
    <w:p>
      <w:pPr>
        <w:pStyle w:val="Normal"/>
        <w:spacing w:lineRule="auto" w:line="240" w:before="120" w:after="60"/>
        <w:rPr/>
      </w:pPr>
      <w:r>
        <w:rPr/>
        <w:t>Cryptographic and opening model. PairCT assumes standard Groth16 zero-knowledge and argument-of-knowledge soundness for the specified circuits, correct CRS/setup with authentic verification keys and unavailable toxic waste, and domain-separated RO/PRF-like hash/KDF calls. Opening requires external authorization and retained, integrity-protected RP-side and IdP-side records. Authorization is scoped to a specific disputed RP transcript and supporting evidence, not to a user-wide search; the legal or organizational criteria for granting authorization are deployment policy, not a PairCT cryptographic subprotocol.</w:t>
      </w:r>
    </w:p>
    <w:p>
      <w:pPr>
        <w:pStyle w:val="Normal"/>
        <w:rPr/>
      </w:pPr>
      <w:r>
        <w:rPr/>
        <w:t>The one-active-auid state is part of the system model rather than an additional tracing service. Multiple active salts for the same uid are treated as re-binding or account-reset events because they can create multiple RP-local accounts and weaken conditional accountability.</w:t>
      </w:r>
    </w:p>
    <w:p>
      <w:pPr>
        <w:pStyle w:val="Normal"/>
        <w:spacing w:lineRule="auto" w:line="240" w:before="120" w:after="60"/>
        <w:rPr/>
      </w:pPr>
      <w:r>
        <w:rPr>
          <w:b/>
          <w:i/>
          <w:color w:val="595959"/>
          <w:sz w:val="20"/>
        </w:rPr>
        <w:t>B. DESIGN GOALS</w:t>
      </w:r>
    </w:p>
    <w:p>
      <w:pPr>
        <w:pStyle w:val="PARA"/>
        <w:rPr/>
      </w:pPr>
      <w:r>
        <w:rPr/>
        <w:t>The design goals are RP-side user privacy, IdP-side RP hiding, cross-service unlinkability, offline dictionary attack resilience, session-bound authentication, conditional privacy with authorized opening, cross-session wallet-binding consistency, and avoiding a new online tracing server. PairCT addresses these goals through pairwise account identifiers, blinded session artifacts, authenticated origin-derived RP identifiers, session-bound wallet keys, and authorized RP/IdP record joining.</w:t>
      </w:r>
    </w:p>
    <w:p>
      <w:pPr>
        <w:pStyle w:val="PARA"/>
        <w:rPr/>
      </w:pPr>
      <w:r>
        <w:rPr/>
        <w:t>These goals are separated by verifier role. RP-side continuity is carried by PPID. IdP-side RP hiding is carried by arid_i, auid_i, nonce_i, and zero-knowledge verification. Session-bound authentication is carried by sid_i, ctx_i, exp_i, pk_i, nonce_i, auth_digest_i, and the wallet signature. Conditional privacy with authorized opening is carried by retained RP/IdP transcripts joined through auth_digest_i. This separation explains why PairCT treats transcript confidentiality, wallet-side RP-context validation, and one-active-auid state as explicit model boundaries rather than incidental engineering details.</w:t>
      </w:r>
    </w:p>
    <w:p>
      <w:pPr>
        <w:pStyle w:val="Normal"/>
        <w:spacing w:lineRule="auto" w:line="240" w:before="120" w:after="60"/>
        <w:rPr/>
      </w:pPr>
      <w:r>
        <w:rPr>
          <w:b/>
          <w:i/>
          <w:color w:val="595959"/>
          <w:sz w:val="20"/>
        </w:rPr>
        <w:t>C. FORMAL SECURITY DEFINITIONS</w:t>
      </w:r>
    </w:p>
    <w:p>
      <w:pPr>
        <w:pStyle w:val="PARA"/>
        <w:spacing w:lineRule="auto" w:line="240" w:before="0" w:after="40"/>
        <w:rPr/>
      </w:pPr>
      <w:r>
        <w:rPr/>
        <w:t>The following definitions make the scope of PairCT explicit. They are tied to the system and security model above because PairCT targets wallet-bound Web3 service authentication and treats public on-chain credential publication as a separate problem.</w:t>
      </w:r>
    </w:p>
    <w:p>
      <w:pPr>
        <w:pStyle w:val="PARA"/>
        <w:spacing w:lineRule="auto" w:line="240" w:before="0" w:after="40"/>
        <w:rPr/>
      </w:pPr>
      <w:r>
        <w:rPr/>
        <w:t>Definition 1 (IdP-side RP hiding). PairCT satisfies IdP-side RP hiding if any probabilistic polynomial-time honest-but-curious IdP, given its account database, auid state, and IdP-side authentication records within the transcript boundary, cannot distinguish whether an observed non-opening authentication session was initiated for one of two adversarially chosen valid origin-derived RP identifiers rid_0 or rid_1, except with negligible advantage, under the stated system and security model. This bound is stated over the IdP's full observable view, including any client-side code the IdP itself serves to the user's browser during authentication: such code executes under the IdP's own origin and is treated as available to an honest-but-curious IdP, so it must not itself learn which of rid_0 or rid_1 was used either.</w:t>
      </w:r>
    </w:p>
    <w:p>
      <w:pPr>
        <w:pStyle w:val="PARA"/>
        <w:spacing w:lineRule="auto" w:line="240" w:before="0" w:after="40"/>
        <w:rPr/>
      </w:pPr>
      <w:r>
        <w:rPr/>
        <w:t>Definition 2 (Offline dictionary attack resilience). PairCT is resilient to IdP-side offline dictionary attacks if an honest-but-curious IdP cannot verify candidate RP identifiers against the artifacts arid_i, auid_i, nonce_i, auth_digest_i, or the IdP signed login statement without interacting with the wallet or RP, except with negligible probability, under the stated system and security model.</w:t>
      </w:r>
    </w:p>
    <w:p>
      <w:pPr>
        <w:pStyle w:val="PARA"/>
        <w:spacing w:lineRule="auto" w:line="240" w:before="0" w:after="40"/>
        <w:rPr/>
      </w:pPr>
      <w:r>
        <w:rPr/>
        <w:t>Definition 3 (Session-bound authentication). PairCT satisfies session-bound authentication if an adversary cannot cause an RP to accept an IdP signed login statement, public key, and wallet signature for a session different from the RP-issued sid_i, ctx_i, and expiration metadata, except with negligible probability, under wallet-side RP-context validation, proof soundness, signature unforgeability, and replay protection.</w:t>
      </w:r>
    </w:p>
    <w:p>
      <w:pPr>
        <w:pStyle w:val="PARA"/>
        <w:spacing w:lineRule="auto" w:line="240" w:before="0" w:after="40"/>
        <w:rPr/>
      </w:pPr>
      <w:r>
        <w:rPr/>
        <w:t>Definition 4 (Conditional privacy with authorized opening). PairCT satisfies conditional privacy with authorized opening if, given an authorized opening request for a specific retained RP-side transcript, the relevant RP transcript, and the corresponding IdP-side issuance record, the IdP can identify the IdP account associated with that session. Neither party can unilaterally deanonymize sessions outside the opening process under the stated system and security model. The definition is transcript-scoped: it starts from a disputed RP record, does not provide IdP-initiated discovery of which RP holds an account for a uid or PPID, and leaves the external legal or organizational standard for approving an opening request to deployment policy.</w:t>
      </w:r>
    </w:p>
    <w:p>
      <w:pPr>
        <w:pStyle w:val="H1ListSpace"/>
        <w:numPr>
          <w:ilvl w:val="0"/>
          <w:numId w:val="2"/>
        </w:numPr>
        <w:ind w:left="280" w:hanging="280"/>
        <w:jc w:val="left"/>
        <w:rPr/>
      </w:pPr>
      <w:r>
        <w:rPr/>
        <w:t>PAIRCT PROTOCOL</w:t>
      </w:r>
    </w:p>
    <w:p>
      <w:pPr>
        <w:pStyle w:val="Normal"/>
        <w:spacing w:lineRule="auto" w:line="240" w:before="120" w:after="60"/>
        <w:ind w:left="0" w:hanging="0"/>
        <w:rPr/>
      </w:pPr>
      <w:r>
        <w:rPr>
          <w:b/>
          <w:i/>
          <w:color w:val="595959"/>
          <w:sz w:val="20"/>
        </w:rPr>
        <w:t>A. NOTATION AND ARTIFACTS</w:t>
      </w:r>
    </w:p>
    <w:p>
      <w:pPr>
        <w:pStyle w:val="Normal"/>
        <w:rPr/>
      </w:pPr>
      <w:r>
        <w:rPr/>
        <w:t>Notation and artifacts. The RP identifier rid is derived or verified by the wallet from the visible RP origin and authenticated metadata: rid = H("PairCT.rid", origin, rp_client_id, metadata_version). The wallet computes an IdP-facing binding value auid = H("PairCT.auid", uid, salt_u), where salt_u remains hidden from both the IdP and RP.</w:t>
      </w:r>
    </w:p>
    <w:p>
      <w:pPr>
        <w:pStyle w:val="Normal"/>
        <w:rPr/>
      </w:pPr>
      <w:r>
        <w:rPr/>
        <w:t>The RP-local pairwise account identifier is PPID = H("PairCT.ppid", uid, rid, salt_u). The RP stores PPID for service-account continuity, while uid and salt_u remain hidden from the RP. For session i, the RP issues a fresh challenge sid_i, and the wallet samples fresh hidden randomness rho_i for arid_i and auid_i.</w:t>
      </w:r>
    </w:p>
    <w:p>
      <w:pPr>
        <w:pStyle w:val="Normal"/>
        <w:rPr/>
      </w:pPr>
      <w:r>
        <w:rPr/>
        <w:t>The IdP-facing blinded artifacts are arid_i = H("PairCT.arid", rid, rho_i) and auid_i = H("PairCT.auid_i", PPID, rho_i). The wallet also creates a session public key pk_i and binds it through nonce_i = H("PairCT.nonce", pk_i, arid_i, sid_i, ctx_i, exp_i, eta_i), where eta_i is fresh hidden randomness. Finally, auth_digest_i = H("PairCT.auth", arid_i, auid_i, nonce_i, exp_i) binds the IdP signed login statement to the same session artifacts and expiration metadata.</w:t>
      </w:r>
    </w:p>
    <w:p>
      <w:pPr>
        <w:pStyle w:val="Normal"/>
        <w:rPr/>
      </w:pPr>
      <w:r>
        <w:rPr/>
        <w:t>All hash and KDF invocations are domain-separated. The variables salt_u, rho_i, and eta_i are high-entropy wallet-side values; rho_i and eta_i must be freshly sampled for every session. The values arid_i, auid_i, nonce_i, auth_digest_i, and the IdP signed login statement remain off-chain authentication artifacts in the PairCT deployment model.</w:t>
      </w:r>
    </w:p>
    <w:p>
      <w:pPr>
        <w:pStyle w:val="Normal"/>
        <w:rPr/>
      </w:pPr>
      <w:r>
        <w:rPr/>
      </w:r>
    </w:p>
    <w:p>
      <w:pPr>
        <w:pStyle w:val="Normal"/>
        <w:rPr/>
      </w:pPr>
      <w:r>
        <w:rPr/>
      </w:r>
    </w:p>
    <w:p>
      <w:pPr>
        <w:pStyle w:val="PARA"/>
        <w:rPr/>
      </w:pPr>
      <w:r>
        <w:rPr/>
        <w:t>We use protocol values for computed identifiers and commitments such as PPID, arid_i, auid_i, nonce_i, and auth_digest_i. We use transcript records for retained RP-side or IdP-side log entries that contain protocol values together with session metadata, signed statements, signatures, and authorization evidence. For authorized opening, these retained records are assumed to be integrity-protected; otherwise record tampering becomes an external audit failure rather than a PairCT relation failure. Figure 1 summarizes the resulting actor views and trust boundaries.</w:t>
      </w:r>
    </w:p>
    <w:p>
      <w:pPr>
        <w:pStyle w:val="Normal"/>
        <w:rPr/>
      </w:pPr>
      <w:r>
        <w:rPr/>
        <w:drawing>
          <wp:inline distT="0" distB="0" distL="0" distR="0">
            <wp:extent cx="6309360" cy="37458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309360" cy="3745865"/>
                    </a:xfrm>
                    <a:prstGeom prst="rect">
                      <a:avLst/>
                    </a:prstGeom>
                  </pic:spPr>
                </pic:pic>
              </a:graphicData>
            </a:graphic>
          </wp:inline>
        </w:drawing>
      </w:r>
    </w:p>
    <w:p>
      <w:pPr>
        <w:pStyle w:val="FigureCaption"/>
        <w:jc w:val="center"/>
        <w:rPr/>
      </w:pPr>
      <w:r>
        <w:rPr/>
        <w:t>FIGURE 1. System and trust boundaries in PairCT.</w:t>
      </w:r>
    </w:p>
    <w:p>
      <w:pPr>
        <w:pStyle w:val="Normal"/>
        <w:jc w:val="center"/>
        <w:rPr/>
      </w:pPr>
      <w:r>
        <w:rPr/>
      </w:r>
    </w:p>
    <w:p>
      <w:pPr>
        <w:pStyle w:val="Normal"/>
        <w:rPr/>
      </w:pPr>
      <w:r>
        <w:rPr/>
      </w:r>
    </w:p>
    <w:p>
      <w:pPr>
        <w:pStyle w:val="Normal"/>
        <w:spacing w:lineRule="auto" w:line="240" w:before="120" w:after="60"/>
        <w:rPr/>
      </w:pPr>
      <w:r>
        <w:rPr>
          <w:b/>
          <w:i/>
          <w:color w:val="595959"/>
          <w:sz w:val="20"/>
        </w:rPr>
        <w:t>B. SETUP AND WALLET-IDP ACCOUNT BINDING</w:t>
      </w:r>
    </w:p>
    <w:p>
      <w:pPr>
        <w:pStyle w:val="PARA"/>
        <w:spacing w:lineRule="auto" w:line="240" w:before="0" w:after="40"/>
        <w:rPr/>
      </w:pPr>
      <w:r>
        <w:rPr/>
        <w:t>The wallet samples or maintains high-entropy salt_u, which is used together with uid to compute auid = H("PairCT.auid", uid, salt_u) at every authentication. No separate registration step is required: the IdP accepts the auid value from an account's first successful authentication and compares it against every later login, enforcing one active PairCT binding per authenticated account without learning salt_u. The wallet also maintains k_user, from which session signing keys are derived. The IdP learns neither salt_u nor k_user, and the RP learns neither uid, salt_u, nor auid.</w:t>
      </w:r>
    </w:p>
    <w:p>
      <w:pPr>
        <w:pStyle w:val="PARA"/>
        <w:rPr/>
      </w:pPr>
      <w:r>
        <w:rPr/>
        <w:t>This state is intentionally maintained by the IdP rather than by RPs. The IdP is the authority for uid and can enforce one active auid per authenticated account without learning salt_u. RPs do not receive auid, because exposing a stable per-user binding value to multiple RPs would create a cross-RP linking handle. Salt rotation, if supported, is therefore an explicit revocation or re-binding event with audit state, not an untracked user-selected parameter.</w:t>
      </w:r>
    </w:p>
    <w:p>
      <w:pPr>
        <w:pStyle w:val="PARA"/>
        <w:rPr/>
      </w:pPr>
      <w:r>
        <w:rPr/>
        <w:t>Before a wallet can run the delegated authentication flow for a given IdP account, it performs a one-time wallet-IdP account binding. During enrollment, the wallet is connected while the user authenticates to the IdP, and the wallet records only a minimal verified binding such as (issuer, uid). The wallet does not retain the IdP session, password, access token, refresh token, or full authentication result, and the RP does not receive this enrollment state.</w:t>
      </w:r>
    </w:p>
    <w:p>
      <w:pPr>
        <w:pStyle w:val="PARA"/>
        <w:rPr/>
      </w:pPr>
      <w:r>
        <w:rPr/>
        <w:t>If no binding is present, the wallet runs this enrollment flow first. A bare user-entered uid is treated only as an unauthenticated expected identifier and is not persisted until IdP verification succeeds.</w:t>
      </w:r>
    </w:p>
    <w:p>
      <w:pPr>
        <w:pStyle w:val="Normal"/>
        <w:spacing w:lineRule="auto" w:line="240" w:before="120" w:after="60"/>
        <w:rPr/>
      </w:pPr>
      <w:r>
        <w:rPr>
          <w:b/>
          <w:i/>
          <w:color w:val="595959"/>
          <w:sz w:val="20"/>
        </w:rPr>
        <w:t>C. AUTHENTICATION FLOW</w:t>
      </w:r>
    </w:p>
    <w:p>
      <w:pPr>
        <w:pStyle w:val="PARA"/>
        <w:jc w:val="center"/>
        <w:rPr/>
      </w:pPr>
      <w:r>
        <w:rPr/>
        <w:t>ALGORITHM 1. PAIRCT AUTHENTICATION. Figure 2 visualizes the main message flow and signed-statement binding path.</w:t>
      </w:r>
    </w:p>
    <w:p>
      <w:pPr>
        <w:pStyle w:val="PARA"/>
        <w:spacing w:lineRule="auto" w:line="240" w:before="0" w:after="40"/>
        <w:rPr/>
      </w:pPr>
      <w:r>
        <w:rPr/>
        <w:t>1. RP: Generate fresh sid_i and ctx_i. Provide the claimed rid or the authenticated metadata from which rid is derived, together with sid_i, ctx_i, and exp_i to the wallet-side flow.</w:t>
      </w:r>
    </w:p>
    <w:p>
      <w:pPr>
        <w:pStyle w:val="PARA"/>
        <w:spacing w:lineRule="auto" w:line="240" w:before="0" w:after="40"/>
        <w:rPr/>
      </w:pPr>
      <w:r>
        <w:rPr/>
        <w:t>2. Wallet: Derive or verify rid = H("PairCT.rid", origin, rp_client_id, metadata_version) from the user-visible RP origin and authenticated RP metadata; abort if the claimed rid or ctx_i is inconsistent with that origin-bound metadata.</w:t>
      </w:r>
    </w:p>
    <w:p>
      <w:pPr>
        <w:pStyle w:val="PARA"/>
        <w:spacing w:lineRule="auto" w:line="240" w:before="0" w:after="40"/>
        <w:rPr/>
      </w:pPr>
      <w:r>
        <w:rPr/>
        <w:t>3. Wallet: Sample high-entropy fresh rho_i and eta_i. Compute PPID, arid_i, auid_i, pk_i, nonce_i, and auth_digest_i.</w:t>
      </w:r>
    </w:p>
    <w:p>
      <w:pPr>
        <w:pStyle w:val="PARA"/>
        <w:spacing w:lineRule="auto" w:line="240" w:before="0" w:after="40"/>
        <w:rPr/>
      </w:pPr>
      <w:r>
        <w:rPr/>
        <w:t>4. Wallet/IdP: Authenticate the current user through the IdP popup or delegated authentication endpoint. The IdP obtains uid_auth for the current authentication event, while the wallet uses the uid stored from the prior verified wallet-IdP account binding.</w:t>
      </w:r>
    </w:p>
    <w:p>
      <w:pPr>
        <w:pStyle w:val="PARA"/>
        <w:spacing w:lineRule="auto" w:line="240" w:before="0" w:after="40"/>
        <w:rPr/>
      </w:pPr>
      <w:r>
        <w:rPr/>
        <w:t>5. Wallet: In the formal IdP-facing relation, produce pi_i^IdP proving consistency of uid, auid, PPID, arid_i, auid_i, nonce_i, and auth_digest_i without revealing rid, salt_u, rho_i, or eta_i.</w:t>
      </w:r>
    </w:p>
    <w:p>
      <w:pPr>
        <w:pStyle w:val="PARA"/>
        <w:spacing w:lineRule="auto" w:line="240" w:before="0" w:after="40"/>
        <w:rPr/>
      </w:pPr>
      <w:r>
        <w:rPr/>
        <w:t>6. IdP: Verify pi_i^IdP, check that auid matches the value from uid_auth's most recent successful authentication or accept it as the first such value, and issue a signed login statement bound to auth_digest_i and exp_i.</w:t>
      </w:r>
    </w:p>
    <w:p>
      <w:pPr>
        <w:pStyle w:val="PARA"/>
        <w:spacing w:lineRule="auto" w:line="240" w:before="0" w:after="40"/>
        <w:rPr/>
      </w:pPr>
      <w:r>
        <w:rPr/>
        <w:t>7. Wallet: Send the signed login statement, pi_i^RP, pk_i, signature, and session artifacts to the RP.</w:t>
      </w:r>
    </w:p>
    <w:p>
      <w:pPr>
        <w:pStyle w:val="PARA"/>
        <w:spacing w:lineRule="auto" w:line="240" w:before="0" w:after="40"/>
        <w:rPr/>
      </w:pPr>
      <w:r>
        <w:rPr/>
        <w:t>8. RP: Verify IdP signature, issuer, expiration, token type, replay metadata, auth_digest_i binding, pi_i^RP, and wallet signature under pk_i.</w:t>
      </w:r>
    </w:p>
    <w:p>
      <w:pPr>
        <w:pStyle w:val="PARA"/>
        <w:spacing w:lineRule="auto" w:line="240" w:before="0" w:after="40"/>
        <w:rPr/>
      </w:pPr>
      <w:r>
        <w:rPr/>
        <w:t>9. RP: Create or resume the service account indexed by PPID and store the session transcript according to retention policy.</w:t>
      </w:r>
    </w:p>
    <w:p>
      <w:pPr>
        <w:pStyle w:val="PARA"/>
        <w:spacing w:lineRule="auto" w:line="240" w:before="0" w:after="40"/>
        <w:rPr/>
      </w:pPr>
      <w:r>
        <w:rPr/>
        <w:drawing>
          <wp:inline distT="0" distB="0" distL="0" distR="0">
            <wp:extent cx="6309360" cy="37458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309360" cy="3745865"/>
                    </a:xfrm>
                    <a:prstGeom prst="rect">
                      <a:avLst/>
                    </a:prstGeom>
                  </pic:spPr>
                </pic:pic>
              </a:graphicData>
            </a:graphic>
          </wp:inline>
        </w:drawing>
      </w:r>
    </w:p>
    <w:p>
      <w:pPr>
        <w:pStyle w:val="FigureCaption"/>
        <w:spacing w:lineRule="auto" w:line="240" w:before="0" w:after="40"/>
        <w:rPr/>
      </w:pPr>
      <w:r>
        <w:rPr/>
        <w:t>FIGURE 2. PairCT authentication flow and signed-statement binding.</w:t>
      </w:r>
    </w:p>
    <w:p>
      <w:pPr>
        <w:pStyle w:val="PARA"/>
        <w:spacing w:lineRule="auto" w:line="240" w:before="0" w:after="40"/>
        <w:rPr/>
      </w:pPr>
      <w:r>
        <w:rPr/>
        <w:t>Wallet-side RP-context validation is required because the IdP-facing view hides rid. The wallet derives or verifies rid instead of trusting an arbitrary RP/frontend-supplied value. It derives or verifies rid from the browser-visible origin and authenticated RP metadata, e.g., rid = H("PairCT.rid", origin, rp_client_id, metadata_version), before producing any PairCT proof. The metadata source must itself be authenticated, for example through a same-origin HTTPS endpoint or a signed RP metadata object. This prevents a malicious frontend from substituting a victim RP identifier while presenting a different origin to the user.</w:t>
      </w:r>
    </w:p>
    <w:p>
      <w:pPr>
        <w:pStyle w:val="PARA"/>
        <w:rPr/>
      </w:pPr>
      <w:r>
        <w:rPr/>
        <w:t>This failure mode is important. If the wallet accepts an unauthenticated rid supplied by a frontend, or if the metadata source can be substituted, a malicious RP frontend could request a proof for rid_victim while displaying another origin to the user. PairCT therefore treats wallet-side RP-context validation as a security-critical precondition. If this validation fails, IdP-side RP hiding and session-bound authentication no longer model the intended RP context.</w:t>
      </w:r>
    </w:p>
    <w:p>
      <w:pPr>
        <w:pStyle w:val="PARA"/>
        <w:rPr/>
      </w:pPr>
      <w:r>
        <w:rPr/>
        <w:t>Conversely, wallet validation alone is not the PairCT security mechanism. Once the wallet has validated rid, PairCT binds that validated identifier into arid_i, auid_i, nonce_i, auth_digest_i, the IdP signed login statement, the RP-facing proof, and the wallet signature context. Thus wallet validation establishes the intended RP context, while the PairCT transcript prevents later substitution of the RP identity, account handle, session challenge, expiration, or session key within that context.</w:t>
      </w:r>
    </w:p>
    <w:p>
      <w:pPr>
        <w:pStyle w:val="PARA"/>
        <w:rPr/>
      </w:pPr>
      <w:r>
        <w:rPr/>
        <w:t>PairCT is OIDC-inspired signed-statement issuance with an IdP-side extension, not a profile of unmodified OIDC. It preserves issuer authentication and signed-statement verification, but replaces visible IdP-side client/audience handling with wallet-authenticated RP metadata and RP-side verification of the bound transcript. In this design, uid_auth is authenticated by the IdP; PPID is the RP-local pairwise account handle; and sid_i, ctx_i, exp_i, nonce_i, and auth_digest_i bind the signed statement to the RP session and wallet-generated key. The RP accepts only if the signed statement, Groth16 proof, wallet signature, freshness checks, and same-context bindings verify. The resulting tradeoff is explicit: PairCT gains IdP-side RP hiding by moving RP-context validation away from the IdP-visible client_id/audience field.</w:t>
      </w:r>
    </w:p>
    <w:p>
      <w:pPr>
        <w:pStyle w:val="PARA"/>
        <w:rPr/>
      </w:pPr>
      <w:r>
        <w:rPr/>
        <w:t>The stored auid state is the stateful part of this IdP-side extension. It is needed to prevent arbitrary concurrent salts for the same uid; otherwise the same IdP account could switch to a fresh salt and appear as a new RP-local account. Alternatives either weaken the claim to wallet-local consistency, rely on trusted hardware, introduce a separate registry, or accept account-reset behavior as out of scope.</w:t>
      </w:r>
    </w:p>
    <w:p>
      <w:pPr>
        <w:pStyle w:val="PARA"/>
        <w:rPr/>
      </w:pPr>
      <w:r>
        <w:rPr/>
        <w:t>This design changes the usual OIDC responsibility split. In conventional OIDC, the IdP commonly sees a client identifier or audience and can enforce RP registration policy directly. In PairCT, the IdP-facing signed statement is bound to auth_digest_i, while RP identity validation is performed by the wallet and later checked by the RP. Deployments that require IdP-side RP policy enforcement would need an additional privacy-preserving registration or policy layer; otherwise that policy is intentionally outside the current protocol scope.</w:t>
      </w:r>
    </w:p>
    <w:p>
      <w:pPr>
        <w:pStyle w:val="PARA"/>
        <w:rPr/>
      </w:pPr>
      <w:r>
        <w:rPr/>
        <w:t>The IdP can still enforce user-level authentication policy, auid-consistency policy, signed-statement format policy, expiration policy, and abuse throttling over its own issuance interface. What it cannot enforce in the privacy-preserving mode is ordinary RP-specific client policy based on a visible client_id or audience. This is the cost of hiding rid from the IdP; deployments that require IdP approval of individual RPs must add a privacy-preserving policy mechanism or relax IdP-side RP hiding.</w:t>
      </w:r>
    </w:p>
    <w:p>
      <w:pPr>
        <w:pStyle w:val="Normal"/>
        <w:rPr/>
      </w:pPr>
      <w:r>
        <w:rPr/>
      </w:r>
    </w:p>
    <w:p>
      <w:pPr>
        <w:pStyle w:val="Normal"/>
        <w:rPr/>
      </w:pPr>
      <w:r>
        <w:rPr/>
      </w:r>
    </w:p>
    <w:p>
      <w:pPr>
        <w:pStyle w:val="Normal"/>
        <w:spacing w:lineRule="auto" w:line="240" w:before="120" w:after="60"/>
        <w:rPr/>
      </w:pPr>
      <w:r>
        <w:rPr>
          <w:b/>
          <w:i/>
          <w:color w:val="595959"/>
          <w:sz w:val="20"/>
        </w:rPr>
        <w:t>D. IDP-FACING PROOF</w:t>
      </w:r>
    </w:p>
    <w:p>
      <w:pPr>
        <w:pStyle w:val="PARA"/>
        <w:spacing w:lineRule="auto" w:line="240" w:before="0" w:after="40"/>
        <w:rPr/>
      </w:pPr>
      <w:r>
        <w:rPr/>
        <w:t>The IdP-facing proof pi_i^IdP prevents the wallet from mixing an authenticated IdP account with an unrelated salt, RP identifier, or session artifact. The public inputs to the IdP are uid_auth, auid, arid_i, auid_i, nonce_i, auth_digest_i, and exp_i. The IdP also checks that auid matches the value recorded at uid_auth's most recent successful authentication, or accepts it as that account's first recorded value, under a one-active-binding policy. The private witnesses include uid, rid, salt_u, rho_i, eta_i, PPID, and the session values needed to compute nonce_i. Here uid_auth is the IdP-authenticated account identifier for the current authentication event.</w:t>
      </w:r>
    </w:p>
    <w:p>
      <w:pPr>
        <w:pStyle w:val="PARA"/>
        <w:spacing w:lineRule="auto" w:line="240" w:before="0" w:after="40"/>
        <w:rPr/>
      </w:pPr>
      <w:r>
        <w:rPr/>
        <w:t>The proof enforces the following relations: uid = uid_auth; auid = H("PairCT.auid", uid, salt_u); PPID = H("PairCT.ppid", uid, rid, salt_u); arid_i = H("PairCT.arid", rid, rho_i); auid_i = H("PairCT.auid_i", PPID, rho_i); nonce_i = H("PairCT.nonce", pk_i, arid_i, sid_i, ctx_i, exp_i, eta_i); and auth_digest_i = H("PairCT.auth", arid_i, auid_i, nonce_i, exp_i). The IdP verifies consistency but does not learn rid, salt_u, rho_i, eta_i, or the raw session key. The values sid_i and ctx_i are included in auth_digest_i indirectly through nonce_i; the RP-facing proof verifies the nonce_i commitment relation with the RP-visible session context.</w:t>
      </w:r>
    </w:p>
    <w:p>
      <w:pPr>
        <w:pStyle w:val="Normal"/>
        <w:spacing w:lineRule="auto" w:line="240" w:before="120" w:after="60"/>
        <w:rPr/>
      </w:pPr>
      <w:r>
        <w:rPr>
          <w:b/>
          <w:i/>
          <w:color w:val="595959"/>
          <w:sz w:val="20"/>
        </w:rPr>
        <w:t>E. RP-FACING VERIFICATION</w:t>
      </w:r>
    </w:p>
    <w:p>
      <w:pPr>
        <w:pStyle w:val="PARA"/>
        <w:spacing w:lineRule="auto" w:line="240" w:before="0" w:after="40"/>
        <w:rPr/>
      </w:pPr>
      <w:r>
        <w:rPr/>
        <w:t>The RP-facing proof binds the IdP signed login statement to the RP's actual rid and session context. The RP checks that the signed statement, RP-facing proof, wallet signature, and session transcript refer to the same arid_i, auid_i, nonce_i, auth_digest_i, exp_i, sid_i, ctx_i, and pk_i. This same-context relation prevents token substitution, account substitution, and session confusion.</w:t>
      </w:r>
    </w:p>
    <w:p>
      <w:pPr>
        <w:pStyle w:val="PARA"/>
        <w:spacing w:lineRule="auto" w:line="240" w:before="0" w:after="40"/>
        <w:rPr/>
      </w:pPr>
      <w:r>
        <w:rPr/>
        <w:t>PairCT supports two implementation variants. In the lightweight variant, sk_i = KDF("PairCT.key", k_user, PPID, sid_i, ctx_i) describes honest-wallet key generation, while pk_i is session-bound through nonce_i and possession of sk_i is shown by a wallet signature. The RP verifies session binding and possession of the corresponding secret key. KDF derivation and pk_i = Pub(sk_i) verification are reserved for the optional strong circuit. In that variant, the circuit additionally checks sk_i = KDF("PairCT.key", k_user, PPID, sid_i, ctx_i) and pk_i = Pub(sk_i). The traceability-placement observation in this paper corresponds to the lightweight variant.</w:t>
      </w:r>
    </w:p>
    <w:p>
      <w:pPr>
        <w:pStyle w:val="Normal"/>
        <w:rPr/>
      </w:pPr>
      <w:r>
        <w:rPr/>
        <w:t>Verifier responsibilities. The IdP verifies pi_i^IdP with public inputs uid_auth, auid, arid_i, auid_i, nonce_i, auth_digest_i, and exp_i, and checks that auid matches the value recorded at uid_auth's most recent successful authentication, or accepts it as the first recorded value. The corresponding private witnesses include uid, rid, origin, rp_client_id, metadata_version, salt_u, rho_i, eta_i, PPID, pk_i, sid_i, and ctx_i. The relation constrains uid to equal uid_auth and establishes consistency of the IdP-facing artifacts without revealing rid or the wallet-side secrets.</w:t>
      </w:r>
    </w:p>
    <w:p>
      <w:pPr>
        <w:pStyle w:val="Normal"/>
        <w:rPr/>
      </w:pPr>
      <w:r>
        <w:rPr/>
        <w:t>The RP verifies pi_i^RP with the origin-derived rid, PPID, arid_i, auid_i, nonce_i, auth_digest_i, pk_i, sid_i, ctx_i, and exp_i as public inputs. Its private witnesses include uid, salt_u, rho_i, and eta_i, and optionally k_user or sk_i in the strong variant. The wallet signature is checked separately under pk_i over the RP session context and auth_digest_i; it shows possession of sk_i for the accepted session.</w:t>
      </w:r>
    </w:p>
    <w:p>
      <w:pPr>
        <w:pStyle w:val="Normal"/>
        <w:rPr/>
      </w:pPr>
      <w:r>
        <w:rPr/>
      </w:r>
    </w:p>
    <w:p>
      <w:pPr>
        <w:pStyle w:val="Normal"/>
        <w:rPr/>
      </w:pPr>
      <w:r>
        <w:rPr/>
      </w:r>
    </w:p>
    <w:p>
      <w:pPr>
        <w:pStyle w:val="Normal"/>
        <w:spacing w:lineRule="auto" w:line="240" w:before="120" w:after="60"/>
        <w:rPr/>
      </w:pPr>
      <w:r>
        <w:rPr/>
        <w:t>F. AUTHORIZED OPENING</w:t>
      </w:r>
    </w:p>
    <w:p>
      <w:pPr>
        <w:pStyle w:val="PARA"/>
        <w:jc w:val="center"/>
        <w:rPr/>
      </w:pPr>
      <w:r>
        <w:rPr/>
        <w:t>ALGORITHM 2. SESSION-SPECIFIC AUTHORIZED OPENING</w:t>
      </w:r>
    </w:p>
    <w:p>
      <w:pPr>
        <w:pStyle w:val="PARA"/>
        <w:spacing w:lineRule="auto" w:line="240" w:before="0" w:after="40"/>
        <w:rPr/>
      </w:pPr>
      <w:r>
        <w:rPr/>
        <w:t>1. RP: Identify a disputed RP-side session or abuse report and collect the retained PairCT transcript and evidence, such as service logs or a blockchain transaction reference.</w:t>
      </w:r>
    </w:p>
    <w:p>
      <w:pPr>
        <w:pStyle w:val="PARA"/>
        <w:spacing w:lineRule="auto" w:line="240" w:before="0" w:after="40"/>
        <w:rPr/>
      </w:pPr>
      <w:r>
        <w:rPr/>
        <w:t>2. Authority: Approve opening only for that specific transcript, supporting evidence, retention window, and authorization scope.</w:t>
      </w:r>
    </w:p>
    <w:p>
      <w:pPr>
        <w:pStyle w:val="PARA"/>
        <w:spacing w:lineRule="auto" w:line="240" w:before="0" w:after="40"/>
        <w:rPr/>
      </w:pPr>
      <w:r>
        <w:rPr/>
        <w:t>3. RP: Provide the session transcript: PPID, arid_i, auid_i, nonce_i, auth_digest_i, IdP signed login statement, sid_i, ctx_i, exp_i, pk_i, and evidence.</w:t>
      </w:r>
    </w:p>
    <w:p>
      <w:pPr>
        <w:pStyle w:val="PARA"/>
        <w:spacing w:lineRule="auto" w:line="240" w:before="0" w:after="40"/>
        <w:rPr/>
      </w:pPr>
      <w:r>
        <w:rPr/>
        <w:t>4. IdP: Locate the corresponding issuance/authentication record using auth_digest_i or the stored issuance event.</w:t>
      </w:r>
    </w:p>
    <w:p>
      <w:pPr>
        <w:pStyle w:val="PARA"/>
        <w:spacing w:lineRule="auto" w:line="240" w:before="0" w:after="40"/>
        <w:rPr/>
      </w:pPr>
      <w:r>
        <w:rPr/>
        <w:t>5. IdP: Recover the uid associated with the authenticated session record and return the authorized opening result.</w:t>
      </w:r>
    </w:p>
    <w:p>
      <w:pPr>
        <w:pStyle w:val="PARA"/>
        <w:spacing w:lineRule="auto" w:line="240" w:before="0" w:after="40"/>
        <w:rPr/>
      </w:pPr>
      <w:r>
        <w:rPr/>
        <w:t>6. Verifier: Check that the opening result corresponds to the same session transcript, supporting evidence, retention window, and authorization scope.</w:t>
      </w:r>
    </w:p>
    <w:p>
      <w:pPr>
        <w:pStyle w:val="Normal"/>
        <w:rPr/>
      </w:pPr>
      <w:r>
        <w:rPr/>
      </w:r>
    </w:p>
    <w:p>
      <w:pPr>
        <w:pStyle w:val="PARA"/>
        <w:spacing w:lineRule="auto" w:line="240" w:before="0" w:after="40"/>
        <w:rPr/>
      </w:pPr>
      <w:r>
        <w:rPr/>
        <w:t>Authorized opening differs from transaction-level trace tags. PairCT keeps trace information out of the per-transaction path. Instead, it binds accountability to the RP-side authentication transcript and opens only the relevant retained session when the required records and authorization are present. Figure 3 summarizes this RP-initiated authorized opening path.</w:t>
      </w:r>
    </w:p>
    <w:p>
      <w:pPr>
        <w:pStyle w:val="PARA"/>
        <w:spacing w:lineRule="auto" w:line="240" w:before="0" w:after="40"/>
        <w:rPr/>
      </w:pPr>
      <w:r>
        <w:rPr/>
        <w:t>PairCT does not provide IdP-initiated global discovery of which RP holds an account for a given uid or PPID. Opening starts from an already identified RP-side session and a retained transcript. This restriction is intentional: IdP-side broadcast, RP-group probing, or PPID-membership search would weaken RP hiding by turning the opening mechanism into a discovery channel.</w:t>
      </w:r>
    </w:p>
    <w:p>
      <w:pPr>
        <w:pStyle w:val="Normal"/>
        <w:rPr/>
      </w:pPr>
      <w:r>
        <w:rPr/>
        <w:drawing>
          <wp:inline distT="0" distB="0" distL="0" distR="0">
            <wp:extent cx="6309360" cy="37458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309360" cy="3745865"/>
                    </a:xfrm>
                    <a:prstGeom prst="rect">
                      <a:avLst/>
                    </a:prstGeom>
                  </pic:spPr>
                </pic:pic>
              </a:graphicData>
            </a:graphic>
          </wp:inline>
        </w:drawing>
      </w:r>
    </w:p>
    <w:p>
      <w:pPr>
        <w:pStyle w:val="FigureCaption"/>
        <w:jc w:val="center"/>
        <w:rPr/>
      </w:pPr>
      <w:r>
        <w:rPr/>
        <w:t>FIGURE 3. RP-initiated authorized opening.</w:t>
      </w:r>
    </w:p>
    <w:p>
      <w:pPr>
        <w:pStyle w:val="Normal"/>
        <w:jc w:val="center"/>
        <w:rPr/>
      </w:pPr>
      <w:r>
        <w:rPr/>
      </w:r>
    </w:p>
    <w:p>
      <w:pPr>
        <w:pStyle w:val="Normal"/>
        <w:rPr/>
      </w:pPr>
      <w:r>
        <w:rPr/>
      </w:r>
    </w:p>
    <w:p>
      <w:pPr/>
      <w:r>
        <w:t>G. CREDENTIAL REVOCATION</w:t>
      </w:r>
    </w:p>
    <w:p>
      <w:pPr>
        <w:pStyle w:val="PARA"/>
      </w:pPr>
      <w:r>
        <w:t>Expiration alone is not sufficient. A signed login statement stays usable until max_height, so a leaked session key cannot be cut off before that window closes, and an account that must be blocked keeps whatever statements it already holds. The IdP can refuse future issuance, but it cannot recall what it has already signed. What makes this harder than in the off-chain setting is the verifier: for the address-abstraction path of Section VI-C the verifier is a smart contract, which can neither hold a revocation list nor be handed one per transaction without revealing which entry the user is checking.</w:t>
      </w:r>
    </w:p>
    <w:p>
      <w:pPr>
        <w:pStyle w:val="PARA"/>
      </w:pPr>
      <w:r>
        <w:t>PairCT therefore proves non-membership in a revocation set inside the same Groth16 relation that already proves key binding, and publishes only a commitment to that set on-chain. Two layers are revoked independently. A session leaf H(TAG_SESSION, r_token) withdraws one issued statement; an account leaf H(TAG_ACCOUNT, auid) withdraws every statement of one account, where auid is the same per-account value already used for the one-active-binding check of Section IV-B. Because both leaves are hashes of hidden witnesses and the proof shows their absence rather than their presence, a non-revoked user reveals nothing: the anonymity set is every account that has not been revoked, including accounts that never authenticated through this IdP.</w:t>
      </w:r>
    </w:p>
    <w:p>
      <w:pPr>
        <w:pStyle w:val="PARA"/>
      </w:pPr>
      <w:r>
        <w:t>The revocation set is held as indexed Merkle trees supporting O(log n) non-membership witnesses. A single tree would make every proof depend on one root, so any user’s revocation would invalidate every other user’s proof the moment it was published. PairCT splits the structure instead. The lower level is a forest of subtrees, Poseidon-hashed and verified inside the relation; the upper level commits to the subtree roots with keccak and is verified by the contract, outside the relation. The hash choice follows from where each level is checked: Poseidon is cheap inside a SNARK and expensive on chain, keccak the reverse. Measured on our prototype, one on-chain Poseidon(2) costs 54,138 gas against 4,771 for keccak256, a factor of 11.3, so moving the upper levels out of the relation is what makes contract-side verification affordable at all. A proof is then bound only to its own subtree root, so a revocation in any other subtree leaves it valid and only the upper-level sibling hashes—ordinary calldata—have to be refreshed. The two layers are sharded on different keys: session leaves by the credential’s own max_height, which is already a public signal, and account leaves by low-order bits of the account leaf, because the expiry of an account revocation is by construction not known to the prover.</w:t>
      </w:r>
    </w:p>
    <w:p>
      <w:pPr>
        <w:pStyle w:val="PARA"/>
      </w:pPr>
      <w:r>
        <w:t>Revocations are batched. The IdP queues them, computes the next root, the operator publishes that root, and only then does the IdP advance its served state; the registry accepts a superseded root for a bounded number of blocks so that transactions already in flight are not invalidated mid-submission. Revocation latency is therefore bounded by that grace window rather than by the batching period, and it does not depend on how often revocations occur. The cost is symmetric and deliberate: a revoked credential remains usable for at most that many blocks.</w:t>
      </w:r>
    </w:p>
    <w:p>
      <w:pPr>
        <w:pStyle w:val="PARA"/>
      </w:pPr>
      <w:r>
        <w:t>Two boundaries should be stated plainly. First, publication introduces a standing role that the opening path does not: whoever is authorized to update the on-chain registry can withhold an update, republish a superseded root and thereby reinstate revoked credentials, or publish an unusable root and block every wallet. The contract checks only that a root is current, not that it was derived correctly, so this authority is trusted for revocation integrity; making the update itself verifiable is left as future work. Second, the account shard index is a public signal, and auid does not depend on rid, so the same account exposes the same index at every RP. This is a bounded weakening of cross-service unlinkability rather than a break, and Property 5 is stated with that carve-out; the shard count is kept small for exactly this reason, which is affordable because account-level revocations are far rarer than session-level ones.</w:t>
      </w:r>
    </w:p>
    <w:p>
      <w:pPr>
        <w:pStyle w:val="H1ListSpace"/>
        <w:numPr>
          <w:ilvl w:val="0"/>
          <w:numId w:val="2"/>
        </w:numPr>
        <w:spacing w:lineRule="auto" w:line="240" w:before="240" w:after="20"/>
        <w:ind w:left="280" w:hanging="280"/>
        <w:jc w:val="left"/>
        <w:rPr/>
      </w:pPr>
      <w:r>
        <w:rPr/>
        <w:t>SECURITY AND PRIVACY ANALYSIS</w:t>
      </w:r>
    </w:p>
    <w:p>
      <w:pPr>
        <w:pStyle w:val="Normal"/>
        <w:spacing w:lineRule="auto" w:line="240" w:before="120" w:after="60"/>
        <w:ind w:left="0" w:hanging="0"/>
        <w:rPr/>
      </w:pPr>
      <w:r>
        <w:rPr/>
        <w:t>A. GOAL COVERAGE UNDER THE STATED MODEL</w:t>
      </w:r>
    </w:p>
    <w:p>
      <w:pPr>
        <w:pStyle w:val="PARA"/>
        <w:rPr/>
      </w:pPr>
      <w:r>
        <w:rPr/>
        <w:t>Under the stated system and security model, the privacy goals rely on hiding uid, salt_u, rid, rho_i, and eta_i behind zero-knowledge proofs and domain-separated commitments, while authentication and session-binding goals rely on IdP signed-statement verification, Groth16 knowledge soundness, wallet key-possession signatures, replay checks, and wallet-side RP-context validation. Conditional privacy with authorized opening additionally requires retained RP/IdP records and an authorized opening process.</w:t>
      </w:r>
    </w:p>
    <w:p>
      <w:pPr>
        <w:pStyle w:val="Normal"/>
        <w:rPr/>
      </w:pPr>
      <w:r>
        <w:rPr/>
      </w:r>
    </w:p>
    <w:p>
      <w:pPr>
        <w:pStyle w:val="Normal"/>
        <w:rPr/>
      </w:pPr>
      <w:r>
        <w:rPr/>
      </w:r>
    </w:p>
    <w:p>
      <w:pPr>
        <w:pStyle w:val="Normal"/>
        <w:spacing w:before="120" w:after="60"/>
        <w:rPr/>
      </w:pPr>
      <w:r>
        <w:rPr>
          <w:b/>
          <w:i/>
          <w:color w:val="595959"/>
          <w:sz w:val="20"/>
        </w:rPr>
        <w:t>B. EXTRACTION-AWARE ANALYSIS MODEL</w:t>
      </w:r>
    </w:p>
    <w:p>
      <w:pPr>
        <w:pStyle w:val="PARA"/>
        <w:rPr/>
      </w:pPr>
      <w:r>
        <w:rPr/>
        <w:t>Security parameter, sessions, and primitives. Let lambda denote the security parameter, and let h_salt, h_rho, h_eta, and h_sid denote the min-entropies of salt_u, rho_i, eta_i, and sid_i. The adversary is probabilistic polynomial time and may adaptively create users, choose RP origins and authenticated metadata, start sessions, request honest wallet outputs, request IdP signed statements for verified IdP-side statements, submit transcripts to RP verification, and query the domain-separated random oracles.</w:t>
      </w:r>
    </w:p>
    <w:p>
      <w:pPr>
        <w:pStyle w:val="PARA"/>
        <w:rPr/>
      </w:pPr>
      <w:r>
        <w:rPr/>
        <w:t>Let q_T be the number of sessions, q_H be the number of random-oracle/KDF queries, q_P be the number of proof-verification queries, q_S be the number of RP session challenges, and q_O be the number of authorized opening requests. The security model excludes a joint RP-IdP view except during authorized opening and excludes wallet compromise. The analysis is multi-session and adaptive with respect to protocol queries; adaptive corruption remains outside the model.</w:t>
      </w:r>
    </w:p>
    <w:p>
      <w:pPr>
        <w:pStyle w:val="PARA"/>
        <w:rPr/>
      </w:pPr>
      <w:r>
        <w:rPr/>
        <w:t>Relations. The IdP relation R_IdP proves knowledge of witnesses (uid, rid, origin, rp_client_id, metadata_version, salt_u, rho_i, eta_i, PPID, pk_i, sid_i, ctx_i) such that uid = uid_auth, auid = H_auid(uid, salt_u), rid = H_rid(origin, rp_client_id, metadata_version), PPID = H_PPID(uid, rid, salt_u), arid_i = H_arid(rid, rho_i), auid_i = H_auid_i(PPID, rho_i), nonce_i = H_nonce(pk_i, arid_i, sid_i, ctx_i, exp_i, eta_i), and auth_digest_i = H_auth(arid_i, auid_i, nonce_i, exp_i).</w:t>
      </w:r>
    </w:p>
    <w:p>
      <w:pPr>
        <w:pStyle w:val="PARA"/>
        <w:rPr/>
      </w:pPr>
      <w:r>
        <w:rPr/>
        <w:t>Here uid_auth is the IdP-authenticated account identifier for the current authentication event; uid = uid_auth binds the hidden uid used to derive PPID to the account authenticated by the IdP. The Groth16 relations establish algebraic consistency with an origin-derived rid. The correspondence between origin/RP metadata and the user-visible service is enforced as a wallet-side precondition, not as a property directly checked inside the Groth16 circuit. The RP relation R_RP establishes the same algebraic binding while exposing rid, PPID, pk_i, sid_i, ctx_i, exp_i, and auth_digest_i as RP-side public inputs.</w:t>
      </w:r>
    </w:p>
    <w:p>
      <w:pPr>
        <w:pStyle w:val="PARA"/>
        <w:rPr/>
      </w:pPr>
      <w:r>
        <w:rPr/>
        <w:t>Binding rationale. Although pk_i, sid_i, and ctx_i are not disclosed to the IdP as RP-identifying public values, they appear in the hidden relation so that nonce_i and auth_digest_i bind the IdP signed login statement to the same RP session and wallet-generated session public key later checked by the RP. This keeps the IdP from learning rid while preventing the signed statement from being detached from the RP-side session context.</w:t>
      </w:r>
    </w:p>
    <w:p>
      <w:pPr>
        <w:pStyle w:val="PARA"/>
        <w:rPr/>
      </w:pPr>
      <w:r>
        <w:rPr/>
        <w:t>Extraction lemma. By the Groth16 argument-of-knowledge property for the PairCT relations, for every adversary that outputs an accepting argument pi for R_IdP or R_RP, either the relation is true for a witness extractable by the knowledge extractor, or there exists a reduction to Groth16 knowledge-soundness failure. The extractor is used only in the analysis and does not imply that RP or IdP learns the hidden witness in the real protocol. Zero knowledge is used through a simulator that produces proofs computationally indistinguishable from real Groth16 proofs for the same public statement.</w:t>
      </w:r>
    </w:p>
    <w:p>
      <w:pPr>
        <w:pStyle w:val="PARA"/>
        <w:jc w:val="both"/>
        <w:rPr/>
      </w:pPr>
      <w:r>
        <w:rPr/>
        <w:t>Groth16 instantiation boundary. PairCT instantiates pi_i^IdP and pi_i^RP with Groth16 zk-SNARKs [13] for the corresponding R1CS/QAP encodings of R_IdP and R_RP. Since Groth16 is used as a succinct non-interactive argument of knowledge, the main analysis treats accepted PairCT proofs as knowledge-sound: except with negligible probability, an accepted argument implies prover knowledge of witnesses satisfying the corresponding relation.</w:t>
      </w:r>
    </w:p>
    <w:p>
      <w:pPr>
        <w:pStyle w:val="PARA"/>
        <w:jc w:val="both"/>
        <w:rPr/>
      </w:pPr>
      <w:r>
        <w:rPr/>
        <w:t>This treatment is specific to the selected Groth16 instantiation and relies on the standard Groth16 security theorem, correctly generated CRS/setup parameters, and unavailability of toxic waste to the adversary. The extractor is an analysis device; during protocol execution, uid, salt_u, rho_i, eta_i, and other hidden witnesses remain hidden from the RP and IdP.</w:t>
      </w:r>
    </w:p>
    <w:p>
      <w:pPr>
        <w:pStyle w:val="PARA"/>
        <w:jc w:val="both"/>
        <w:rPr/>
      </w:pPr>
      <w:r>
        <w:rPr/>
        <w:t>Groth16 setup. Groth16 uses circuit-specific proving and verification keys. Accordingly, PairCT requires the CRS/proving-verification keys for the IdP-facing circuit R_IdP and the RP-facing circuit R_RP to be generated correctly, match the exact R1CS/QAP relations used in the implementation, and be distributed authentically to verifiers. The toxic-waste trapdoors for these circuits must be destroyed or otherwise unavailable to adversaries. This setup requirement is separate from per-session protocol execution; PairCT avoids a new online tracing party while relying on correct Groth16 setup for the specified circuits.</w:t>
      </w:r>
    </w:p>
    <w:p>
      <w:pPr>
        <w:pStyle w:val="PARA"/>
        <w:rPr/>
      </w:pPr>
      <w:r>
        <w:rPr/>
        <w:t>Canonical logs and transcripts. The analysis uses append-only, integrity-protected logs L_auth, L_idp, L_rp, L_wal, and L_open within the retention window. A canonical accepted transcript is tau_i = (origin, rid, sid_i, ctx_i, exp_i, PPID, arid_i, auid_i, nonce_i, auth_digest_i, pk_i, assertion_i, pi_i^RP, sigma_i), where assertion_i denotes the IdP signed login statement. A transcript is canonical if all public values are equal to the values certified by the accepted proofs and logs, assertion_i verifies on (auth_digest_i, exp_i), sigma_i verifies on m_i, the RP challenge sid_i is fresh, and the wallet validated rid from the visible origin and authenticated metadata.</w:t>
      </w:r>
    </w:p>
    <w:p>
      <w:pPr>
        <w:pStyle w:val="PARA"/>
        <w:rPr/>
      </w:pPr>
      <w:r>
        <w:rPr/>
        <w:t>Failure events and oracle discipline. The analysis tracks the following failure classes: E_sid for RP challenge collision or replay-check failure; E_IdP for an IdP signed-statement forgery; E_Wal for wallet signature forgery; E_ext for an accepting argument without a valid relation witness; E_ZK for distinguishing simulated and real arguments; E_coll for a collision in any domain-separated hash; E_ro for a random-oracle query containing an unrevealed salt_u, rho_i, or eta_i of a protected session; E_meta for failure of authenticated origin-metadata validation.</w:t>
      </w:r>
    </w:p>
    <w:p>
      <w:pPr>
        <w:pStyle w:val="PARA"/>
        <w:rPr/>
      </w:pPr>
      <w:r>
        <w:rPr/>
        <w:t>Random oracles are implemented by lazy sampling per domain tag. Hence replacing H_tag(x) by a fresh value is perfect unless x has already been queried or a collision occurs.</w:t>
      </w:r>
    </w:p>
    <w:p>
      <w:pPr>
        <w:pStyle w:val="PARA"/>
        <w:rPr/>
      </w:pPr>
      <w:r>
        <w:rPr/>
        <w:t>Analysis roadmap. The structured analysis identifies the primitive, model-boundary, or out-of-scope failure that would be needed to break each property. Accepted attacks fall into a small set of cases: IdP signed-statement forgery, wallet signature forgery, Groth16 knowledge-soundness failure, hash collision, replay acceptance, hidden-witness guessing, wallet-side RP-context validation failure, retained-record integrity failure, or an out-of-scope event such as wallet compromise or RP-IdP collusion.</w:t>
      </w:r>
    </w:p>
    <w:p>
      <w:pPr>
        <w:pStyle w:val="PARA"/>
        <w:rPr/>
      </w:pPr>
      <w:r>
        <w:rPr/>
        <w:t>The displayed bounds identify the dominant failure terms in this model and indicate which primitive, model boundary, or out-of-scope event each attack would have to violate. They are model-level bounds rather than tight concrete-security estimates.</w:t>
      </w:r>
    </w:p>
    <w:p>
      <w:pPr>
        <w:pStyle w:val="Normal"/>
        <w:spacing w:before="120" w:after="60"/>
        <w:rPr/>
      </w:pPr>
      <w:r>
        <w:rPr>
          <w:b/>
          <w:i/>
          <w:color w:val="595959"/>
          <w:sz w:val="20"/>
        </w:rPr>
        <w:t>C. AUTHENTICATION SOUNDNESS</w:t>
      </w:r>
    </w:p>
    <w:p>
      <w:pPr>
        <w:pStyle w:val="PARA"/>
        <w:rPr/>
      </w:pPr>
      <w:r>
        <w:rPr/>
        <w:t>Scope. Authentication soundness concerns RP acceptance of tau_i. A violation occurs if an honest RP accepts a transcript although no canonical entries in L_auth, L_idp, and L_wal bind the same origin-derived rid, sid_i, ctx_i, exp_i, pk_i, auth_digest_i, and wallet signature message m_i.</w:t>
      </w:r>
    </w:p>
    <w:p>
      <w:pPr>
        <w:pStyle w:val="PARA"/>
        <w:rPr/>
      </w:pPr>
      <w:r>
        <w:rPr/>
        <w:t>Property 1 (Authentication soundness). For every PPT adversary A,</w:t>
      </w:r>
    </w:p>
    <w:p>
      <w:pPr>
        <w:pStyle w:val="PARA"/>
        <w:rPr/>
      </w:pPr>
      <w:r>
        <w:rPr/>
        <w:t>Adv_auth(A) &lt;= Adv_Sig-IdP^euf(B_sigI) + Adv_Sig-Wal^euf(B_sigW) + Adv_G16^ksnd(B_g16) + Adv_H^coll(B_coll) + q_S^2/2^h_sid + negl(lambda).</w:t>
      </w:r>
    </w:p>
    <w:p>
      <w:pPr>
        <w:pStyle w:val="PARA"/>
        <w:rPr/>
      </w:pPr>
      <w:r>
        <w:rPr/>
        <w:t>Argument summary. An accepted non-canonical transcript must pass all RP checks while breaking at least one binding component. If assertion_i verifies without a matching IdP issuance record for (auth_digest_i, exp_i), the attack is an IdP signed-statement forgery. If sigma_i verifies for a different m_i, the attack is a wallet-signature forgery. If the accepted proof does not encode the same PPID, arid_i, auid_i, nonce_i, auth_digest_i, sid_i, ctx_i, exp_i, and pk_i, extraction gives an E_ext event. Otherwise the transcript differs only through a hash collision, replay, or metadata-validation failure.</w:t>
      </w:r>
    </w:p>
    <w:p>
      <w:pPr>
        <w:pStyle w:val="PARA"/>
        <w:rPr/>
      </w:pPr>
      <w:r>
        <w:rPr/>
        <w:t>The remaining substitution cases require two distinct transcript inputs to produce the same nonce_i, auth_digest_i, or wallet-signature message, or require replay acceptance of sid_i. These cases are captured by domain-separated hash collision, replay failure, or origin-metadata validation failure. Therefore every accepted transcript is canonical except with the failure terms shown in the bound.</w:t>
      </w:r>
    </w:p>
    <w:p>
      <w:pPr>
        <w:pStyle w:val="Normal"/>
        <w:spacing w:before="120" w:after="60"/>
        <w:rPr/>
      </w:pPr>
      <w:r>
        <w:rPr>
          <w:b/>
          <w:i/>
          <w:color w:val="595959"/>
          <w:sz w:val="20"/>
        </w:rPr>
        <w:t>D. RP-SIDE USER PRIVACY</w:t>
      </w:r>
    </w:p>
    <w:p>
      <w:pPr>
        <w:pStyle w:val="PARA"/>
        <w:rPr/>
      </w:pPr>
      <w:r>
        <w:rPr/>
        <w:t>Scope. RP-side user privacy considers what an RP learns from its local authentication view. The same-RP stable PPID is intentionally visible because it is the RP account identifier; the property hides the underlying IdP account identity behind that local account handle.</w:t>
      </w:r>
    </w:p>
    <w:p>
      <w:pPr>
        <w:pStyle w:val="PARA"/>
        <w:rPr/>
      </w:pPr>
      <w:r>
        <w:rPr/>
        <w:t>Property 2 (RP-side user privacy). Under the stated system and security model,</w:t>
      </w:r>
    </w:p>
    <w:p>
      <w:pPr>
        <w:pStyle w:val="PARA"/>
        <w:rPr/>
      </w:pPr>
      <w:r>
        <w:rPr/>
        <w:t>Adv_rp-priv(A) &lt;= Adv_G16^zk(B_zk) + Adv_H^prf(B_ro) + q_T q_H/2^h_salt + q_T q_H/2^h_rho + q_T q_H/2^h_eta + Adv_H^coll(B_coll) + negl(lambda).</w:t>
      </w:r>
    </w:p>
    <w:p>
      <w:pPr>
        <w:pStyle w:val="PARA"/>
        <w:rPr/>
      </w:pPr>
      <w:r>
        <w:rPr/>
        <w:t>Argument summary. The RP-facing proof is zero-knowledge, so the proof itself does not reveal uid, salt_u, rho_i, or eta_i. The local identifier PPID = H_PPID(uid, rid, salt_u) is computationally hidden from the RP unless the RP can query the hidden salt tuple or distinguish the hash/KDF behavior from the modeled primitive. The session artifacts arid_i, auid_i, and nonce_i are protected by hidden rho_i and eta_i.</w:t>
      </w:r>
    </w:p>
    <w:p>
      <w:pPr>
        <w:pStyle w:val="PARA"/>
        <w:rPr/>
      </w:pPr>
      <w:r>
        <w:rPr/>
        <w:t>Across q_T sessions, the dominant leakage opportunities are hidden-witness queries, Groth16 zero-knowledge failure, PRF/RO distinguishing, or domain-separated hash collision. Same-RP continuity remains visible by design, but the RP view does not expose the underlying uid under the stated system and security model.</w:t>
      </w:r>
    </w:p>
    <w:p>
      <w:pPr>
        <w:pStyle w:val="Normal"/>
        <w:spacing w:before="120" w:after="60"/>
        <w:rPr/>
      </w:pPr>
      <w:r>
        <w:rPr>
          <w:b/>
          <w:i/>
          <w:color w:val="595959"/>
          <w:sz w:val="20"/>
        </w:rPr>
        <w:t>E. IDP-SIDE RP HIDING</w:t>
      </w:r>
    </w:p>
    <w:p>
      <w:pPr>
        <w:pStyle w:val="PARA"/>
        <w:rPr/>
      </w:pPr>
      <w:r>
        <w:rPr/>
        <w:t>Scope. IdP-side RP hiding considers the IdP-facing view for two possible authenticated RP origins with metadata that induce rid_0 and rid_1. Network metadata leakage, misleading UI outside wallet-side RP-context validation, and RP-IdP collusion are outside the model. The IdP-facing view includes not only IdP-side server records but also any client-side code the IdP serves during the login flow; realizing this in practice requires that such code never itself receive the RP's true origin (Implementation and Scope, Section A).</w:t>
      </w:r>
    </w:p>
    <w:p>
      <w:pPr>
        <w:pStyle w:val="PARA"/>
        <w:rPr/>
      </w:pPr>
      <w:r>
        <w:rPr/>
        <w:t>Property 3 (IdP-side RP hiding, formalizing Definition 1). Under the stated system and security model,</w:t>
      </w:r>
    </w:p>
    <w:p>
      <w:pPr>
        <w:pStyle w:val="PARA"/>
        <w:rPr/>
      </w:pPr>
      <w:r>
        <w:rPr/>
        <w:t>Adv_rphide(A) &lt;= Adv_G16^zk(B_zk) + Adv_H^prf(B_ro) + q_T q_H/2^h_rho + q_T q_H/2^h_eta + Adv_H^coll(B_coll) + negl(lambda).</w:t>
      </w:r>
    </w:p>
    <w:p>
      <w:pPr>
        <w:pStyle w:val="PARA"/>
        <w:rPr/>
      </w:pPr>
      <w:r>
        <w:rPr/>
        <w:t>Argument summary. In a non-opening session, the IdP sees uid_auth, auid, arid_i, auid_i, nonce_i, auth_digest_i, exp_i, and signed-statement request metadata within the PairCT transcript boundary. The origin-derived rid appears only inside zero-knowledge relations and domain-separated hashes mixed with fresh hidden rho_i and eta_i. Unless the IdP distinguishes the Groth16 proof from simulation, queries the exact hidden hash inputs, finds a collision, or obtains excluded side information, its view for rid_0 and rid_1 is computationally indistinguishable.</w:t>
      </w:r>
    </w:p>
    <w:p>
      <w:pPr>
        <w:pStyle w:val="PARA"/>
        <w:rPr/>
      </w:pPr>
      <w:r>
        <w:rPr/>
        <w:t>After arid_i, auid_i, and nonce_i are protected by hidden high-entropy witnesses, auth_digest_i gives no independent RP test except through collision or primitive failure. Wallet-side RP-context validation is essential because it prevents a malicious front-end from making the wallet compute a victim rid unrelated to the visible origin. Under these conditions, the IdP-facing values do not identify which RP origin was used.</w:t>
      </w:r>
    </w:p>
    <w:p>
      <w:pPr>
        <w:pStyle w:val="Normal"/>
        <w:spacing w:before="120" w:after="60"/>
        <w:rPr/>
      </w:pPr>
      <w:r>
        <w:rPr>
          <w:b/>
          <w:i/>
          <w:color w:val="595959"/>
          <w:sz w:val="20"/>
        </w:rPr>
        <w:t>F. OFFLINE DICTIONARY ATTACK RESILIENCE</w:t>
      </w:r>
    </w:p>
    <w:p>
      <w:pPr>
        <w:pStyle w:val="PARA"/>
        <w:rPr/>
      </w:pPr>
      <w:r>
        <w:rPr/>
        <w:t>Scope. Offline dictionary attack resilience considers an IdP that observes IdP-side transcripts and then tries to test candidate RP identifiers from a dictionary D without interacting with the RP or wallet.</w:t>
      </w:r>
    </w:p>
    <w:p>
      <w:pPr>
        <w:pStyle w:val="PARA"/>
        <w:rPr/>
      </w:pPr>
      <w:r>
        <w:rPr/>
        <w:t>Property 4 (Offline dictionary attack resilience, formalizing Definition 2). Under the stated system and security model,</w:t>
      </w:r>
    </w:p>
    <w:p>
      <w:pPr>
        <w:pStyle w:val="PARA"/>
        <w:rPr/>
      </w:pPr>
      <w:r>
        <w:rPr/>
        <w:t>Adv_dict(A) &lt;= q_T(|D|q_H/2^h_rho + |D|q_H/2^h_salt + q_H/2^h_eta) + Adv_H^prf(B_ro) + Adv_H^coll(B_coll) + negl(lambda).</w:t>
      </w:r>
    </w:p>
    <w:p>
      <w:pPr>
        <w:pStyle w:val="PARA"/>
        <w:rPr/>
      </w:pPr>
      <w:r>
        <w:rPr/>
        <w:t>Argument summary. A test through arid_i requires finding rho such that arid_i = H_arid(rid*, rho). For the correct candidate, this requires querying rho_i; for wrong candidates it succeeds only by collision. A test through auid_i requires both PPID = H_PPID(uid, rid*, salt_u) and the same rho_i. A test through nonce_i additionally requires eta_i.</w:t>
      </w:r>
    </w:p>
    <w:p>
      <w:pPr>
        <w:pStyle w:val="PARA"/>
        <w:rPr/>
      </w:pPr>
      <w:r>
        <w:rPr/>
        <w:t>auth_digest_i hashes these protected artifacts and expiration metadata, so it gives no independent offline test once arid_i, auid_i, and nonce_i are protected. Union bounding over |D| candidates and q_T transcripts yields the stated bound. Thus high-entropy salt_u, rho_i, and eta_i are the specific entropy sources that remove the offline testing oracle.</w:t>
      </w:r>
    </w:p>
    <w:p>
      <w:pPr>
        <w:pStyle w:val="Normal"/>
        <w:spacing w:before="120" w:after="60"/>
        <w:rPr/>
      </w:pPr>
      <w:r>
        <w:rPr>
          <w:b/>
          <w:i/>
          <w:color w:val="595959"/>
          <w:sz w:val="20"/>
        </w:rPr>
        <w:t>G. CROSS-SERVICE UNLINKABILITY</w:t>
      </w:r>
    </w:p>
    <w:p>
      <w:pPr>
        <w:pStyle w:val="PARA"/>
        <w:rPr/>
      </w:pPr>
      <w:r>
        <w:rPr/>
        <w:t>Scope. Cross-service unlinkability considers RP-side transcripts for two distinct origin-derived identifiers and asks whether they can be linked to the same uid. Colluding RPs may compare their RP-side views, but they do not receive the IdP-side uid, wallet secrets, or a combined RP-IdP view.</w:t>
      </w:r>
    </w:p>
    <w:p>
      <w:pPr>
        <w:pStyle w:val="PARA"/>
        <w:rPr/>
      </w:pPr>
      <w:r>
        <w:rPr/>
        <w:t>Property 5 (Cross-service unlinkability, off-chain transcripts). Under the stated system and security model, and excluding the on-chain account shard index discussed below,</w:t>
      </w:r>
    </w:p>
    <w:p>
      <w:pPr>
        <w:pStyle w:val="PARA"/>
        <w:rPr/>
      </w:pPr>
      <w:r>
        <w:rPr/>
        <w:t>Adv_xlink(A) &lt;= 2Adv_G16^zk(B_zk) + Adv_H^prf(B_ro) + 2q_T q_H/2^h_salt + 2q_T q_H/2^h_rho + Adv_H^coll(B_coll) + negl(lambda).</w:t>
      </w:r>
    </w:p>
    <w:p>
      <w:pPr>
        <w:pStyle w:val="PARA"/>
        <w:rPr/>
      </w:pPr>
      <w:r>
        <w:rPr/>
        <w:t>Argument summary. For each service j, PPID_j = H_PPID(uid, rid_j, salt_u) is service-specific because rid_j is part of the input and salt_u is hidden. The per-session values arid_i,j and auid_i,j are additionally protected by fresh rho_i,j. Under the entropy requirements and domain-separated hash model, two different services see independent local identifiers unless the adversary recovers hidden witnesses or obtains a cross-party view excluded by the security model. Same-RP continuity remains visible by design because PPID is the RP account handle. Because sk_i = KDF(k_user, PPID, sid_i, ctx_i) depends on the service-specific PPID and a fresh sid_i, pk_i = Pub(sk_i) is also service- and session-specific and does not itself provide a cross-service linking handle, provided sid_i is fresh per session as required.</w:t>
      </w:r>
    </w:p>
    <w:p>
      <w:pPr>
        <w:pStyle w:val="PARA"/>
      </w:pPr>
      <w:r>
        <w:t>Carve-out. The address-abstraction path of Section VI-C publishes one value that this bound does not cover: the account shard index of Section IV-G. It is a public signal of the on-chain relation, and because auid is derived from uid and salt_u without rid, the same account exposes the same index at every RP. An observer who sees two PPIDWallet executions therefore gains a likelihood ratio equal to the shard count in favour of the hypothesis that they belong to one account. With the deployed parameters this is a partial narrowing rather than a link — the shard count is 256, so each shard covers a large population — but it is a real weakening and the bound above is stated for off-chain transcripts only. It cannot be removed by sharding on PPID instead, because the IdP never learns rid and so cannot compute PPID to route a revocation; keeping the shard count small is the available mitigation, and it costs little because account-level revocations are rare.</w:t>
      </w:r>
    </w:p>
    <w:p>
      <w:pPr>
        <w:pStyle w:val="Normal"/>
        <w:spacing w:before="120" w:after="60"/>
        <w:rPr/>
      </w:pPr>
      <w:r>
        <w:rPr>
          <w:b/>
          <w:i/>
          <w:color w:val="595959"/>
          <w:sz w:val="20"/>
        </w:rPr>
        <w:t>H. SESSION-BOUND AUTHENTICATION</w:t>
      </w:r>
    </w:p>
    <w:p>
      <w:pPr>
        <w:pStyle w:val="PARA"/>
        <w:rPr/>
      </w:pPr>
      <w:r>
        <w:rPr/>
        <w:t>Scope. Session-bound authentication concerns attempts to make an honest RP accept a signed-statement/proof/key/signature tuple for a different RP-issued context than the one embedded in nonce_i, auth_digest_i, the wallet signature message, and the origin-derived rid validated by the wallet.</w:t>
      </w:r>
    </w:p>
    <w:p>
      <w:pPr>
        <w:pStyle w:val="PARA"/>
        <w:rPr/>
      </w:pPr>
      <w:r>
        <w:rPr/>
        <w:t>Property 6 (Session-bound authentication, formalizing Definition 3). Under the stated system and security model,</w:t>
      </w:r>
    </w:p>
    <w:p>
      <w:pPr>
        <w:pStyle w:val="PARA"/>
        <w:rPr/>
      </w:pPr>
      <w:r>
        <w:rPr/>
        <w:t>Adv_sba(A) &lt;= Adv_auth(A) + negl(lambda), where Adv_auth(A) is bounded by Property 1.</w:t>
      </w:r>
    </w:p>
    <w:p>
      <w:pPr>
        <w:pStyle w:val="PARA"/>
        <w:rPr/>
      </w:pPr>
      <w:r>
        <w:rPr/>
        <w:t>Argument summary. Any context switch changes at least one of origin metadata, rid, sid_i, ctx_i, exp_i, pk_i, arid_i, auid_i, nonce_i, auth_digest_i, or m_i. For all verifiers to continue accepting, one of the following events must occur: a forged IdP signed statement on a new auth_digest_i; a forged wallet signature on a new m_i; an accepting argument whose extracted witness does not satisfy R_RP; a collision in H_nonce, H_auth, or H_msg; replay acceptance of sid_i; or a wallet origin-validation failure.</w:t>
      </w:r>
    </w:p>
    <w:p>
      <w:pPr>
        <w:pStyle w:val="PARA"/>
        <w:rPr/>
      </w:pPr>
      <w:r>
        <w:rPr/>
        <w:t>These cases are exactly those bounded by Property 1, E_coll, E_sid, and E_meta. Thus session misbinding is not a separate primitive condition; it reduces to canonical transcript soundness plus wallet-side RP-context validation.</w:t>
      </w:r>
    </w:p>
    <w:p>
      <w:pPr>
        <w:pStyle w:val="Normal"/>
        <w:spacing w:before="120" w:after="60"/>
        <w:rPr/>
      </w:pPr>
      <w:r>
        <w:rPr/>
        <w:t>I. CONDITIONAL PRIVACY WITH AUTHORIZED OPENING</w:t>
      </w:r>
    </w:p>
    <w:p>
      <w:pPr>
        <w:pStyle w:val="PARA"/>
        <w:rPr/>
      </w:pPr>
      <w:r>
        <w:rPr/>
        <w:t>Scope. Opening starts from an authorized request for a specific retained RP transcript. Correctness fails if opening that transcript returns a uid different from the uid in the corresponding L_idp issuance record. Exclusivity fails if, without transcript-scoped authorization and without the required retained RP/IdP records, a single party recovers both uid and the RP identity for the same session. The procedure does not give the IdP a global RP-membership discovery interface, nor does it let an RP open sessions for which it lacks the accepted transcript.</w:t>
      </w:r>
    </w:p>
    <w:p>
      <w:pPr>
        <w:pStyle w:val="PARA"/>
        <w:rPr/>
      </w:pPr>
      <w:r>
        <w:rPr/>
        <w:t>Property 7 (Conditional privacy with authorized opening, formalizing Definition 4). Under the stated system and security model, given integrity-protected retained records, PairCT supports correct session-specific authorized opening and unilateral privacy outside authorized opening.</w:t>
      </w:r>
    </w:p>
    <w:p>
      <w:pPr>
        <w:pStyle w:val="PARA"/>
        <w:rPr/>
      </w:pPr>
      <w:r>
        <w:rPr/>
        <w:t>Adv_open(A) &lt;= Adv_auth(A) + Adv_H^coll(B_coll) + Adv_rphide(A) + Adv_dict(A) + Adv_rp-priv(A) + negl(lambda).</w:t>
      </w:r>
    </w:p>
    <w:p>
      <w:pPr>
        <w:pStyle w:val="PARA"/>
        <w:rPr/>
      </w:pPr>
      <w:r>
        <w:rPr/>
        <w:t>Argument summary. Correctness follows from the joining key auth_digest_i and the integrity of the retained records. The RP supplies the accepted canonical transcript, including auth_digest_i, arid_i, auid_i, nonce_i, sid_i, ctx_i, exp_i, pk_i, assertion_i, and supporting evidence, where assertion_i is the IdP signed login statement. The IdP locates L_idp[auth_digest_i]. If the returned uid differs, then either the signed statement or log was forged or equivocated, the transcript is non-canonical, or two sessions collide on auth_digest_i. These cases reduce to Property 1, record-integrity failure, or E_coll.</w:t>
      </w:r>
    </w:p>
    <w:p>
      <w:pPr>
        <w:pStyle w:val="PARA"/>
        <w:rPr/>
      </w:pPr>
      <w:r>
        <w:rPr/>
        <w:t>Exclusivity is inherited from the privacy properties and from the authorization boundary: IdP alone would need to violate Property 3 or 4 to identify the RP; RP alone would need to violate Property 2 to recover uid; an outside observer lacks both retained logs. Opening therefore joins records for an already identified disputed transcript rather than searching for RPs associated with a uid. If records expire or authorization fails, the model intentionally makes opening unavailable. After authorized opening, the requesting RP can associate the revealed uid with activity already linked to the same RP-local account handle; this is an intentional scoped privacy cost of accountability. It does not reveal other RPs, does not let the IdP enumerate RP memberships, and does not create a reusable global identifier for future non-opening sessions beyond the requesting RP's own retained account history.</w:t>
      </w:r>
    </w:p>
    <w:p>
      <w:pPr>
        <w:pStyle w:val="Normal"/>
        <w:spacing w:before="120" w:after="60"/>
        <w:rPr/>
      </w:pPr>
      <w:r>
        <w:rPr>
          <w:b/>
          <w:i/>
          <w:color w:val="595959"/>
          <w:sz w:val="20"/>
        </w:rPr>
        <w:t>J. COMPOSITION AND ANALYSIS TIGHTNESS</w:t>
      </w:r>
    </w:p>
    <w:p>
      <w:pPr>
        <w:pStyle w:val="PARA"/>
        <w:rPr/>
      </w:pPr>
      <w:r>
        <w:rPr/>
        <w:t>The preceding properties fit together in the stated model because authentication soundness first reduces RP acceptance to canonical transcripts, and the privacy properties then analyze what each party can infer from its own canonical view. The overall multi-session risk is controlled by the primitive failure terms, hidden-witness query probabilities, replay/collision terms, and explicit out-of-scope events.</w:t>
      </w:r>
    </w:p>
    <w:p>
      <w:pPr>
        <w:pStyle w:val="PARA"/>
        <w:rPr/>
      </w:pPr>
      <w:r>
        <w:rPr/>
        <w:t>More explicitly, for any goal g in {auth, rp-priv, rp-hide, dict, xlink, sba, open, bind (Section M)}, Adv_g(A) is negligible if the signature schemes are EUF-CMA secure, the Groth16 instantiation for the PairCT relations is zero-knowledge and knowledge-sound under its standard pairing-group/CRS model, the domain-separated hash/KDF functions are random-oracle/PRF-like, salt_u/rho_i/eta_i/sid_i have sufficient entropy, retained records are integrity-protected, and the stated system and security model holds. The bounds are intentionally conservative and map accepted attacks to named primitive failures or explicit out-of-scope events.</w:t>
      </w:r>
    </w:p>
    <w:p>
      <w:pPr>
        <w:pStyle w:val="Normal"/>
        <w:spacing w:before="120" w:after="60"/>
        <w:rPr/>
      </w:pPr>
      <w:r>
        <w:rPr>
          <w:b/>
          <w:i/>
          <w:color w:val="595959"/>
          <w:sz w:val="20"/>
        </w:rPr>
        <w:t>K. ANALYSIS LEVEL AND LIMITS</w:t>
      </w:r>
    </w:p>
    <w:p>
      <w:pPr>
        <w:pStyle w:val="PARA"/>
        <w:rPr/>
      </w:pPr>
      <w:r>
        <w:rPr/>
        <w:t>The analysis is property-oriented and extraction-aware: it states the relevant protocol relations, canonical transcript conditions, failure classes, and conservative advantage bounds. Its scope is a conventional cryptographic model rather than a machine-checked proof or UC-style composability result. Groth16 establishes algebraic consistency of origin-derived identifiers inside the specified relations, while the correspondence between asserted origin/metadata and the user-visible service remains a wallet-side precondition.</w:t>
      </w:r>
    </w:p>
    <w:p>
      <w:pPr>
        <w:pStyle w:val="PARA"/>
        <w:rPr/>
      </w:pPr>
      <w:r>
        <w:rPr/>
        <w:t>The claims exclude compromised wallets, RP-IdP collusion outside authorized opening, network-metadata leakage, malicious authenticated RP metadata sources, public on-chain publication of PairCT transcripts, adaptive corruption of previously honest wallets, opening after record expiration, and compromised Groth16 setup parameters. Because PairCT explicitly uses Groth16 for pi_i^IdP and pi_i^RP, extraction-based claims are stated in the Groth16 argument-of-knowledge setting.</w:t>
      </w:r>
    </w:p>
    <w:p>
      <w:pPr>
        <w:pStyle w:val="Normal"/>
        <w:spacing w:before="120" w:after="60"/>
        <w:rPr/>
      </w:pPr>
      <w:r>
        <w:rPr>
          <w:b/>
          <w:i/>
          <w:color w:val="595959"/>
          <w:sz w:val="20"/>
        </w:rPr>
        <w:t>L. RELATION TO BLIND-MESSAGE ATTACKS</w:t>
      </w:r>
    </w:p>
    <w:p>
      <w:pPr>
        <w:pStyle w:val="PARA"/>
        <w:rPr/>
      </w:pPr>
      <w:r>
        <w:rPr/>
        <w:t>PairCT addresses the binding-failure class of blind-message attacks relevant to delegated Web3 service authentication [2]: the accepted signed statement, verification artifact, wallet key, RP identity, session challenge, and expiration metadata must refer to the same wallet-validated RP session. A malicious front-end that tries to substitute rid_victim must either defeat wallet-side RP-context validation or satisfy the canonical transcript relation for the visible origin. The cryptographic model excludes attacks that bypass the wallet UI, compromise the wallet, or rely on misleading user interfaces.</w:t>
      </w:r>
    </w:p>
    <w:p>
      <w:pPr/>
      <w:r>
        <w:t>M. CROSS-SESSION WALLET-BINDING CONSISTENCY</w:t>
      </w:r>
    </w:p>
    <w:p>
      <w:pPr>
        <w:pStyle w:val="PARA"/>
      </w:pPr>
      <w:r>
        <w:t>Scope. Cross-session wallet-binding consistency considers what a single account's accepted authentications share across sessions. The property does not itself hide uid, rid, or salt_u; it ensures that whichever salt_u an account uses stays consistent from one accepted session to the next, absent an explicit revocation or re-binding event. This is distinct from the same-context binding described in Section E (RP-Facing Verification), which already ties a single session's pi_i^IdP and pi_i^RP to the same PPID through arid_i, auid_i, and the shared session context; cross-session wallet-binding consistency instead governs whether that PPID's underlying salt_u persists across separate sessions over time. Formally, Adv_bind(A) is the probability that A causes the IdP to accept two sessions for the same uid_auth whose public auid values are equal while the corresponding extracted salt_u witnesses differ, over the randomness of A, the extractor, and the setup.</w:t>
      </w:r>
    </w:p>
    <w:p>
      <w:pPr>
        <w:pStyle w:val="PARA"/>
      </w:pPr>
      <w:r>
        <w:t>Property 8 (Cross-session wallet-binding consistency). For every PPT adversary A,</w:t>
      </w:r>
    </w:p>
    <w:p>
      <w:pPr>
        <w:pStyle w:val="PARA"/>
      </w:pPr>
      <w:r>
        <w:t>Adv_bind(A) &lt;= 2*Adv_G16^ksnd(B_g16) + Adv_H^coll(B_coll) + negl(lambda).</w:t>
      </w:r>
    </w:p>
    <w:p>
      <w:pPr>
        <w:pStyle w:val="PARA"/>
      </w:pPr>
      <w:r>
        <w:t>Argument summary. The IdP accepts a session for uid_auth only if pi_i^IdP verifies and auid equals the value recorded at uid_auth's most recent successful authentication, or uid_auth has no recorded value yet. Suppose A causes the IdP to accept two sessions for the same uid_auth with matching auid but different underlying salt_u. Either the accepted proof does not encode a witness consistent with the claimed auid, giving a knowledge-soundness extraction failure, or two distinct (uid, salt_u) pairs map to the same auid under H_auid, a collision. Because each accepted session's stored auid is compared only against the immediately preceding one, equality composes transitively across the full session history for that account except for the failure terms shown in the bound.</w:t>
      </w:r>
    </w:p>
    <w:p>
      <w:pPr>
        <w:pStyle w:val="Normal"/>
        <w:rPr/>
      </w:pPr>
      <w:r>
        <w:rPr/>
      </w:r>
    </w:p>
    <w:p>
      <w:pPr/>
      <w:r>
        <w:t>N. REVOCATION SOUNDNESS</w:t>
      </w:r>
    </w:p>
    <w:p>
      <w:pPr>
        <w:pStyle w:val="PARA"/>
      </w:pPr>
      <w:r>
        <w:t>Scope. Revocation soundness concerns what a revoked credential can still do once the corresponding root has been published and the grace window of Section IV-G has elapsed. It does not claim that revocation is instantaneous, and it does not cover an issuer that declines to revoke or to publish; those are availability assumptions on the issuer and the publisher, stated in Section IV-G and revisited in the limitations.</w:t>
      </w:r>
    </w:p>
    <w:p>
      <w:pPr>
        <w:pStyle w:val="PARA"/>
      </w:pPr>
      <w:r>
        <w:t>Property 9 (Revocation soundness). Under the stated system and security model, for every PPT adversary A,</w:t>
      </w:r>
    </w:p>
    <w:p>
      <w:pPr>
        <w:pStyle w:val="PARA"/>
      </w:pPr>
      <w:r>
        <w:t>Adv_revoke(A) &lt;= Adv_G16^ksnd(B_g16) + Adv_H^coll(B_coll) + negl(lambda),</w:t>
      </w:r>
    </w:p>
    <w:p>
      <w:pPr>
        <w:pStyle w:val="PARA"/>
      </w:pPr>
      <w:r>
        <w:t>where Adv_revoke(A) is the probability that A produces an accepted on-chain execution whose session or account leaf is contained in the revocation state committed to by a root the verifier accepts.</w:t>
      </w:r>
    </w:p>
    <w:p>
      <w:pPr>
        <w:pStyle w:val="PARA"/>
      </w:pPr>
      <w:r>
        <w:t>Argument summary. Acceptance requires a Groth16 proof for a relation that includes two non-membership statements against subtree roots supplied as public signals, and the contract independently recomputes the published commitment from those roots and the shard indices before verifying the proof. By knowledge soundness, an accepted proof yields witnesses satisfying the non-membership relation for the committed subtrees; by collision resistance of the hash, no such witness exists for a leaf that the issuer has inserted, since producing one would require a second preimage on the Merkle path. Two conditions carry the argument and are enforced rather than assumed: the relation binds the shard index to the leaf, so a prover cannot present an empty subtree in place of its own, and the contract derives the session shard from max_height itself rather than accepting a caller-supplied index. Absent either, the non-membership statement would be vacuous.</w:t>
      </w:r>
    </w:p>
    <w:p>
      <w:pPr>
        <w:pStyle w:val="H1ListSpace"/>
        <w:numPr>
          <w:ilvl w:val="0"/>
          <w:numId w:val="2"/>
        </w:numPr>
        <w:spacing w:lineRule="auto" w:line="240" w:before="240" w:after="20"/>
        <w:ind w:left="280" w:hanging="280"/>
        <w:rPr/>
      </w:pPr>
      <w:r>
        <w:rPr/>
        <w:t>IMPLEMENTATION AND SCOPE</w:t>
      </w:r>
    </w:p>
    <w:p>
      <w:pPr>
        <w:pStyle w:val="Normal"/>
        <w:spacing w:lineRule="auto" w:line="240" w:before="120" w:after="60"/>
        <w:ind w:left="0" w:hanging="0"/>
        <w:rPr/>
      </w:pPr>
      <w:r>
        <w:rPr>
          <w:b/>
          <w:i/>
          <w:color w:val="595959"/>
          <w:sz w:val="20"/>
        </w:rPr>
        <w:t>A. IMPLEMENTATION ARTIFACT</w:t>
      </w:r>
    </w:p>
    <w:p>
      <w:pPr>
        <w:pStyle w:val="PARA"/>
        <w:spacing w:lineRule="auto" w:line="240" w:before="0" w:after="40"/>
        <w:rPr/>
      </w:pPr>
      <w:r>
        <w:rPr/>
        <w:t>Figure 4 summarizes the boundary between the formal protocol and prototype validation scope. The prototype separates IdP-facing and RP-facing verification, uses domain-separated hash/KDF calls, binds pk_i through nonce_i, samples a fresh pk_i/sk_i pair for every login session, and shows possession of sk_i by wallet signature. The stronger relation pk_i = Pub(sk_i) and sk_i = KDF("PairCT.key", k_user, PPID, sid_i, ctx_i) is reserved for the optional in-circuit variant, which would increase circuit cost.</w:t>
      </w:r>
    </w:p>
    <w:p>
      <w:pPr>
        <w:pStyle w:val="PARA"/>
        <w:spacing w:lineRule="auto" w:line="240" w:before="0" w:after="40"/>
        <w:rPr/>
      </w:pPr>
      <w:r>
        <w:rPr/>
        <w:drawing>
          <wp:inline distT="0" distB="0" distL="0" distR="0">
            <wp:extent cx="5852160" cy="23774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52160" cy="2377440"/>
                    </a:xfrm>
                    <a:prstGeom prst="rect">
                      <a:avLst/>
                    </a:prstGeom>
                  </pic:spPr>
                </pic:pic>
              </a:graphicData>
            </a:graphic>
          </wp:inline>
        </w:drawing>
      </w:r>
    </w:p>
    <w:p>
      <w:pPr>
        <w:pStyle w:val="FigureCaption"/>
        <w:spacing w:lineRule="auto" w:line="240" w:before="0" w:after="40"/>
        <w:rPr/>
      </w:pPr>
      <w:r>
        <w:rPr/>
        <w:t>FIGURE 4. Formal protocol and prototype validation scope.</w:t>
      </w:r>
    </w:p>
    <w:p>
      <w:pPr>
        <w:pStyle w:val="PARA"/>
        <w:rPr/>
      </w:pPr>
      <w:r>
        <w:rPr/>
        <w:t>Protocol-to-implementation scope. The prototype validates message dependencies, verifier boundaries, proof generation, token binding, replay checks, wallet/RP interaction, and the revocation path of Section IV-G end to end — issuance, queued revocation, root publication, and on-chain rejection of a revoked credential once the grace window has passed. It deliberately exposes selected values so these checks are observable. Therefore the prototype should be read as an implementation-path validation artifact; the formal privacy claims remain tied to the hidden-witness relations, transcript-confidentiality boundary, and system/security model above.</w:t>
      </w:r>
    </w:p>
    <w:p>
      <w:pPr>
        <w:pStyle w:val="PARA"/>
        <w:rPr/>
      </w:pPr>
      <w:r>
        <w:rPr/>
        <w:t>In the prototype, PPID is computed as PPID = H(uid, rid, salt) via Poseidon, matching the formal PairCT relation directly rather than through a separate alias.</w:t>
      </w:r>
    </w:p>
    <w:p>
      <w:pPr>
        <w:pStyle w:val="PARA"/>
        <w:rPr/>
      </w:pPr>
      <w:r>
        <w:rPr/>
        <w:t>The demo assumes that this one-time wallet-IdP account binding has already completed. The demo account table in the IdP (uid = 12345 for the demo user) represents the result of that prior verified binding, not a user identifier newly learned from the RP during the delegated login session and not a value delivered from an IdP popup to arbitrary frontend code.</w:t>
      </w:r>
    </w:p>
    <w:p>
      <w:pPr>
        <w:pStyle w:val="PARA"/>
        <w:rPr/>
      </w:pPr>
      <w:r>
        <w:rPr/>
        <w:t>Accordingly, the security analysis in Sections III-V is tied to the formal PairCT relations and the stated system and security model. The implementation validates protocol flow, argument generation, signature verification, nonce freshness, replay handling, and binding logic across wallet, IdP, and RP components, while leaving production IdP/wallet integration and enrollment UX as deployment engineering.</w:t>
      </w:r>
    </w:p>
    <w:p>
      <w:pPr>
        <w:pStyle w:val="PARA"/>
        <w:rPr/>
      </w:pPr>
      <w:r>
        <w:rPr/>
        <w:t>PairCT is not a profile of unmodified OIDC. Once the IdP issues PairCT-specific signed statements bound to auth_digest_i, the design already requires an IdP-side extension. The signature choice is an extension tradeoff rather than a strict OIDC conformance question: PS signatures provide a natural multi-message and selective-disclosure interface, whereas EdDSA-Poseidon enables cheaper in-circuit signature verification for ZK-oriented deployments.</w:t>
      </w:r>
    </w:p>
    <w:p>
      <w:pPr>
        <w:pStyle w:val="Normal"/>
        <w:rPr/>
      </w:pPr>
      <w:r>
        <w:rPr/>
        <w:t>Implementation scope. The prototype implements the lightweight PairCT variant: pk_i is bound through nonce_i, and possession of sk_i is shown by wallet signature. Transparent field relations for arid_i and auid_i are implementation instrumentation used to keep binding checks observable during validation; PPID itself is now computed via the same Poseidon relation as the formal construction. These transparent relations are not replacements for the formal hidden-witness construction, and measured prototype behavior should therefore be interpreted as validation of binding structure rather than evidence of the full privacy construction by itself.</w:t>
      </w:r>
    </w:p>
    <w:p>
      <w:pPr>
        <w:pStyle w:val="Normal"/>
        <w:rPr/>
      </w:pPr>
      <w:r>
        <w:rPr/>
        <w:t>The validated components are the trace-related proof path and authentication-binding logic. The prototype is not a full performance benchmark, not a complete IdP/wallet product integration, and not a claim that an unmodified OIDC provider can implement PairCT without extension.</w:t>
      </w:r>
    </w:p>
    <w:p>
      <w:pPr/>
      <w:r>
        <w:t>The prototype's wallet-to-IdP data path is browser-mediated through a wallet-hosted relay, not the RP page directly: the RP page embeds a hidden iframe served by the wallet-side process, and that relay, rather than the RP page, opens the IdP login popup and exchanges wallet-generated proofs and signed statements with it by postMessage. Because every relayed value is either a self-verifying Groth16 proof or an IdP-signed statement, a compromised or malicious relay still cannot forge acceptance; the residual risk of this transport choice remains bounded to denial of service (a malicious relay can drop or delay messages) and origin confusion within the relay's own handshake. Routing the popup through the wallet rather than the RP page has an additional benefit: since the wallet, not the RP, opens the IdP popup and is therefore its opener, the IdP-served popup script only ever observes the wallet's own origin, never the RP's, closing an IdP-observability gap that a direct RP-to-popup channel would otherwise leave open (Definition 1, Section E, IdP-Side RP Hiding). The prototype mitigates origin confusion in the RP-to-relay handshake the same way the previous RP-to-popup handshake did: deriving the tentative RP origin from a URL fragment and confirming it against the message event's origin before trusting it, using an unpredictable per-session popup window name, and restricting iframe embedding to the configured RP origin via a Content-Security-Policy frame-ancestors header. This transport choice is a prototype implementation decision, not a requirement of the formal protocol, which does not specify how the wallet reaches the IdP.</w:t>
      </w:r>
    </w:p>
    <w:p>
      <w:pPr>
        <w:pStyle w:val="Normal"/>
        <w:rPr/>
      </w:pPr>
      <w:r>
        <w:rPr/>
      </w:r>
    </w:p>
    <w:p>
      <w:pPr>
        <w:pStyle w:val="Normal"/>
        <w:rPr/>
      </w:pPr>
      <w:r>
        <w:rPr/>
      </w:r>
    </w:p>
    <w:p>
      <w:pPr>
        <w:pStyle w:val="PARA"/>
        <w:spacing w:lineRule="auto" w:line="240" w:before="0" w:after="40"/>
        <w:rPr/>
      </w:pPr>
      <w:r>
        <w:rPr/>
        <w:t>Moving traceability from the transaction verification path to the authentication transcript changes the placement of accountability state. The implementation study therefore focuses on whether the proposed binding logic can be realized with compact authentication proofs and separated verifier responsibilities, rather than presenting a full performance benchmark.</w:t>
      </w:r>
    </w:p>
    <w:p>
      <w:pPr>
        <w:pStyle w:val="Normal"/>
        <w:spacing w:lineRule="auto" w:line="240" w:before="120" w:after="60"/>
        <w:rPr/>
      </w:pPr>
      <w:r>
        <w:rPr>
          <w:b/>
          <w:i/>
          <w:color w:val="595959"/>
          <w:sz w:val="20"/>
        </w:rPr>
        <w:t>B. PRELIMINARY PROTOTYPE METRICS</w:t>
      </w:r>
    </w:p>
    <w:p>
      <w:pPr>
        <w:pStyle w:val="PARA"/>
        <w:spacing w:lineRule="auto" w:line="240" w:before="0" w:after="40"/>
        <w:rPr/>
      </w:pPr>
      <w:r>
        <w:rPr/>
        <w:t>The baseline is a transaction-level trace-tag extension in which each transaction-level authentication statement carries additional trace-related information. That baseline supports accountability by placing traceability on the transaction path. PairCT evaluates a different placement: the trace-related component is moved into the authentication transcript and bound to RP-side authentication records. The comparison therefore primarily concerns placement, trust, verifier scope, and artifact size; prototype proving time and sizes are reported only as supporting validation data rather than as a like-for-like performance comparison.</w:t>
      </w:r>
    </w:p>
    <w:p>
      <w:pPr>
        <w:pStyle w:val="PARA"/>
        <w:rPr/>
      </w:pPr>
      <w:r>
        <w:rPr/>
        <w:t>Warm-state prototype measurements were collected over 10 runs in which all three circuits were proved sequentially within one process against the same credential, so the per-run sum reflects one login’s worth of proving work. The demo services were stopped for the measurement, leaving the host effectively idle. Excluding the first run, which carries WASM initialization, the mean duration (sample standard deviation) was 102.20 ms (7.00 ms) for pi_ppid, 300.20 ms (14.10 ms) for pi_arid_i, and 510.30 ms (11.00 ms) for pi_pk_i. The per-run sum had a mean of 912.70 ms (18.50 ms), a median of 905.90 ms, and a range of 887.7-952.3 ms; the first, cold run summed to 1,919.1 ms. Two changes from the earlier report should be read together. The pi_pk_i figure reflects the revocation-enabled circuit of Section IV-G, whose relation is substantially larger than the original key-binding-only relation (13,905 non-linear constraints versus 4,820), so the earlier 239.20 ms no longer applies. The pi_arid_i figure is higher than the previously reported 201.30 ms even though that circuit is unchanged; the earlier measurement carried a sample standard deviation of 117.17 ms, i.e. it was not a stable estimate, and repeating the present measurement with and without the demo services running gave 300.20 ms and 290.60 ms respectively, so host load does not account for the gap. The controlled figure supersedes it. These remain circuit-level prototype metrics, not end-to-end service-login latency.</w:t>
      </w:r>
    </w:p>
    <w:p>
      <w:pPr>
        <w:pStyle w:val="PARA"/>
        <w:rPr/>
      </w:pPr>
      <w:r>
        <w:rPr/>
        <w:t>Measurement environment. The prototype measurements were conducted inside a VMware virtual machine running Ubuntu 20.04.3 LTS with Linux kernel 5.15.0-58-generic. The VM was allocated 16 vCPUs exposed as an AMD Ryzen 9 5950X 16-Core Processor, 31.3 GiB of memory, and an 80 GB VMware virtual disk. The software stack used Node.js v22.20.0 and npm 10.9.3.</w:t>
      </w:r>
    </w:p>
    <w:p>
      <w:pPr>
        <w:pStyle w:val="PARA"/>
        <w:rPr/>
      </w:pPr>
      <w:r>
        <w:rPr/>
        <w:t>Proof representation sizes depend on serialization. The mean proof_json_bytes values were 723.3 bytes for pi_arid_i, 723.2 bytes for pi_ppid, and 723.4 bytes for pi_pk_i; these JSON sizes are transport artifacts rather than raw cryptographic proof sizes. In the on-chain ABI-oriented breakdown, each Groth16 proof occupied 256 bytes. The six public inputs for pi_arid_i occupied 192 bytes, giving 448 bytes of total calldata; the nine public inputs for pi_pk_i occupied 288 bytes, giving 544 bytes of proof-and-signal calldata (the on-chain revocation witness of Section IV-G adds a further 640 bytes of Merkle siblings); and the two public inputs for pi_ppid occupied 64 bytes, giving 320 bytes total. The measurements come from mode2_zkp_benchmark_warm_10runs.csv and mode2_zkp_size_breakdown.csv under the environment stated above.</w:t>
      </w:r>
    </w:p>
    <w:p>
      <w:pPr>
        <w:pStyle w:val="Normal"/>
        <w:rPr/>
      </w:pPr>
      <w:r>
        <w:rPr/>
      </w:r>
    </w:p>
    <w:p>
      <w:pPr>
        <w:pStyle w:val="Normal"/>
        <w:rPr/>
      </w:pPr>
      <w:r>
        <w:rPr/>
      </w:r>
    </w:p>
    <w:p>
      <w:pPr>
        <w:pStyle w:val="Normal"/>
        <w:spacing w:lineRule="auto" w:line="240" w:before="120" w:after="60"/>
        <w:rPr/>
      </w:pPr>
      <w:r>
        <w:rPr>
          <w:b/>
          <w:i/>
          <w:color w:val="595959"/>
          <w:sz w:val="20"/>
        </w:rPr>
        <w:t>C. ADDRESS ABSTRACTION: PPID-DERIVED ACCOUNTS</w:t>
      </w:r>
    </w:p>
    <w:p>
      <w:pPr>
        <w:pStyle w:val="PARA"/>
        <w:spacing w:lineRule="auto" w:line="240" w:before="0" w:after="40"/>
        <w:rPr/>
      </w:pPr>
      <w:r>
        <w:rPr/>
        <w:t>The prototype extends the authentication flow with an address-abstraction layer. PPIDWalletFactory computes a deterministic on-chain address for each PPID via CREATE2, using ppid itself as the salt, before any transaction is submitted. The resulting address is derived from the RP-local account handle rather than from a raw signing key, and deployment is lazy: the factory's deploy call is a no-op once the computed address already holds code. This lets a service reference a user's PPID-scoped account address off-chain, for example in the trace-transaction demo, without a prior on-chain registration step.</w:t>
      </w:r>
    </w:p>
    <w:p>
      <w:pPr>
        <w:pStyle w:val="PARA"/>
        <w:spacing w:lineRule="auto" w:line="240" w:before="0" w:after="40"/>
        <w:rPr/>
      </w:pPr>
      <w:r>
        <w:rPr/>
        <w:t>Authorization at this address is handled by an account-abstraction layer rather than a raw externally-owned key. PPIDWallet.execute() accepts a call payload, a secp256k1 signature, and a Groth16 proof pi_pk_i, and only proceeds if all of the following hold. The payload's nonce must match the wallet's stored nonce, which is incremented unconditionally once the checks pass, blocking replay regardless of the wrapped call's outcome. The payload hash is domain-separated by the chain identifier and the wallet address, so a signature cannot be replayed onto another chain or wallet; recovering the signer from it must yield exactly pk_i, and a zero recovery result is rejected outright, the session public key generated at Step 8. pi_pk_i must verify on-chain against the public inputs pk_i, pk_IdP_x, pk_IdP_y, ppid, max_height, and the revocation-subtree roots and shard indices of Section IV-G: the circuit checks auid_i = PPID times rp_nonce, an IdP-token nonce r_token = Poseidon(pk_i, max_height, rp_nonce), and an EdDSA-Poseidon signature over Poseidon(DOMAIN_IDP_TOKEN, arid_i, auid_i, r_token, max_height, chain_id) under the wallet's fixed trusted IdP public key, proving that pk_i is bound to the same IdP-signed login token verified in Steps 9-12 without disclosing arid_i, auid_i, or rp_nonce on-chain. Finally, the current block number must not exceed max_height. Execution authority therefore comes from proof of a currently valid PairCT login rather than from key possession alone.</w:t>
      </w:r>
    </w:p>
    <w:p>
      <w:pPr>
        <w:pStyle w:val="PARA"/>
      </w:pPr>
      <w:r>
        <w:t>The revocation check of Section IV-G is carried by the same call. Alongside the proof, execute() takes each layer’s subtree root, its shard index, and the keccak siblings that place that root in the upper tree; the contract climbs both paths, combines the two upper roots into the single value the registry holds, and rejects the call if that value is not one the registry currently accepts. Two details matter for soundness and are enforced rather than assumed. The contract derives the session shard from max_height itself rather than trusting a caller-supplied index, and the relation binds each shard index to its leaf, so a prover can neither point at an empty subtree nor choose a different expiry bucket. Because the proof’s public signals name only the subtree roots, a revocation landing in any other subtree leaves the proof valid and only the sibling hashes—ordinary calldata—need refreshing; this is what keeps proof reuse practical across other users’ revocations.</w:t>
      </w:r>
    </w:p>
    <w:p>
      <w:pPr>
        <w:pStyle w:val="PARA"/>
        <w:spacing w:lineRule="auto" w:line="240" w:before="0" w:after="40"/>
        <w:rPr/>
      </w:pPr>
      <w:r>
        <w:rPr/>
        <w:t>This address- and account-abstraction layer is prototype validation scope, not a property analyzed under Sections III-V: it reuses pk_i and the IdP-token construction from the lightweight variant described earlier (Section E, RP-Facing Verification), but does not itself carry a derived advantage bound, and its correctness depends on the same wallet-side and Groth16-setup assumptions stated above plus the freshness of max_height. Deriving pk_i's underlying signing key from a persistent k_user rather than per-session randomness, and remains an open prototype question; the two curves coexist without reconciliation, because the relation verifies only the IdP’s Baby Jubjub EdDSA-Poseidon signature while pk_i is the secp256k1-derived address that ecrecover returns. A more general account-abstraction layer, for example batched or sponsored execution, is future work beyond this minimal single-call PPIDWallet.</w:t>
      </w:r>
    </w:p>
    <w:p>
      <w:pPr>
        <w:pStyle w:val="Normal"/>
        <w:rPr/>
      </w:pPr>
      <w:r>
        <w:rPr/>
      </w:r>
    </w:p>
    <w:p>
      <w:pPr>
        <w:pStyle w:val="Normal"/>
        <w:spacing w:lineRule="auto" w:line="240" w:before="120" w:after="60"/>
        <w:rPr/>
      </w:pPr>
      <w:r>
        <w:rPr>
          <w:b/>
          <w:i/>
          <w:color w:val="595959"/>
          <w:sz w:val="20"/>
        </w:rPr>
        <w:t>D. THREATS TO VALIDITY</w:t>
      </w:r>
    </w:p>
    <w:p>
      <w:pPr>
        <w:pStyle w:val="PARA"/>
        <w:spacing w:lineRule="auto" w:line="240" w:before="0" w:after="40"/>
        <w:rPr/>
      </w:pPr>
      <w:r>
        <w:rPr/>
        <w:t>The implementation results are subject to six threats to validity. First, the reported measurements are preliminary prototype metrics rather than a full cross-platform benchmark. Second, the prototype covers the lightweight key-binding variant; the optional strong in-circuit key-derivation variant may change constraint counts and proving cost.</w:t>
      </w:r>
    </w:p>
    <w:p>
      <w:pPr>
        <w:pStyle w:val="PARA"/>
      </w:pPr>
      <w:r>
        <w:t>Fifth, the revocation results assume a revocation rate far below the login rate. The structure of Section IV-G is sized for that regime: if every logout were revoked, the live revocation set would grow at the login rate and the non-membership formulation would lose its advantage over a validity-set formulation. Treating expiry, not revocation, as the normal way a session ends is therefore a deployment requirement rather than an optimization. Sixth, the on-chain measurements were taken against a local development chain; per-block publication is only economical on a rollup or an application-specific chain, and the gas figures should be read as relative to the non-revoking baseline (330,079 versus 276,709 for a first execution) rather than as absolute deployment costs.</w:t>
      </w:r>
    </w:p>
    <w:p>
      <w:pPr>
        <w:pStyle w:val="PARA"/>
        <w:spacing w:lineRule="auto" w:line="240" w:before="0" w:after="40"/>
        <w:rPr/>
      </w:pPr>
      <w:r>
        <w:rPr/>
        <w:t>Third, the implementation uses an arithmetic instantiation optimized for binding visibility, whereas the full IdP-side RP-hiding construction follows the formal relations. Fourth, the benchmark reports warmed per-circuit durations and size breakdowns, but it does not separately report witness-generation, argument-generation, and verification time, browser versions, circuit constraint counts, controlled host-load measurements, or cross-platform results. These boundaries define the implementation results as prototype validation of the proposed security design, not as an optimization claim.</w:t>
      </w:r>
    </w:p>
    <w:p>
      <w:pPr>
        <w:pStyle w:val="H1ListSpace"/>
        <w:numPr>
          <w:ilvl w:val="0"/>
          <w:numId w:val="2"/>
        </w:numPr>
        <w:spacing w:lineRule="auto" w:line="240" w:before="240" w:after="20"/>
        <w:ind w:left="280" w:hanging="280"/>
        <w:jc w:val="left"/>
        <w:rPr/>
      </w:pPr>
      <w:r>
        <w:rPr/>
        <w:t>DISCUSSION</w:t>
      </w:r>
    </w:p>
    <w:p>
      <w:pPr>
        <w:pStyle w:val="Normal"/>
        <w:spacing w:lineRule="auto" w:line="240" w:before="120" w:after="60"/>
        <w:ind w:left="0" w:hanging="0"/>
        <w:rPr/>
      </w:pPr>
      <w:r>
        <w:rPr>
          <w:b/>
          <w:i/>
          <w:color w:val="595959"/>
          <w:sz w:val="20"/>
        </w:rPr>
        <w:t>A. DEPLOYMENT IMPLICATIONS</w:t>
      </w:r>
    </w:p>
    <w:p>
      <w:pPr>
        <w:pStyle w:val="PARA"/>
        <w:spacing w:lineRule="auto" w:line="240" w:before="0" w:after="40"/>
        <w:rPr/>
      </w:pPr>
      <w:r>
        <w:rPr/>
        <w:t>PairCT is best suited to Web3 services that maintain RP-backend accounts while using wallet-generated authentication material. In this setting, the wallet derives or verifies rid from the user-visible origin and authenticated RP metadata, while the IdP verifies only blinded artifacts. PairCT avoids a new online tracing server but requires IdP-side support for a per-account auid consistency check and signed-statement binding to auth_digest_i. It should therefore be described as OIDC-inspired signed-statement issuance with IdP-side extension. The compatibility tradeoff is deliberate: hiding the RP from the IdP is incompatible with ordinary IdP-visible client_id/audience enforcement unless an additional privacy-preserving policy layer is added.</w:t>
      </w:r>
    </w:p>
    <w:p>
      <w:pPr>
        <w:pStyle w:val="PARA"/>
        <w:spacing w:lineRule="auto" w:line="240" w:before="0" w:after="40"/>
        <w:rPr/>
      </w:pPr>
      <w:r>
        <w:rPr/>
        <w:t>Transcript-artifact confidentiality is central to the deployment model, and the address-abstraction layer of Section VI-C already places some artifacts on-chain by construction: every PPIDWallet execution publishes pk_i, max_height, the PPID-derived wallet address, and the account shard index of Section IV-G. Services that publish further PairCT artifacts must add another privacy layer or accept that IdP-side correlation may become possible. This constraint distinguishes PairCT from on-chain credential systems and should be framed as a deliberate service-authentication boundary.</w:t>
      </w:r>
    </w:p>
    <w:p>
      <w:pPr>
        <w:pStyle w:val="Normal"/>
        <w:spacing w:lineRule="auto" w:line="240" w:before="120" w:after="60"/>
        <w:rPr/>
      </w:pPr>
      <w:r>
        <w:rPr/>
        <w:t>B. WHY THE MODEL BOUNDARIES DO NOT TRIVIALIZE THE DESIGN</w:t>
      </w:r>
    </w:p>
    <w:p>
      <w:pPr>
        <w:pStyle w:val="PARA"/>
        <w:spacing w:lineRule="auto" w:line="240" w:before="0" w:after="40"/>
        <w:rPr/>
      </w:pPr>
      <w:r>
        <w:rPr/>
        <w:t>The system and security model defines the deployment boundary for PairCT's privacy properties. Non-public transcripts prevent trivial leakage, but the protocol still needs arid_i and auid_i to hide rid from the IdP, PPID to provide RP-side account continuity without revealing uid, nonce_i and auth_digest_i to prevent substitution, and RP/IdP record joining to support conditional privacy with authorized opening. Thus the model defines the boundary, while the protocol provides the cryptographic binding inside that boundary.</w:t>
      </w:r>
    </w:p>
    <w:p>
      <w:pPr>
        <w:pStyle w:val="H1ListSpace"/>
        <w:numPr>
          <w:ilvl w:val="0"/>
          <w:numId w:val="2"/>
        </w:numPr>
        <w:spacing w:lineRule="auto" w:line="240" w:before="240" w:after="20"/>
        <w:ind w:left="280" w:hanging="280"/>
        <w:jc w:val="left"/>
        <w:rPr/>
      </w:pPr>
      <w:r>
        <w:rPr/>
        <w:t>RELATED WORK</w:t>
      </w:r>
    </w:p>
    <w:p>
      <w:pPr>
        <w:pStyle w:val="Normal"/>
        <w:spacing w:lineRule="auto" w:line="240" w:before="120" w:after="60"/>
        <w:ind w:left="0" w:hanging="0"/>
        <w:rPr/>
      </w:pPr>
      <w:r>
        <w:rPr>
          <w:b/>
          <w:i/>
          <w:color w:val="595959"/>
          <w:sz w:val="20"/>
        </w:rPr>
        <w:t>A. WEB3 AUTHENTICATION</w:t>
      </w:r>
    </w:p>
    <w:p>
      <w:pPr>
        <w:pStyle w:val="PARA"/>
        <w:spacing w:lineRule="auto" w:line="240" w:before="0" w:after="40"/>
        <w:rPr/>
      </w:pPr>
      <w:r>
        <w:rPr/>
        <w:t>SIWE standardizes off-chain authentication for Ethereum accounts and improves interoperability by defining a structured message format [1]. It remains wallet-address based and leaves IdP-side RP hiding and pairwise pseudonymous service accounts outside its primary design target.</w:t>
      </w:r>
    </w:p>
    <w:p>
      <w:pPr>
        <w:pStyle w:val="PARA"/>
        <w:spacing w:lineRule="auto" w:line="240" w:before="0" w:after="40"/>
        <w:rPr/>
      </w:pPr>
      <w:r>
        <w:rPr/>
        <w:t>zkLogin uses OIDC credentials and zero-knowledge proofs for privacy-preserving blockchain transaction authorization [3]. PairCT is complementary but targets RP-backend Web3 service authentication with IdP-side RP hiding, offline dictionary attack resilience against the IdP, wallet-bound RP sessions, and session-specific authorized opening from an RP-retained authentication transcript.</w:t>
      </w:r>
    </w:p>
    <w:p>
      <w:pPr>
        <w:pStyle w:val="Normal"/>
        <w:spacing w:lineRule="auto" w:line="240" w:before="120" w:after="60"/>
        <w:rPr/>
      </w:pPr>
      <w:r>
        <w:rPr>
          <w:b/>
          <w:i/>
          <w:color w:val="595959"/>
          <w:sz w:val="20"/>
        </w:rPr>
        <w:t>B. PRIVACY-PRESERVING SSO</w:t>
      </w:r>
    </w:p>
    <w:p>
      <w:pPr>
        <w:pStyle w:val="PARA"/>
        <w:spacing w:lineRule="auto" w:line="240" w:before="0" w:after="40"/>
        <w:rPr/>
      </w:pPr>
      <w:r>
        <w:rPr/>
        <w:t>Privacy-preserving SSO systems such as EL PASSO and UPPRESSO address IdP-side tracking and unlinkability in Web SSO settings, but neither binds a wallet-generated session key to an RP-backend service account, and their accountability paths differ structurally from PairCT's. UPPRESSO hides the RP identifier from the IdP through elliptic-curve scalar-multiplication blinding carried out cooperatively by two browser-delivered scripts, one served by the IdP and one by the RP; it targets unconditional unlinkability and does not provide an authorized-opening path for a disputed session. EL PASSO instead issues PS-signature anonymous credentials and authenticates asynchronously, so the IdP is not contacted at login time; its accountability mechanism recovers a misbehaving user's long-term identifier by reporting a proof-carrying ciphertext to a separate threshold group of decryption authorities, an additional standing cryptographic authority that PairCT avoids by joining existing RP- and IdP-retained transcript records instead. CanDID provides decentralized identity with accountability under committee and infrastructure conditions, whereas PairCT relies on IdP-side auid state, wallet-side RP-context validation, retained RP/IdP records, and Groth16 setup requirements.</w:t>
      </w:r>
    </w:p>
    <w:p>
      <w:pPr>
        <w:pStyle w:val="PARA"/>
      </w:pPr>
      <w:r>
        <w:rPr/>
        <w:t>ARPSSO also hides the accessed RP from the IdP for OIDC code-flow logins, using RP-anonymous credentials verified through a browser-relayed data-forwarding document, and states as its own future work that supporting revocation, tracking, and de-anonymization of the anonymized RP credential is left to further research [18]. PairCT can be read as instantiating exactly that combination for a different setting: Web3 service authentication with a wallet-bound session and a Groth16-verified hidden relation, where conditional identification joins existing IdP- and RP-retained records rather than adding a new IAM layer. Han et al. combine SSO with traceability directly, but the issuer learns the designated verifiers at ticket issuance, and traceability rests on a dedicated Central Verifier role, registered alongside the issuer and trusted for the system's lifetime, over a ticket scheme for generic multi-service access rather than OIDC-style per-session assertions or wallet-bound sessions [19]. PairCT's conditional opening instead reuses the existing IdP's and RP's own retained records without introducing a new standing role for opening, while still hiding the RP identifier from the IdP during ordinary authentication. Revocation, by contrast, does introduce a standing on-chain publisher role: the account authorized to update the revocation registry can withhold an update, republish a superseded root and thereby reinstate revoked credentials, or publish an unusable root and block every wallet. Section IV-G states this explicitly rather than folding it into the opening path.</w:t>
      </w:r>
    </w:p>
    <w:p>
      <w:pPr>
        <w:pStyle w:val="TableCaption"/>
        <w:spacing w:lineRule="auto" w:line="240" w:before="0" w:after="40"/>
        <w:rPr/>
      </w:pPr>
      <w:r>
        <w:rPr/>
        <w:t>TABLE 1. Comparison of related privacy-preserving SSO and Web3 authentication systems.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4"/>
        <w:gridCol w:w="2074"/>
        <w:gridCol w:w="2074"/>
        <w:gridCol w:w="2074"/>
        <w:gridCol w:w="2074"/>
        <w:gridCol w:w="1800"/>
      </w:tblGrid>
      <w:tr>
        <w:tc>
          <w:tcPr>
            <w:tcW w:type="dxa" w:w="2074"/>
          </w:tcPr>
          <w:p>
            <w:r>
              <w:rPr>
                <w:b/>
              </w:rPr>
              <w:t>System</w:t>
            </w:r>
          </w:p>
        </w:tc>
        <w:tc>
          <w:tcPr>
            <w:tcW w:type="dxa" w:w="2074"/>
          </w:tcPr>
          <w:p>
            <w:r>
              <w:rPr>
                <w:b/>
              </w:rPr>
              <w:t>IdP-Side RP Hiding</w:t>
            </w:r>
          </w:p>
        </w:tc>
        <w:tc>
          <w:tcPr>
            <w:tcW w:type="dxa" w:w="2074"/>
          </w:tcPr>
          <w:p>
            <w:r>
              <w:rPr>
                <w:b/>
              </w:rPr>
              <w:t>Cross-Service Unlinkability</w:t>
            </w:r>
          </w:p>
        </w:tc>
        <w:tc>
          <w:tcPr>
            <w:tcW w:type="dxa" w:w="2074"/>
          </w:tcPr>
          <w:p>
            <w:r>
              <w:rPr>
                <w:b/>
              </w:rPr>
              <w:t>Wallet-Bound Session Key</w:t>
            </w:r>
          </w:p>
        </w:tc>
        <w:tc>
          <w:tcPr>
            <w:tcW w:type="dxa" w:w="2074"/>
          </w:tcPr>
          <w:p>
            <w:r>
              <w:rPr>
                <w:b/>
              </w:rPr>
              <w:t>Conditional Accountability / New Trusted Party</w:t>
            </w:r>
          </w:p>
        </w:tc>
        <w:tc>
          <w:tcPr>
            <w:tcW w:type="dxa" w:w="1800"/>
          </w:tcPr>
          <w:p>
            <w:r>
              <w:t>Credential Revocation</w:t>
            </w:r>
          </w:p>
        </w:tc>
      </w:tr>
      <w:tr>
        <w:tc>
          <w:tcPr>
            <w:tcW w:type="dxa" w:w="2074"/>
          </w:tcPr>
          <w:p>
            <w:r>
              <w:t>SIWE [1]</w:t>
            </w:r>
          </w:p>
        </w:tc>
        <w:tc>
          <w:tcPr>
            <w:tcW w:type="dxa" w:w="2074"/>
          </w:tcPr>
          <w:p>
            <w:r>
              <w:t>Not targeted (no IdP)</w:t>
            </w:r>
          </w:p>
        </w:tc>
        <w:tc>
          <w:tcPr>
            <w:tcW w:type="dxa" w:w="2074"/>
          </w:tcPr>
          <w:p>
            <w:r>
              <w:t>Not targeted (reused address)</w:t>
            </w:r>
          </w:p>
        </w:tc>
        <w:tc>
          <w:tcPr>
            <w:tcW w:type="dxa" w:w="2074"/>
          </w:tcPr>
          <w:p>
            <w:r>
              <w:t>Yes (wallet signs SIWE message)</w:t>
            </w:r>
          </w:p>
        </w:tc>
        <w:tc>
          <w:tcPr>
            <w:tcW w:type="dxa" w:w="2074"/>
          </w:tcPr>
          <w:p>
            <w:r>
              <w:t>Not targeted / None</w:t>
            </w:r>
          </w:p>
        </w:tc>
        <w:tc>
          <w:tcPr>
            <w:tcW w:type="dxa" w:w="1800"/>
          </w:tcPr>
          <w:p>
            <w:r>
              <w:t>Not targeted</w:t>
            </w:r>
          </w:p>
        </w:tc>
      </w:tr>
      <w:tr>
        <w:tc>
          <w:tcPr>
            <w:tcW w:type="dxa" w:w="2074"/>
          </w:tcPr>
          <w:p>
            <w:r>
              <w:t>zkLogin [3]</w:t>
            </w:r>
          </w:p>
        </w:tc>
        <w:tc>
          <w:tcPr>
            <w:tcW w:type="dxa" w:w="2074"/>
          </w:tcPr>
          <w:p>
            <w:r>
              <w:t>Not targeted (OIDC aud visible to IdP)</w:t>
            </w:r>
          </w:p>
        </w:tc>
        <w:tc>
          <w:tcPr>
            <w:tcW w:type="dxa" w:w="2074"/>
          </w:tcPr>
          <w:p>
            <w:r>
              <w:t>Not targeted (targets off-chain/on-chain identity unlinkability, not cross-app linkability; aud is IdP-visible by design)</w:t>
            </w:r>
          </w:p>
        </w:tc>
        <w:tc>
          <w:tcPr>
            <w:tcW w:type="dxa" w:w="2074"/>
          </w:tcPr>
          <w:p>
            <w:r>
              <w:t>Ephemeral tx-signing key (not RP-service-bound)</w:t>
            </w:r>
          </w:p>
        </w:tc>
        <w:tc>
          <w:tcPr>
            <w:tcW w:type="dxa" w:w="2074"/>
          </w:tcPr>
          <w:p>
            <w:r>
              <w:t>Not targeted / None</w:t>
            </w:r>
          </w:p>
        </w:tc>
        <w:tc>
          <w:tcPr>
            <w:tcW w:type="dxa" w:w="1800"/>
          </w:tcPr>
          <w:p>
            <w:r>
              <w:t>Not targeted (ephemeral key expiry only)</w:t>
            </w:r>
          </w:p>
        </w:tc>
      </w:tr>
      <w:tr>
        <w:tc>
          <w:tcPr>
            <w:tcW w:type="dxa" w:w="2074"/>
          </w:tcPr>
          <w:p>
            <w:r>
              <w:t>UPPRESSO [8]</w:t>
            </w:r>
          </w:p>
        </w:tc>
        <w:tc>
          <w:tcPr>
            <w:tcW w:type="dxa" w:w="2074"/>
          </w:tcPr>
          <w:p>
            <w:r>
              <w:t>Yes — EC scalar-mult. blinding via IdP- and RP-delivered browser scripts</w:t>
            </w:r>
          </w:p>
        </w:tc>
        <w:tc>
          <w:tcPr>
            <w:tcW w:type="dxa" w:w="2074"/>
          </w:tcPr>
          <w:p>
            <w:r>
              <w:t>Yes</w:t>
            </w:r>
          </w:p>
        </w:tc>
        <w:tc>
          <w:tcPr>
            <w:tcW w:type="dxa" w:w="2074"/>
          </w:tcPr>
          <w:p>
            <w:r>
              <w:t>No (Web2 OIDC account, no wallet)</w:t>
            </w:r>
          </w:p>
        </w:tc>
        <w:tc>
          <w:tcPr>
            <w:tcW w:type="dxa" w:w="2074"/>
          </w:tcPr>
          <w:p>
            <w:r>
              <w:t>Not supported / None (trusts 2 browser scripts)</w:t>
            </w:r>
          </w:p>
        </w:tc>
        <w:tc>
          <w:tcPr>
            <w:tcW w:type="dxa" w:w="1800"/>
          </w:tcPr>
          <w:p>
            <w:r>
              <w:t>Not targeted</w:t>
            </w:r>
          </w:p>
        </w:tc>
      </w:tr>
      <w:tr>
        <w:tc>
          <w:tcPr>
            <w:tcW w:type="dxa" w:w="2074"/>
          </w:tcPr>
          <w:p>
            <w:r>
              <w:t>EL PASSO [7]</w:t>
            </w:r>
          </w:p>
        </w:tc>
        <w:tc>
          <w:tcPr>
            <w:tcW w:type="dxa" w:w="2074"/>
          </w:tcPr>
          <w:p>
            <w:r>
              <w:t>Indirect — asynchronous auth, IdP not contacted per login</w:t>
            </w:r>
          </w:p>
        </w:tc>
        <w:tc>
          <w:tcPr>
            <w:tcW w:type="dxa" w:w="2074"/>
          </w:tcPr>
          <w:p>
            <w:r>
              <w:t>Yes (inter-RP)</w:t>
            </w:r>
          </w:p>
        </w:tc>
        <w:tc>
          <w:tcPr>
            <w:tcW w:type="dxa" w:w="2074"/>
          </w:tcPr>
          <w:p>
            <w:r>
              <w:t>No (PS-signature credential + secret s)</w:t>
            </w:r>
          </w:p>
        </w:tc>
        <w:tc>
          <w:tcPr>
            <w:tcW w:type="dxa" w:w="2074"/>
          </w:tcPr>
          <w:p>
            <w:r>
              <w:t>Yes, via reported ciphertext / Yes — threshold decryption-authority group</w:t>
            </w:r>
          </w:p>
        </w:tc>
        <w:tc>
          <w:tcPr>
            <w:tcW w:type="dxa" w:w="1800"/>
          </w:tcPr>
          <w:p>
            <w:r>
              <w:t>Not targeted</w:t>
            </w:r>
          </w:p>
        </w:tc>
      </w:tr>
      <w:tr>
        <w:tc>
          <w:tcPr>
            <w:tcW w:type="dxa" w:w="2074"/>
          </w:tcPr>
          <w:p>
            <w:r>
              <w:t>CanDID [12]</w:t>
            </w:r>
          </w:p>
        </w:tc>
        <w:tc>
          <w:tcPr>
            <w:tcW w:type="dxa" w:w="2074"/>
          </w:tcPr>
          <w:p>
            <w:r>
              <w:t>Not primary target</w:t>
            </w:r>
          </w:p>
        </w:tc>
        <w:tc>
          <w:tcPr>
            <w:tcW w:type="dxa" w:w="2074"/>
          </w:tcPr>
          <w:p>
            <w:r>
              <w:t>Partial</w:t>
            </w:r>
          </w:p>
        </w:tc>
        <w:tc>
          <w:tcPr>
            <w:tcW w:type="dxa" w:w="2074"/>
          </w:tcPr>
          <w:p>
            <w:r>
              <w:t>No</w:t>
            </w:r>
          </w:p>
        </w:tc>
        <w:tc>
          <w:tcPr>
            <w:tcW w:type="dxa" w:w="2074"/>
          </w:tcPr>
          <w:p>
            <w:r>
              <w:t>Yes, committee-mediated / Yes — committee</w:t>
            </w:r>
          </w:p>
        </w:tc>
        <w:tc>
          <w:tcPr>
            <w:tcW w:type="dxa" w:w="1800"/>
          </w:tcPr>
          <w:p>
            <w:r>
              <w:t>Partial (committee-mediated key rotation)</w:t>
            </w:r>
          </w:p>
        </w:tc>
      </w:tr>
      <w:tr>
        <w:tc>
          <w:tcPr>
            <w:tcW w:type="dxa" w:w="2074"/>
          </w:tcPr>
          <w:p>
            <w:r>
              <w:t>ARPSSO [18]</w:t>
            </w:r>
          </w:p>
        </w:tc>
        <w:tc>
          <w:tcPr>
            <w:tcW w:type="dxa" w:w="2074"/>
          </w:tcPr>
          <w:p>
            <w:r>
              <w:t>Yes — RP-anonymous credential via browser-relayed data forwarding</w:t>
            </w:r>
          </w:p>
        </w:tc>
        <w:tc>
          <w:tcPr>
            <w:tcW w:type="dxa" w:w="2074"/>
          </w:tcPr>
          <w:p>
            <w:r>
              <w:t>Yes</w:t>
            </w:r>
          </w:p>
        </w:tc>
        <w:tc>
          <w:tcPr>
            <w:tcW w:type="dxa" w:w="2074"/>
          </w:tcPr>
          <w:p>
            <w:r>
              <w:t>No (Web2 OIDC account, no wallet)</w:t>
            </w:r>
          </w:p>
        </w:tc>
        <w:tc>
          <w:tcPr>
            <w:tcW w:type="dxa" w:w="2074"/>
          </w:tcPr>
          <w:p>
            <w:r>
              <w:t>Not supported / None (states as future work)</w:t>
            </w:r>
          </w:p>
        </w:tc>
        <w:tc>
          <w:tcPr>
            <w:tcW w:type="dxa" w:w="1800"/>
          </w:tcPr>
          <w:p>
            <w:r>
              <w:t>Stated as future work</w:t>
            </w:r>
          </w:p>
        </w:tc>
      </w:tr>
      <w:tr>
        <w:tc>
          <w:tcPr>
            <w:tcW w:type="dxa" w:w="2074"/>
          </w:tcPr>
          <w:p>
            <w:r>
              <w:t>Han et al. [19]</w:t>
            </w:r>
          </w:p>
        </w:tc>
        <w:tc>
          <w:tcPr>
            <w:tcW w:type="dxa" w:w="2074"/>
          </w:tcPr>
          <w:p>
            <w:r>
              <w:t>No — issuer sees the designated verifiers at ticket issuance</w:t>
            </w:r>
          </w:p>
        </w:tc>
        <w:tc>
          <w:tcPr>
            <w:tcW w:type="dxa" w:w="2074"/>
          </w:tcPr>
          <w:p>
            <w:r>
              <w:t>Yes (verifiers/users cannot link across services)</w:t>
            </w:r>
          </w:p>
        </w:tc>
        <w:tc>
          <w:tcPr>
            <w:tcW w:type="dxa" w:w="2074"/>
          </w:tcPr>
          <w:p>
            <w:r>
              <w:t>No (ticket/pseudonym credential, no wallet)</w:t>
            </w:r>
          </w:p>
        </w:tc>
        <w:tc>
          <w:tcPr>
            <w:tcW w:type="dxa" w:w="2074"/>
          </w:tcPr>
          <w:p>
            <w:r>
              <w:t>Yes, via ticket trace / Yes — dedicated Central Verifier role</w:t>
            </w:r>
          </w:p>
        </w:tc>
        <w:tc>
          <w:tcPr>
            <w:tcW w:type="dxa" w:w="1800"/>
          </w:tcPr>
          <w:p>
            <w:r>
              <w:t>Not targeted</w:t>
            </w:r>
          </w:p>
        </w:tc>
      </w:tr>
      <w:tr>
        <w:tc>
          <w:tcPr>
            <w:tcW w:type="dxa" w:w="2074"/>
          </w:tcPr>
          <w:p>
            <w:r>
              <w:t>PairCT (this work)</w:t>
            </w:r>
          </w:p>
        </w:tc>
        <w:tc>
          <w:tcPr>
            <w:tcW w:type="dxa" w:w="2074"/>
          </w:tcPr>
          <w:p>
            <w:r>
              <w:t>Yes — Groth16 ZK relation over wallet-blinded artifacts</w:t>
            </w:r>
          </w:p>
        </w:tc>
        <w:tc>
          <w:tcPr>
            <w:tcW w:type="dxa" w:w="2074"/>
          </w:tcPr>
          <w:p>
            <w:r>
              <w:t>Yes</w:t>
            </w:r>
          </w:p>
        </w:tc>
        <w:tc>
          <w:tcPr>
            <w:tcW w:type="dxa" w:w="2074"/>
          </w:tcPr>
          <w:p>
            <w:r>
              <w:t>Yes (pk_i/sk_i per session)</w:t>
            </w:r>
          </w:p>
        </w:tc>
        <w:tc>
          <w:tcPr>
            <w:tcW w:type="dxa" w:w="2074"/>
          </w:tcPr>
          <w:p>
            <w:r>
              <w:t>Yes — RP/IdP transcript join under external authorization / None (existing IdP/RP records)</w:t>
            </w:r>
          </w:p>
        </w:tc>
        <w:tc>
          <w:tcPr>
            <w:tcW w:type="dxa" w:w="1800"/>
          </w:tcPr>
          <w:p>
            <w:r>
              <w:t>Yes — non-membership proven in-circuit; only a root on-chain / publisher is a standing role</w:t>
            </w:r>
          </w:p>
        </w:tc>
      </w:tr>
      <w:tr>
        <w:tc>
          <w:tcPr>
            <w:tcW w:type="dxa" w:w="2074"/>
          </w:tcPr>
          <w:p>
            <w:r>
              <w:t>BAAR [20]</w:t>
            </w:r>
          </w:p>
        </w:tc>
        <w:tc>
          <w:tcPr>
            <w:tcW w:type="dxa" w:w="2074"/>
          </w:tcPr>
          <w:p>
            <w:r>
              <w:t>Not targeted (single issuing authority; no IdP/RP split)</w:t>
            </w:r>
          </w:p>
        </w:tc>
        <w:tc>
          <w:tcPr>
            <w:tcW w:type="dxa" w:w="2074"/>
          </w:tcPr>
          <w:p>
            <w:r>
              <w:t>Claimed; the presentation sends the credential commitment and its witness in the clear, so a verifier sees a stable per-credential identifier</w:t>
            </w:r>
          </w:p>
        </w:tc>
        <w:tc>
          <w:tcPr>
            <w:tcW w:type="dxa" w:w="2074"/>
          </w:tcPr>
          <w:p>
            <w:r>
              <w:t>No (Schnorr credential, no wallet-bound session key)</w:t>
            </w:r>
          </w:p>
        </w:tc>
        <w:tc>
          <w:tcPr>
            <w:tcW w:type="dxa" w:w="2074"/>
          </w:tcPr>
          <w:p>
            <w:r>
              <w:t>Not targeted / issuing authority is a standing role</w:t>
            </w:r>
          </w:p>
        </w:tc>
        <w:tc>
          <w:tcPr>
            <w:tcW w:type="dxa" w:w="1800"/>
          </w:tcPr>
          <w:p>
            <w:r>
              <w:t>Yes — membership in a Merkle accumulator of valid credentials</w:t>
            </w:r>
          </w:p>
        </w:tc>
      </w:tr>
    </w:tbl>
    <w:p>
      <w:pPr>
        <w:pStyle w:val="PARA"/>
        <w:rPr/>
      </w:pPr>
      <w:r>
        <w:rPr/>
        <w:t>Anonymous credential systems study selective disclosure, unlinkability, and accountable presentation [14]-[16]. PairCT targets a narrower authentication layer: a wallet binds a session key to an RP context, the IdP-facing view hides the RP under the stated model, and later opening is performed by joining retained RP and IdP records for an authorized session.</w:t>
      </w:r>
    </w:p>
    <w:p>
      <w:pPr>
        <w:pStyle w:val="PARA"/>
        <w:rPr/>
      </w:pPr>
      <w:r>
        <w:rPr/>
        <w:t>PairCT differs from anonymous-credential opening mechanisms and public-chain trace tags in how accountability is reached: it joins retained authentication records instead of embedding a tracing tag in a credential or requiring a credential-opening authority to decrypt an identity from a presentation. The resulting accountability path is transcript-based: the RP supplies the accepted session transcript, the IdP locates the corresponding issuance record, and an external authorization process defines when the record join is permitted. Revocation is a separate mechanism (Section IV-G) and is closer to the accumulator-based literature. BAAR [20] is the nearest recent design: it also uses a Merkle accumulator with an off-chain verifier and an on-chain root, but it proves membership in the set of valid credentials and transmits the credential commitment and its witness in the clear at every presentation, so a verifier sees a stable per-credential identifier across sessions. PairCT instead proves non-membership in a revocation set inside the Groth16 relation, so no per-credential identifier leaves the wallet and only a root is public; the cost is that the verifier must be given a fresh root, which is why the publication and grace-window discipline of Section IV-G exists at all.</w:t>
      </w:r>
    </w:p>
    <w:p>
      <w:pPr>
        <w:pStyle w:val="Normal"/>
        <w:rPr/>
      </w:pPr>
      <w:r>
        <w:rPr/>
        <w:t>Comparison with related systems. SIWE standardizes wallet-address login but does not target IdP-side RP hiding, pairwise RP service accounts, or conditional privacy with authorized opening. zkLogin uses OIDC credentials and zero-knowledge proofs for blockchain transaction authorization; it is complementary to PairCT, but does not primarily target RP-backend service-account continuity, wallet-side RP-context validation, or session-specific opening for an RP-retained authentication transcript. zkAA instead addresses identifier fragmentation by using Web2 certificates and zero-knowledge proofs to provide a chain-agnostic unified identifier for transaction publication across smart-contract blockchains [17]. zkAA is architecturally closer to self-sovereign identity than to delegated authentication: its issuing institute participates only once, at credential issuance, and every subsequent registration or publication is verified directly against a smart contract without further issuer involvement. PairCT instead keeps the delegated-authentication structure of OIDC-style SSO — the IdP is actively re-invoked at every login and issues a fresh signed statement per session — while hiding the RP from that IdP. PairCT does not seek cross-chain identifier unification: it gives each RP a service-local account handle and targets IdP-side RP hiding, cross-service unlinkability, and authorized opening for a retained disputed-session transcript.</w:t>
      </w:r>
      <w:r/>
    </w:p>
    <w:p>
      <w:pPr>
        <w:pStyle w:val="Normal"/>
        <w:rPr/>
      </w:pPr>
      <w:r>
        <w:rPr/>
        <w:t>Compared with anonymous credentials and trace-tag mechanisms, PairCT avoids an additional online tracing service. Its accountability path is instead tied to IdP-side auid state, wallet-side RP-context validation, retained RP/IdP records, and Groth16 setup requirements.</w:t>
      </w:r>
    </w:p>
    <w:p>
      <w:pPr>
        <w:pStyle w:val="Normal"/>
        <w:rPr/>
      </w:pPr>
      <w:r>
        <w:rPr/>
        <w:t>PairCT is positioned around three axes: RP-backend account continuity through a pairwise account handle, IdP-facing RP hiding under wallet-side RP-context validation, and authorized opening for a retained authentication transcript. Offline-dictionary resistance refers specifically to whether an IdP observing authentication-side artifacts can test candidate RP identifiers offline under this deployment model. This combination distinguishes PairCT from wallet-address login, transaction-oriented OIDC/ZK login, privacy-preserving Web SSO, and anonymous-credential presentation systems; each covers only part of the targeted service-authentication setting, while PairCT makes the compatibility and deployment boundaries explicit.</w:t>
      </w:r>
    </w:p>
    <w:p>
      <w:pPr>
        <w:pStyle w:val="Normal"/>
        <w:rPr/>
      </w:pPr>
      <w:r>
        <w:rPr/>
      </w:r>
    </w:p>
    <w:p>
      <w:pPr>
        <w:pStyle w:val="Normal"/>
        <w:rPr/>
      </w:pPr>
      <w:r>
        <w:rPr/>
      </w:r>
    </w:p>
    <w:p>
      <w:pPr>
        <w:pStyle w:val="H1ListSpace"/>
        <w:numPr>
          <w:ilvl w:val="0"/>
          <w:numId w:val="2"/>
        </w:numPr>
        <w:spacing w:lineRule="auto" w:line="240" w:before="240" w:after="20"/>
        <w:ind w:left="280" w:hanging="280"/>
        <w:rPr/>
      </w:pPr>
      <w:r>
        <w:rPr/>
        <w:t>LIMITATIONS</w:t>
      </w:r>
    </w:p>
    <w:p>
      <w:pPr>
        <w:pStyle w:val="PARA"/>
        <w:spacing w:lineRule="auto" w:line="240" w:before="0" w:after="40"/>
        <w:rPr/>
      </w:pPr>
      <w:r>
        <w:rPr/>
        <w:t>PairCT has several limitations. Its privacy properties rely on non-collusion outside authorized opening and on a trusted wallet that protects user-side secrets, performs wallet-side RP-context validation, and generates high-entropy fresh randomness. Global Sybil resistance across multiple IdP accounts, strict conformance with unmodified OIDC deployments, and the legal or organizational criteria for granting external opening authorization remain outside the design scope. On-chain publication is no longer entirely outside that scope: the address-abstraction layer of Section VI-C publishes pk_i, max_height, the PPID-derived wallet address, and the account shard index of Section IV-G on every execution, and Property 5 is stated with a carve-out for the last of these. Deployments that publish further transcript values require an additional privacy layer; deployments that perform opening must define their own authorization, retention, and audit procedures. Revocation adds two boundaries of its own, stated in Section IV-G: the on-chain publisher is a standing role trusted for revocation integrity, since the contract checks only that a root is current and not that it was derived correctly, and revocation takes effect only after the grace window rather than immediately.</w:t>
      </w:r>
    </w:p>
    <w:p>
      <w:pPr>
        <w:pStyle w:val="PARA"/>
        <w:rPr/>
      </w:pPr>
      <w:r>
        <w:rPr/>
        <w:t>The one-active-auid requirement is a deliberate deployment tradeoff rather than an additional tracing party. PairCT places this uniqueness state at the IdP because exposing it to RPs would harm unlinkability, but deployments that cannot support such a registry must weaken the accountability claim: switching to a fresh wallet salt becomes an account-reset or Sybil-style behavior outside the core model.</w:t>
      </w:r>
    </w:p>
    <w:p>
      <w:pPr>
        <w:pStyle w:val="PARA"/>
        <w:rPr/>
      </w:pPr>
      <w:r>
        <w:rPr/>
        <w:t>Authorized opening also has an intentional privacy cost at the requesting RP. Although opening is approved for a specific disputed session, revealing uid lets that RP associate uid with prior activity already linked to the same RP-local PPID. PairCT does not hide a user's history from the RP that already stores that history under the same pairwise account handle. It prevents cross-RP discovery and IdP-side RP discovery outside authorized opening, while making the requesting RP's post-opening knowledge explicit.</w:t>
      </w:r>
    </w:p>
    <w:p>
      <w:pPr>
        <w:pStyle w:val="PARA"/>
        <w:spacing w:lineRule="auto" w:line="240" w:before="0" w:after="40"/>
        <w:rPr/>
      </w:pPr>
      <w:r>
        <w:rPr/>
        <w:t>Within these design boundaries, PairCT meets the paper's formalized privacy and accountability goals for wallet-bound Web3 service authentication under the stated system and security model. The excluded deployment cases are therefore explicit limitations: they narrow where PairCT applies, but they do not weaken the internal consistency of the claimed authentication and opening properties.</w:t>
      </w:r>
    </w:p>
    <w:p>
      <w:pPr>
        <w:pStyle w:val="H1ListSpace"/>
        <w:numPr>
          <w:ilvl w:val="0"/>
          <w:numId w:val="2"/>
        </w:numPr>
        <w:spacing w:lineRule="auto" w:line="240" w:before="240" w:after="20"/>
        <w:ind w:left="280" w:hanging="280"/>
        <w:jc w:val="left"/>
        <w:rPr/>
      </w:pPr>
      <w:r>
        <w:rPr/>
        <w:t>CONCLUSION</w:t>
      </w:r>
    </w:p>
    <w:p>
      <w:pPr>
        <w:pStyle w:val="PARA"/>
        <w:spacing w:lineRule="auto" w:line="240" w:before="0" w:after="40"/>
        <w:rPr/>
      </w:pPr>
      <w:r>
        <w:rPr/>
        <w:t>This paper introduced PairCT as a way to bring privacy-preserving SSO-style guarantees to wallet-bound Web3 service authentication. PairCT targets services that must recognize returning users and support accountability for disputed activity, while ordinary logins should not reveal the accessed service to the identity provider. The protocol separates ordinary authentication from authorized opening: the IdP issues a signed login statement over blinded values, the service receives a stable local account identifier and wallet-bound session result, and opening starts only from a retained disputed-login transcript under external authorization.</w:t>
      </w:r>
    </w:p>
    <w:p>
      <w:pPr>
        <w:pStyle w:val="PARA"/>
        <w:spacing w:lineRule="auto" w:line="240" w:before="0" w:after="40"/>
        <w:rPr/>
      </w:pPr>
      <w:r>
        <w:rPr/>
        <w:t>The paper defined the verifier responsibilities and security properties needed for this setting, including IdP-side RP hiding, cross-service unlinkability, session-bound authentication, offline dictionary attack resilience, conditional privacy with authorized opening, and cross-session wallet-binding consistency. The prototype demonstrates the authentication flow, verifier separation, and main binding logic, while the privacy claims remain tied to the stated system model and hidden-witness construction. PairCT is therefore positioned as a protocol construction and security-property formulation rather than as unmodified OIDC compatibility or a complete IdP/wallet product integration.</w:t>
      </w:r>
    </w:p>
    <w:p>
      <w:pPr>
        <w:pStyle w:val="PARA"/>
        <w:spacing w:lineRule="auto" w:line="240" w:before="0" w:after="40"/>
        <w:rPr/>
      </w:pPr>
      <w:r>
        <w:rPr/>
        <w:t>Future work includes repeated measurements with variance reporting, production-style IdP and wallet integration, and deployment policies for authorization, retention, and audit of opening requests.</w:t>
      </w:r>
    </w:p>
    <w:p>
      <w:pPr>
        <w:pStyle w:val="H1ListSpace"/>
        <w:numPr>
          <w:ilvl w:val="0"/>
          <w:numId w:val="2"/>
        </w:numPr>
        <w:spacing w:lineRule="auto" w:line="240" w:before="240" w:after="20"/>
        <w:ind w:left="280" w:hanging="280"/>
        <w:jc w:val="left"/>
        <w:rPr/>
      </w:pPr>
      <w:r>
        <w:rPr/>
        <w:t>REFERENCES</w:t>
      </w:r>
    </w:p>
    <w:p>
      <w:pPr>
        <w:pStyle w:val="Ref"/>
        <w:rPr/>
      </w:pPr>
      <w:r>
        <w:rPr/>
        <w:t>[1] W. Chang, G. Rocco, B. Millegan, N. Johnson, and O. Terbu, "ERC-4361: Sign-In with Ethereum," Ethereum Improvement Proposals, no. 4361, Oct. 2021. [Online]. Available: https://eips.ethereum.org/EIPS/eip-4361</w:t>
      </w:r>
    </w:p>
    <w:p>
      <w:pPr>
        <w:pStyle w:val="Ref"/>
        <w:rPr/>
      </w:pPr>
      <w:r>
        <w:rPr/>
        <w:t>[2] K. Yan, X. Zhang, and W. Diao, "Stealing Trust: Unraveling Blind Message Attacks in Web3 Authentication," in Proc. 2024 ACM SIGSAC Conf. Comput. Commun. Secur. (CCS), Salt Lake City, UT, USA, 2024, pp. 555-569, doi: 10.1145/3658644.3670323.</w:t>
      </w:r>
    </w:p>
    <w:p>
      <w:pPr>
        <w:pStyle w:val="Ref"/>
        <w:rPr/>
      </w:pPr>
      <w:r>
        <w:rPr/>
        <w:t>[3] F. Baldimtsi, K. K. Chalkias, Y. Ji, J. Lindstrom, D. Maram, B. Riva, A. Roy, M. Sedaghat, and J. Wang, "zkLogin: Privacy-preserving blockchain authentication with existing credentials," in Proc. 2024 ACM SIGSAC Conf. Comput. Commun. Secur. (CCS), Salt Lake City, UT, USA, 2024, pp. 3182-3196, doi: 10.1145/3658644.3690356.</w:t>
      </w:r>
    </w:p>
    <w:p>
      <w:pPr>
        <w:pStyle w:val="Ref"/>
        <w:rPr/>
      </w:pPr>
      <w:r>
        <w:rPr/>
        <w:t>[4] N. Sakimura, J. Bradley, M. Jones, B. de Medeiros, and C. Mortimore, "OpenID Connect Core 1.0 incorporating errata set 1," OpenID Foundation, Nov. 2014. [Online]. Available: https://openid.net/specs/openid-connect-core-1_0.html</w:t>
      </w:r>
    </w:p>
    <w:p>
      <w:pPr>
        <w:pStyle w:val="Ref"/>
        <w:rPr/>
      </w:pPr>
      <w:r>
        <w:rPr/>
        <w:t>[5] D. Hardt, "The OAuth 2.0 Authorization Framework," RFC 6749, Oct. 2012, doi: 10.17487/RFC6749.</w:t>
      </w:r>
    </w:p>
    <w:p>
      <w:pPr>
        <w:pStyle w:val="Ref"/>
        <w:rPr/>
      </w:pPr>
      <w:r>
        <w:rPr/>
        <w:t>[6] D. Fett, R. Kusters, and G. Schmitz, "SPRESSO: A secure, privacy-respecting single sign-on system for the Web," in Proc. 22nd ACM SIGSAC Conf. Comput. Commun. Secur. (CCS), Denver, CO, USA, 2015, pp. 1358-1369, doi: 10.1145/2810103.2813726.</w:t>
      </w:r>
    </w:p>
    <w:p>
      <w:pPr>
        <w:pStyle w:val="Ref"/>
        <w:rPr/>
      </w:pPr>
      <w:r>
        <w:rPr/>
        <w:t>[7] Z. Zhang, M. Krol, A. Sonnino, L. Zhang, and E. Riviere, "EL PASSO: Efficient and lightweight privacy-preserving single sign on," Proc. Privacy Enhancing Technologies, vol. 2021, no. 2, pp. 70-87, 2021, doi: 10.2478/popets-2021-0018.</w:t>
      </w:r>
    </w:p>
    <w:p>
      <w:pPr>
        <w:pStyle w:val="Ref"/>
        <w:rPr/>
      </w:pPr>
      <w:r>
        <w:rPr/>
        <w:t>[8] C. Guo, J. Lin, Q. Cai, W. Wang, F. Li, Q. Wang, J. Jing, and B. Zhao, "UPPRESSO: Untraceable and unlinkable privacy-preserving single sign-on services," CoRR, abs/2110.10396, 2021, doi: 10.48550/arXiv.2110.10396.</w:t>
      </w:r>
    </w:p>
    <w:p>
      <w:pPr>
        <w:pStyle w:val="Ref"/>
        <w:rPr/>
      </w:pPr>
      <w:r>
        <w:rPr/>
        <w:t>[9] R. Xu, S. Yang, F. Zhang, and Z. Fang, "MISO: Legacy-compatible privacy-preserving single sign-on using trusted execution environments," in Proc. IEEE Eur. Symp. Secur. Privacy (EuroS&amp;P), Delft, Netherlands, 2023, pp. 352-372, doi: 10.1109/EuroSP57164.2023.00030.</w:t>
      </w:r>
    </w:p>
    <w:p>
      <w:pPr>
        <w:pStyle w:val="Ref"/>
        <w:rPr/>
      </w:pPr>
      <w:r>
        <w:rPr/>
        <w:t>[10] D. Fett, R. Kusters, and G. Schmitz, "The Web SSO standard OpenID Connect: In-depth formal security analysis and security guidelines," in Proc. IEEE 30th Comput. Secur. Found. Symp. (CSF), Santa Barbara, CA, USA, 2017, pp. 189-202, doi: 10.1109/CSF.2017.20.</w:t>
      </w:r>
    </w:p>
    <w:p>
      <w:pPr>
        <w:pStyle w:val="Ref"/>
        <w:rPr/>
      </w:pPr>
      <w:r>
        <w:rPr/>
        <w:t>[11] D. Fett, R. Kusters, and G. Schmitz, "A comprehensive formal security analysis of OAuth 2.0," in Proc. ACM SIGSAC Conf. Comput. Commun. Secur. (CCS), Vienna, Austria, 2016, pp. 1204-1215, doi: 10.1145/2976749.2978385.</w:t>
      </w:r>
    </w:p>
    <w:p>
      <w:pPr>
        <w:pStyle w:val="Ref"/>
        <w:rPr/>
      </w:pPr>
      <w:r>
        <w:rPr/>
        <w:t>[12] D. Maram, H. Malvai, F. Zhang, N. Jean-Louis, A. Frolov, T. Kell, T. Lobban, C. Moy, A. Juels, and A. Miller, "CanDID: Can-do decentralized identity with legacy compatibility, Sybil-resistance, and accountability," in Proc. IEEE Symp. Secur. Privacy (SP), San Francisco, CA, USA, 2021, pp. 1348-1366, doi: 10.1109/SP40001.2021.00038.</w:t>
      </w:r>
    </w:p>
    <w:p>
      <w:pPr>
        <w:pStyle w:val="Ref"/>
        <w:rPr/>
      </w:pPr>
      <w:r>
        <w:rPr/>
        <w:t>[13] J. Groth, "On the Size of Pairing-Based Non-interactive Arguments," in Advances in Cryptology - EUROCRYPT 2016, Part II, LNCS, vol. 9666, Vienna, Austria, 2016, pp. 305-326, doi: 10.1007/978-3-662-49896-5_11.</w:t>
      </w:r>
    </w:p>
    <w:p>
      <w:pPr>
        <w:pStyle w:val="Ref"/>
        <w:rPr/>
      </w:pPr>
      <w:r>
        <w:rPr/>
        <w:t>[14] D. Chaum, "Security without identification: Transaction systems to make Big Brother obsolete," Commun. ACM, vol. 28, no. 10, pp. 1030-1044, Oct. 1985, doi: 10.1145/4372.4373.</w:t>
      </w:r>
    </w:p>
    <w:p>
      <w:pPr>
        <w:pStyle w:val="Ref"/>
        <w:rPr/>
      </w:pPr>
      <w:r>
        <w:rPr/>
        <w:t>[15] J. Camenisch and A. Lysyanskaya, "An efficient system for non-transferable anonymous credentials with optional anonymity revocation," in Advances in Cryptology - EUROCRYPT 2001, LNCS, vol. 2045, Innsbruck, Austria, 2001, pp. 93-118, doi: 10.1007/3-540-44987-6_7.</w:t>
      </w:r>
    </w:p>
    <w:p>
      <w:pPr>
        <w:pStyle w:val="Ref"/>
        <w:rPr/>
      </w:pPr>
      <w:r>
        <w:rPr/>
        <w:t>[16] D. Chaum, "Blind signatures for untraceable payments," in Advances in Cryptology, Boston, MA, USA, 1983, pp. 199-203, doi: 10.1007/978-1-4757-0602-4_18.</w:t>
      </w:r>
    </w:p>
    <w:p>
      <w:pPr>
        <w:pStyle w:val="Ref"/>
        <w:rPr/>
      </w:pPr>
      <w:r>
        <w:rPr/>
        <w:t>[17] S. Park, J. Lee, S. Lee, J. H. Chun, H. Cho, M. Kim, H. K. Cho, and S.-M. Moon, "Beyond the blockchain address: Zero-knowledge address abstraction," in Proc. 40th ACM/SIGAPP Symp. Appl. Comput. (SAC), Catania, Italy, 2025, pp. 366-374, doi: 10.1145/3672608.3707839.</w:t>
      </w:r>
    </w:p>
    <w:p>
      <w:pPr>
        <w:pStyle w:val="Ref"/>
      </w:pPr>
      <w:r>
        <w:rPr/>
        <w:t>[18] J. He, L. Lei, Y. Wang, P. Wang, and J. Jing, "ARPSSO: An OIDC-compatible privacy-preserving SSO scheme based on RP anonymization," in Computer Security – ESORICS 2024, LNCS, vol. 14983, Bydgoszcz, Poland, 2024, pp. 268-288, doi: 10.1007/978-3-031-70890-9_14.</w:t>
      </w:r>
    </w:p>
    <w:p>
      <w:pPr>
        <w:pStyle w:val="Ref"/>
      </w:pPr>
      <w:r>
        <w:t>[20] M. Ahmed, A. Ahmad, F. Zeshan, and S. Akram, "BAAR: A framework for blockchain-based anonymous and revocable user authentication scheme," PLOS ONE, vol. 21, no. 3, e0343696, Mar. 2026, doi: 10.1371/journal.pone.0343696.</w:t>
      </w:r>
    </w:p>
    <w:p>
      <w:pPr>
        <w:pStyle w:val="Ref"/>
      </w:pPr>
      <w:r>
        <w:rPr/>
        <w:t>[19] J. Han, L. Chen, S. Schneider, H. Treharne, and S. Wesemeyer, "Anonymous single-sign-on for n designated services with traceability," in Computer Security – ESORICS 2018, LNCS, vol. 11098, Barcelona, Spain, 2018, pp. 470-490, doi: 10.1007/978-3-319-99073-6_23.</w:t>
      </w:r>
    </w:p>
    <w:p>
      <w:pPr>
        <w:pStyle w:val="H1ListSpace"/>
        <w:numPr>
          <w:ilvl w:val="0"/>
          <w:numId w:val="2"/>
        </w:numPr>
        <w:spacing w:lineRule="auto" w:line="240" w:before="120" w:after="20"/>
        <w:ind w:left="280" w:hanging="280"/>
        <w:rPr/>
      </w:pPr>
      <w:r>
        <w:rPr/>
        <w:t>AUTHOR BIOGRAPHIES</w:t>
      </w:r>
    </w:p>
    <w:p>
      <w:pPr>
        <w:pStyle w:val="PARA"/>
        <w:spacing w:lineRule="auto" w:line="240" w:before="0" w:after="40"/>
        <w:rPr/>
      </w:pPr>
      <w:r>
        <w:rPr/>
        <w:t>MOONHYEON CHUNG received the B.S. and M.S. degrees in computer science and engineering from Pohang University of Science and Technology (POSTECH), Pohang, South Korea. His research interests include Web security, Web3 authentication, privacy-preserving identity, and zero-knowledge proof systems.</w:t>
      </w:r>
    </w:p>
    <w:p>
      <w:pPr>
        <w:pStyle w:val="PARA"/>
        <w:spacing w:lineRule="auto" w:line="240" w:before="0" w:after="40"/>
        <w:rPr/>
      </w:pPr>
      <w:r>
        <w:rPr/>
        <w:t>CHANIK PARK received the B.S. degree in electronics engineering from Seoul National University, Seoul, South Korea, and the M.S. and Ph.D. degrees in electronics and electrical engineering from KAIST. His research interests include computer security, applied cryptography, authentication, and networked systems.</w:t>
      </w:r>
    </w:p>
    <w:p>
      <w:pPr>
        <w:pStyle w:val="Normal"/>
        <w:rPr/>
      </w:pPr>
      <w:r>
        <w:rPr/>
      </w:r>
    </w:p>
    <w:sectPr>
      <w:type w:val="nextPage"/>
      <w:pgSz w:w="12240" w:h="15840"/>
      <w:pgMar w:left="936" w:right="936" w:header="0" w:top="936" w:footer="0" w:bottom="93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Helvetica">
    <w:altName w:val="Arial"/>
    <w:charset w:val="01"/>
    <w:family w:val="roman"/>
    <w:pitch w:val="variable"/>
  </w:font>
  <w:font w:name="Verdana">
    <w:charset w:val="01"/>
    <w:family w:val="roman"/>
    <w:pitch w:val="variable"/>
  </w:font>
  <w:font w:name="Formata-Regular">
    <w:charset w:val="01"/>
    <w:family w:val="roman"/>
    <w:pitch w:val="variable"/>
  </w:font>
  <w:font w:name="Tahoma">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upperRoman"/>
      <w:lvlText w:val="%1."/>
      <w:lvlJc w:val="left"/>
      <w:pPr>
        <w:tabs>
          <w:tab w:val="num" w:pos="0"/>
        </w:tabs>
        <w:ind w:left="0" w:hanging="0"/>
      </w:pPr>
    </w:lvl>
    <w:lvl w:ilvl="1">
      <w:start w:val="1"/>
      <w:pStyle w:val="Heading2"/>
      <w:numFmt w:val="upperLetter"/>
      <w:lvlText w:val="%2."/>
      <w:lvlJc w:val="left"/>
      <w:pPr>
        <w:tabs>
          <w:tab w:val="num" w:pos="0"/>
        </w:tabs>
        <w:ind w:left="0" w:hanging="0"/>
      </w:pPr>
      <w:rPr>
        <w:b w:val="false"/>
      </w:rPr>
    </w:lvl>
    <w:lvl w:ilvl="2">
      <w:start w:val="1"/>
      <w:pStyle w:val="Heading3"/>
      <w:numFmt w:val="decimal"/>
      <w:lvlText w:val="%3)"/>
      <w:lvlJc w:val="left"/>
      <w:pPr>
        <w:tabs>
          <w:tab w:val="num" w:pos="0"/>
        </w:tabs>
        <w:ind w:left="0" w:hanging="0"/>
      </w:pPr>
      <w:rPr>
        <w:i/>
      </w:rPr>
    </w:lvl>
    <w:lvl w:ilvl="3">
      <w:start w:val="1"/>
      <w:pStyle w:val="Heading4"/>
      <w:numFmt w:val="lowerLetter"/>
      <w:lvlText w:val="%4)"/>
      <w:lvlJc w:val="left"/>
      <w:pPr>
        <w:tabs>
          <w:tab w:val="num" w:pos="0"/>
        </w:tabs>
        <w:ind w:left="1152" w:hanging="720"/>
      </w:pPr>
    </w:lvl>
    <w:lvl w:ilvl="4">
      <w:start w:val="1"/>
      <w:pStyle w:val="Heading5"/>
      <w:numFmt w:val="decimal"/>
      <w:lvlText w:val="(%5)"/>
      <w:lvlJc w:val="left"/>
      <w:pPr>
        <w:tabs>
          <w:tab w:val="num" w:pos="0"/>
        </w:tabs>
        <w:ind w:left="1872" w:hanging="720"/>
      </w:pPr>
    </w:lvl>
    <w:lvl w:ilvl="5">
      <w:start w:val="1"/>
      <w:pStyle w:val="Heading6"/>
      <w:numFmt w:val="lowerLetter"/>
      <w:lvlText w:val="(%6)"/>
      <w:lvlJc w:val="left"/>
      <w:pPr>
        <w:tabs>
          <w:tab w:val="num" w:pos="0"/>
        </w:tabs>
        <w:ind w:left="2592" w:hanging="720"/>
      </w:pPr>
    </w:lvl>
    <w:lvl w:ilvl="6">
      <w:start w:val="1"/>
      <w:pStyle w:val="Heading7"/>
      <w:numFmt w:val="lowerRoman"/>
      <w:lvlText w:val="(%7)"/>
      <w:lvlJc w:val="left"/>
      <w:pPr>
        <w:tabs>
          <w:tab w:val="num" w:pos="0"/>
        </w:tabs>
        <w:ind w:left="3312" w:hanging="720"/>
      </w:pPr>
    </w:lvl>
    <w:lvl w:ilvl="7">
      <w:start w:val="1"/>
      <w:pStyle w:val="Heading8"/>
      <w:numFmt w:val="lowerLetter"/>
      <w:lvlText w:val="(%8)"/>
      <w:lvlJc w:val="left"/>
      <w:pPr>
        <w:tabs>
          <w:tab w:val="num" w:pos="0"/>
        </w:tabs>
        <w:ind w:left="4032" w:hanging="720"/>
      </w:pPr>
    </w:lvl>
    <w:lvl w:ilvl="8">
      <w:start w:val="1"/>
      <w:pStyle w:val="Heading9"/>
      <w:numFmt w:val="lowerRoman"/>
      <w:lvlText w:val="(%9)"/>
      <w:lvlJc w:val="left"/>
      <w:pPr>
        <w:tabs>
          <w:tab w:val="num" w:pos="0"/>
        </w:tabs>
        <w:ind w:left="4752" w:hanging="720"/>
      </w:pPr>
    </w:lvl>
  </w:abstractNum>
  <w:abstractNum w:abstractNumId="2">
    <w:lvl w:ilvl="0">
      <w:start w:val="1"/>
      <w:numFmt w:val="upperRoman"/>
      <w:suff w:val="space"/>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d6b46"/>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rsid w:val="00be0b38"/>
    <w:pPr>
      <w:keepNext w:val="true"/>
      <w:numPr>
        <w:ilvl w:val="0"/>
        <w:numId w:val="1"/>
      </w:numPr>
      <w:spacing w:before="240" w:after="80"/>
      <w:jc w:val="center"/>
      <w:outlineLvl w:val="0"/>
    </w:pPr>
    <w:rPr>
      <w:smallCaps/>
      <w:kern w:val="2"/>
      <w:sz w:val="20"/>
      <w:szCs w:val="20"/>
      <w:lang w:val="x-none" w:eastAsia="x-none"/>
    </w:rPr>
  </w:style>
  <w:style w:type="paragraph" w:styleId="Heading2">
    <w:name w:val="Heading 2"/>
    <w:basedOn w:val="Normal"/>
    <w:next w:val="Normal"/>
    <w:qFormat/>
    <w:rsid w:val="00be0b38"/>
    <w:pPr>
      <w:keepNext w:val="true"/>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val="true"/>
      <w:numPr>
        <w:ilvl w:val="2"/>
        <w:numId w:val="1"/>
      </w:numPr>
      <w:outlineLvl w:val="2"/>
    </w:pPr>
    <w:rPr>
      <w:i/>
      <w:iCs/>
      <w:sz w:val="20"/>
      <w:szCs w:val="20"/>
    </w:rPr>
  </w:style>
  <w:style w:type="paragraph" w:styleId="Heading4">
    <w:name w:val="Heading 4"/>
    <w:basedOn w:val="Normal"/>
    <w:next w:val="Normal"/>
    <w:qFormat/>
    <w:rsid w:val="00be0b38"/>
    <w:pPr>
      <w:keepNext w:val="true"/>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styleId="DefaultParagraphFont" w:default="1">
    <w:name w:val="Default Paragraph Font"/>
    <w:uiPriority w:val="1"/>
    <w:semiHidden/>
    <w:unhideWhenUsed/>
    <w:qFormat/>
    <w:rPr/>
  </w:style>
  <w:style w:type="character" w:styleId="InternetLink">
    <w:name w:val="Hyperlink"/>
    <w:rsid w:val="00ea5d2d"/>
    <w:rPr>
      <w:color w:val="0000FF"/>
      <w:u w:val="single"/>
    </w:rPr>
  </w:style>
  <w:style w:type="character" w:styleId="AbstractChar" w:customStyle="1">
    <w:name w:val="Abstract Char"/>
    <w:link w:val="Abstract"/>
    <w:qFormat/>
    <w:rsid w:val="00d26e50"/>
    <w:rPr>
      <w:lang w:val="en-US" w:eastAsia="en-US" w:bidi="ar-SA"/>
    </w:rPr>
  </w:style>
  <w:style w:type="character" w:styleId="H5CharChar" w:customStyle="1">
    <w:name w:val="H5 Char Char"/>
    <w:link w:val="H5"/>
    <w:qFormat/>
    <w:rsid w:val="00ec3f6b"/>
    <w:rPr>
      <w:rFonts w:ascii="Helvetica" w:hAnsi="Helvetica"/>
      <w:b/>
      <w:color w:val="00629B"/>
      <w:lang w:val="en-US" w:eastAsia="en-US" w:bidi="ar-SA"/>
    </w:rPr>
  </w:style>
  <w:style w:type="character" w:styleId="ITAL" w:customStyle="1">
    <w:name w:val="ITAL"/>
    <w:qFormat/>
    <w:rsid w:val="009f494b"/>
    <w:rPr>
      <w:i/>
    </w:rPr>
  </w:style>
  <w:style w:type="character" w:styleId="CaptionColor" w:customStyle="1">
    <w:name w:val="Caption Color"/>
    <w:qFormat/>
    <w:rsid w:val="00b06847"/>
    <w:rPr>
      <w:rFonts w:ascii="Helvetica" w:hAnsi="Helvetica" w:cs="FormataOTF-Bold"/>
      <w:bCs/>
      <w:color w:val="00629B"/>
      <w:sz w:val="14"/>
      <w:szCs w:val="14"/>
    </w:rPr>
  </w:style>
  <w:style w:type="character" w:styleId="AUBiosbd" w:customStyle="1">
    <w:name w:val="AU_Bios bd"/>
    <w:qFormat/>
    <w:rsid w:val="00382e5b"/>
    <w:rPr>
      <w:rFonts w:ascii="Helvetica" w:hAnsi="Helvetica" w:cs="FormataOTFMd"/>
      <w:b/>
    </w:rPr>
  </w:style>
  <w:style w:type="character" w:styleId="SuperScript" w:customStyle="1">
    <w:name w:val="Super Script"/>
    <w:qFormat/>
    <w:rsid w:val="00947bf1"/>
    <w:rPr>
      <w:vertAlign w:val="superscript"/>
    </w:rPr>
  </w:style>
  <w:style w:type="character" w:styleId="BodyText2" w:customStyle="1">
    <w:name w:val="Body Text2"/>
    <w:qFormat/>
    <w:rsid w:val="00ed72c1"/>
    <w:rPr>
      <w:rFonts w:ascii="Verdana" w:hAnsi="Verdana" w:cs="Verdana"/>
      <w:color w:val="000000"/>
      <w:sz w:val="22"/>
      <w:szCs w:val="22"/>
    </w:rPr>
  </w:style>
  <w:style w:type="character" w:styleId="FootnoteTextChar" w:customStyle="1">
    <w:name w:val="Footnote Text Char"/>
    <w:link w:val="FootnoteText"/>
    <w:semiHidden/>
    <w:qFormat/>
    <w:rsid w:val="00856cff"/>
    <w:rPr>
      <w:sz w:val="16"/>
      <w:szCs w:val="16"/>
      <w:lang w:val="x-none" w:eastAsia="x-none" w:bidi="ar-SA"/>
    </w:rPr>
  </w:style>
  <w:style w:type="character" w:styleId="Bodytype" w:customStyle="1">
    <w:name w:val="body type"/>
    <w:qFormat/>
    <w:rsid w:val="00457310"/>
    <w:rPr>
      <w:rFonts w:ascii="Formata-Regular" w:hAnsi="Formata-Regular" w:cs="Formata-Regular"/>
      <w:color w:val="000000"/>
      <w:sz w:val="22"/>
      <w:szCs w:val="22"/>
    </w:rPr>
  </w:style>
  <w:style w:type="character" w:styleId="Style1Char" w:customStyle="1">
    <w:name w:val="Style1 Char"/>
    <w:link w:val="Style1"/>
    <w:qFormat/>
    <w:rsid w:val="00457310"/>
    <w:rPr>
      <w:smallCaps/>
      <w:kern w:val="2"/>
      <w:lang w:val="x-none" w:eastAsia="x-none" w:bidi="ar-SA"/>
    </w:rPr>
  </w:style>
  <w:style w:type="character" w:styleId="FootnoteCharacters">
    <w:name w:val="Footnote Characters"/>
    <w:semiHidden/>
    <w:qFormat/>
    <w:rsid w:val="001c597c"/>
    <w:rPr>
      <w:vertAlign w:val="superscript"/>
    </w:rPr>
  </w:style>
  <w:style w:type="character" w:styleId="FootnoteAnchor">
    <w:name w:val="Footnote Anchor"/>
    <w:rPr>
      <w:vertAlign w:val="superscript"/>
    </w:rPr>
  </w:style>
  <w:style w:type="character" w:styleId="BalloonTextChar" w:customStyle="1">
    <w:name w:val="Balloon Text Char"/>
    <w:basedOn w:val="DefaultParagraphFont"/>
    <w:link w:val="BalloonText"/>
    <w:qFormat/>
    <w:rsid w:val="00b43d5e"/>
    <w:rPr>
      <w:rFonts w:ascii="Tahoma" w:hAnsi="Tahoma" w:cs="Tahoma"/>
      <w:sz w:val="16"/>
      <w:szCs w:val="16"/>
      <w:lang w:val="en-US" w:eastAsia="en-US"/>
    </w:rPr>
  </w:style>
  <w:style w:type="character" w:styleId="Annotationreference">
    <w:name w:val="annotation reference"/>
    <w:basedOn w:val="DefaultParagraphFont"/>
    <w:semiHidden/>
    <w:unhideWhenUsed/>
    <w:qFormat/>
    <w:rsid w:val="006621cc"/>
    <w:rPr>
      <w:sz w:val="16"/>
      <w:szCs w:val="16"/>
    </w:rPr>
  </w:style>
  <w:style w:type="character" w:styleId="CommentTextChar" w:customStyle="1">
    <w:name w:val="Comment Text Char"/>
    <w:basedOn w:val="DefaultParagraphFont"/>
    <w:link w:val="CommentText"/>
    <w:qFormat/>
    <w:rsid w:val="006621cc"/>
    <w:rPr>
      <w:lang w:val="en-US" w:eastAsia="en-US"/>
    </w:rPr>
  </w:style>
  <w:style w:type="character" w:styleId="CommentSubjectChar" w:customStyle="1">
    <w:name w:val="Comment Subject Char"/>
    <w:basedOn w:val="CommentTextChar"/>
    <w:link w:val="CommentSubject"/>
    <w:semiHidden/>
    <w:qFormat/>
    <w:rsid w:val="006621cc"/>
    <w:rPr>
      <w:b/>
      <w:bCs/>
      <w:lang w:val="en-US" w:eastAsia="en-US"/>
    </w:rPr>
  </w:style>
  <w:style w:type="character" w:styleId="Emphasis">
    <w:name w:val="Emphasis"/>
    <w:basedOn w:val="DefaultParagraphFont"/>
    <w:uiPriority w:val="20"/>
    <w:qFormat/>
    <w:rsid w:val="00505c65"/>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DOP" w:customStyle="1">
    <w:name w:val="DOP"/>
    <w:basedOn w:val="Normal"/>
    <w:qFormat/>
    <w:rsid w:val="00015e73"/>
    <w:pPr>
      <w:spacing w:before="0" w:after="120"/>
    </w:pPr>
    <w:rPr>
      <w:rFonts w:ascii="Helvetica" w:hAnsi="Helvetica"/>
      <w:sz w:val="14"/>
      <w:szCs w:val="14"/>
    </w:rPr>
  </w:style>
  <w:style w:type="paragraph" w:styleId="DOI" w:customStyle="1">
    <w:name w:val="DOI"/>
    <w:basedOn w:val="Normal"/>
    <w:qFormat/>
    <w:rsid w:val="00ec3f6b"/>
    <w:pPr/>
    <w:rPr>
      <w:i/>
      <w:sz w:val="12"/>
      <w:szCs w:val="12"/>
    </w:rPr>
  </w:style>
  <w:style w:type="paragraph" w:styleId="Abstract" w:customStyle="1">
    <w:name w:val="Abstract"/>
    <w:basedOn w:val="Normal"/>
    <w:link w:val="AbstractChar"/>
    <w:qFormat/>
    <w:rsid w:val="00d26e50"/>
    <w:pPr>
      <w:spacing w:lineRule="exact" w:line="240" w:before="0" w:after="340"/>
      <w:ind w:right="1380" w:hanging="0"/>
      <w:jc w:val="both"/>
    </w:pPr>
    <w:rPr>
      <w:sz w:val="20"/>
      <w:szCs w:val="20"/>
    </w:rPr>
  </w:style>
  <w:style w:type="paragraph" w:styleId="H5" w:customStyle="1">
    <w:name w:val="H5"/>
    <w:basedOn w:val="Abstract"/>
    <w:link w:val="H5CharChar"/>
    <w:qFormat/>
    <w:rsid w:val="00ec3f6b"/>
    <w:pPr/>
    <w:rPr>
      <w:rFonts w:ascii="Helvetica" w:hAnsi="Helvetica"/>
      <w:b/>
      <w:color w:val="00629B"/>
    </w:rPr>
  </w:style>
  <w:style w:type="paragraph" w:styleId="IT" w:customStyle="1">
    <w:name w:val="IT"/>
    <w:basedOn w:val="Normal"/>
    <w:qFormat/>
    <w:rsid w:val="003b3ffe"/>
    <w:pPr>
      <w:spacing w:before="0" w:after="520"/>
      <w:ind w:right="1380" w:hanging="0"/>
    </w:pPr>
    <w:rPr>
      <w:rFonts w:cs="TimesLTStd-Roman"/>
      <w:sz w:val="20"/>
      <w:szCs w:val="20"/>
    </w:rPr>
  </w:style>
  <w:style w:type="paragraph" w:styleId="PARA" w:customStyle="1">
    <w:name w:val="PARA"/>
    <w:basedOn w:val="Normal"/>
    <w:qFormat/>
    <w:rsid w:val="00ec3f6b"/>
    <w:pPr>
      <w:suppressAutoHyphens w:val="true"/>
      <w:spacing w:lineRule="exact" w:line="240"/>
      <w:jc w:val="both"/>
    </w:pPr>
    <w:rPr>
      <w:rFonts w:cs="TimesLTStd-Roman"/>
      <w:spacing w:val="-2"/>
      <w:sz w:val="20"/>
      <w:szCs w:val="20"/>
    </w:rPr>
  </w:style>
  <w:style w:type="paragraph" w:styleId="PARAIndent" w:customStyle="1">
    <w:name w:val="PARA_Indent"/>
    <w:basedOn w:val="PARA"/>
    <w:qFormat/>
    <w:rsid w:val="009f494b"/>
    <w:pPr>
      <w:ind w:firstLine="200"/>
    </w:pPr>
    <w:rPr/>
  </w:style>
  <w:style w:type="paragraph" w:styleId="AU" w:customStyle="1">
    <w:name w:val="AU"/>
    <w:basedOn w:val="Normal"/>
    <w:qFormat/>
    <w:rsid w:val="00084bd2"/>
    <w:pPr>
      <w:spacing w:before="0" w:after="100"/>
      <w:ind w:right="1380" w:hanging="0"/>
    </w:pPr>
    <w:rPr>
      <w:rFonts w:ascii="Helvetica" w:hAnsi="Helvetica"/>
      <w:b/>
      <w:sz w:val="20"/>
      <w:szCs w:val="20"/>
    </w:rPr>
  </w:style>
  <w:style w:type="paragraph" w:styleId="Aff" w:customStyle="1">
    <w:name w:val="Aff"/>
    <w:basedOn w:val="Normal"/>
    <w:qFormat/>
    <w:rsid w:val="003b3ffe"/>
    <w:pPr>
      <w:spacing w:lineRule="exact" w:line="140" w:before="0" w:after="40"/>
      <w:ind w:right="1380" w:hanging="0"/>
    </w:pPr>
    <w:rPr>
      <w:sz w:val="14"/>
    </w:rPr>
  </w:style>
  <w:style w:type="paragraph" w:styleId="CA" w:customStyle="1">
    <w:name w:val="CA"/>
    <w:basedOn w:val="Normal"/>
    <w:qFormat/>
    <w:rsid w:val="00ec3f6b"/>
    <w:pPr>
      <w:spacing w:before="100" w:after="100"/>
      <w:ind w:right="1380" w:hanging="0"/>
    </w:pPr>
    <w:rPr>
      <w:sz w:val="15"/>
    </w:rPr>
  </w:style>
  <w:style w:type="paragraph" w:styleId="PI" w:customStyle="1">
    <w:name w:val="PI"/>
    <w:basedOn w:val="Normal"/>
    <w:qFormat/>
    <w:rsid w:val="00084bd2"/>
    <w:pPr>
      <w:spacing w:lineRule="exact" w:line="180" w:before="0" w:after="540"/>
      <w:ind w:right="1600" w:firstLine="180"/>
    </w:pPr>
    <w:rPr>
      <w:sz w:val="15"/>
    </w:rPr>
  </w:style>
  <w:style w:type="paragraph" w:styleId="PaperTitle" w:customStyle="1">
    <w:name w:val="Paper Title"/>
    <w:basedOn w:val="Normal"/>
    <w:qFormat/>
    <w:rsid w:val="00105925"/>
    <w:pPr>
      <w:spacing w:before="480" w:after="300"/>
    </w:pPr>
    <w:rPr>
      <w:rFonts w:ascii="Helvetica" w:hAnsi="Helvetica"/>
      <w:b/>
      <w:color w:val="00629B"/>
      <w:sz w:val="44"/>
      <w:szCs w:val="44"/>
    </w:rPr>
  </w:style>
  <w:style w:type="paragraph" w:styleId="H1" w:customStyle="1">
    <w:name w:val="H1"/>
    <w:basedOn w:val="Normal"/>
    <w:qFormat/>
    <w:rsid w:val="00105925"/>
    <w:pPr>
      <w:spacing w:before="240" w:after="0"/>
    </w:pPr>
    <w:rPr>
      <w:rFonts w:ascii="Helvetica" w:hAnsi="Helvetica" w:cs="FormataOTF-Bold"/>
      <w:b/>
      <w:bCs/>
      <w:color w:val="00629B"/>
      <w:sz w:val="18"/>
      <w:szCs w:val="18"/>
    </w:rPr>
  </w:style>
  <w:style w:type="paragraph" w:styleId="Equation" w:customStyle="1">
    <w:name w:val="Equation"/>
    <w:basedOn w:val="Normal"/>
    <w:qFormat/>
    <w:rsid w:val="00680e60"/>
    <w:pPr>
      <w:tabs>
        <w:tab w:val="clear" w:pos="720"/>
        <w:tab w:val="left" w:pos="4584" w:leader="none"/>
      </w:tabs>
      <w:spacing w:before="120" w:after="120"/>
      <w:ind w:left="1600" w:hanging="0"/>
    </w:pPr>
    <w:rPr>
      <w:rFonts w:cs="MTSYN"/>
      <w:i/>
      <w:sz w:val="20"/>
      <w:szCs w:val="20"/>
    </w:rPr>
  </w:style>
  <w:style w:type="paragraph" w:styleId="FigCaption" w:customStyle="1">
    <w:name w:val="Fig Caption"/>
    <w:basedOn w:val="Normal"/>
    <w:qFormat/>
    <w:rsid w:val="00443ab2"/>
    <w:pPr>
      <w:spacing w:before="140" w:after="0"/>
    </w:pPr>
    <w:rPr>
      <w:rFonts w:ascii="Helvetica" w:hAnsi="Helvetica" w:cs="FormataOTF-Bold"/>
      <w:b/>
      <w:bCs/>
      <w:sz w:val="14"/>
      <w:szCs w:val="14"/>
    </w:rPr>
  </w:style>
  <w:style w:type="paragraph" w:styleId="H3" w:customStyle="1">
    <w:name w:val="H3"/>
    <w:basedOn w:val="Normal"/>
    <w:qFormat/>
    <w:rsid w:val="006817d9"/>
    <w:pPr>
      <w:tabs>
        <w:tab w:val="clear" w:pos="720"/>
        <w:tab w:val="left" w:pos="240" w:leader="none"/>
      </w:tabs>
      <w:spacing w:before="80" w:after="0"/>
    </w:pPr>
    <w:rPr>
      <w:rFonts w:ascii="Helvetica" w:hAnsi="Helvetica" w:cs="FormataOTF-Reg"/>
      <w:caps/>
      <w:color w:val="58595B"/>
      <w:sz w:val="18"/>
      <w:szCs w:val="18"/>
    </w:rPr>
  </w:style>
  <w:style w:type="paragraph" w:styleId="TableCaption" w:customStyle="1">
    <w:name w:val="Table Caption"/>
    <w:basedOn w:val="Normal"/>
    <w:qFormat/>
    <w:rsid w:val="00231e14"/>
    <w:pPr>
      <w:spacing w:before="320" w:after="220"/>
    </w:pPr>
    <w:rPr>
      <w:rFonts w:ascii="Helvetica" w:hAnsi="Helvetica" w:cs="FormataOTFMd"/>
      <w:b/>
      <w:sz w:val="14"/>
      <w:szCs w:val="14"/>
    </w:rPr>
  </w:style>
  <w:style w:type="paragraph" w:styleId="H4" w:customStyle="1">
    <w:name w:val="H4"/>
    <w:basedOn w:val="Normal"/>
    <w:qFormat/>
    <w:rsid w:val="00105925"/>
    <w:pPr>
      <w:spacing w:before="480" w:after="0"/>
    </w:pPr>
    <w:rPr>
      <w:rFonts w:ascii="Helvetica" w:hAnsi="Helvetica" w:cs="FormataOTF-Italic"/>
      <w:i/>
      <w:iCs/>
      <w:color w:val="58595B"/>
      <w:sz w:val="18"/>
      <w:szCs w:val="18"/>
    </w:rPr>
  </w:style>
  <w:style w:type="paragraph" w:styleId="H1ListNoSpace" w:customStyle="1">
    <w:name w:val="H1_List (No Space)"/>
    <w:basedOn w:val="H1"/>
    <w:qFormat/>
    <w:rsid w:val="00f448f1"/>
    <w:pPr>
      <w:spacing w:before="0" w:after="0"/>
    </w:pPr>
    <w:rPr/>
  </w:style>
  <w:style w:type="paragraph" w:styleId="Ref1" w:customStyle="1">
    <w:name w:val="Ref_1"/>
    <w:basedOn w:val="Normal"/>
    <w:qFormat/>
    <w:rsid w:val="00105925"/>
    <w:pPr>
      <w:spacing w:before="40" w:after="0"/>
      <w:ind w:left="300" w:hanging="260"/>
      <w:jc w:val="both"/>
    </w:pPr>
    <w:rPr>
      <w:rFonts w:cs="TimesLTStd-Roman"/>
      <w:sz w:val="15"/>
      <w:szCs w:val="15"/>
    </w:rPr>
  </w:style>
  <w:style w:type="paragraph" w:styleId="Ref" w:customStyle="1">
    <w:name w:val="Ref"/>
    <w:basedOn w:val="Ref1"/>
    <w:qFormat/>
    <w:rsid w:val="007573e5"/>
    <w:pPr>
      <w:spacing w:before="0" w:after="0"/>
    </w:pPr>
    <w:rPr/>
  </w:style>
  <w:style w:type="paragraph" w:styleId="AUBios" w:customStyle="1">
    <w:name w:val="AU_Bios"/>
    <w:basedOn w:val="Normal"/>
    <w:qFormat/>
    <w:rsid w:val="00323e56"/>
    <w:pPr>
      <w:spacing w:before="1340" w:after="0"/>
      <w:jc w:val="both"/>
    </w:pPr>
    <w:rPr>
      <w:rFonts w:cs="TimesLTStd-Roman"/>
      <w:sz w:val="16"/>
      <w:szCs w:val="16"/>
    </w:rPr>
  </w:style>
  <w:style w:type="paragraph" w:styleId="HeaderandFooter">
    <w:name w:val="Header and Footer"/>
    <w:basedOn w:val="Normal"/>
    <w:qFormat/>
    <w:pPr/>
    <w:rPr/>
  </w:style>
  <w:style w:type="paragraph" w:styleId="Header">
    <w:name w:val="Header"/>
    <w:basedOn w:val="Normal"/>
    <w:rsid w:val="00e721a9"/>
    <w:pPr>
      <w:tabs>
        <w:tab w:val="clear" w:pos="720"/>
        <w:tab w:val="center" w:pos="4320" w:leader="none"/>
        <w:tab w:val="right" w:pos="8640" w:leader="none"/>
      </w:tabs>
    </w:pPr>
    <w:rPr/>
  </w:style>
  <w:style w:type="paragraph" w:styleId="Footer">
    <w:name w:val="Footer"/>
    <w:basedOn w:val="Normal"/>
    <w:rsid w:val="00e721a9"/>
    <w:pPr>
      <w:tabs>
        <w:tab w:val="clear" w:pos="720"/>
        <w:tab w:val="center" w:pos="4320" w:leader="none"/>
        <w:tab w:val="right" w:pos="8640" w:leader="none"/>
      </w:tabs>
    </w:pPr>
    <w:rPr/>
  </w:style>
  <w:style w:type="paragraph" w:styleId="PINoSpace" w:customStyle="1">
    <w:name w:val="PI_No Space"/>
    <w:basedOn w:val="PI"/>
    <w:qFormat/>
    <w:rsid w:val="00084bd2"/>
    <w:pPr>
      <w:spacing w:before="0" w:after="0"/>
    </w:pPr>
    <w:rPr/>
  </w:style>
  <w:style w:type="paragraph" w:styleId="Text" w:customStyle="1">
    <w:name w:val="Text"/>
    <w:basedOn w:val="Normal"/>
    <w:qFormat/>
    <w:rsid w:val="00486e60"/>
    <w:pPr>
      <w:widowControl w:val="false"/>
      <w:spacing w:lineRule="auto" w:line="252"/>
      <w:ind w:firstLine="202"/>
      <w:jc w:val="both"/>
    </w:pPr>
    <w:rPr>
      <w:sz w:val="20"/>
      <w:szCs w:val="20"/>
    </w:rPr>
  </w:style>
  <w:style w:type="paragraph" w:styleId="H3Space" w:customStyle="1">
    <w:name w:val="H3_Space"/>
    <w:basedOn w:val="H3"/>
    <w:qFormat/>
    <w:rsid w:val="00a21e81"/>
    <w:pPr>
      <w:spacing w:before="260" w:after="0"/>
    </w:pPr>
    <w:rPr/>
  </w:style>
  <w:style w:type="paragraph" w:styleId="Footnote">
    <w:name w:val="Footnote Text"/>
    <w:basedOn w:val="Normal"/>
    <w:link w:val="FootnoteTextChar"/>
    <w:semiHidden/>
    <w:rsid w:val="00856cff"/>
    <w:pPr>
      <w:ind w:firstLine="202"/>
      <w:jc w:val="both"/>
    </w:pPr>
    <w:rPr>
      <w:sz w:val="16"/>
      <w:szCs w:val="16"/>
      <w:lang w:val="x-none" w:eastAsia="x-none"/>
    </w:rPr>
  </w:style>
  <w:style w:type="paragraph" w:styleId="TableTitle" w:customStyle="1">
    <w:name w:val="Table Title"/>
    <w:basedOn w:val="Normal"/>
    <w:qFormat/>
    <w:rsid w:val="00856cff"/>
    <w:pPr>
      <w:jc w:val="center"/>
    </w:pPr>
    <w:rPr>
      <w:smallCaps/>
      <w:sz w:val="16"/>
      <w:szCs w:val="16"/>
    </w:rPr>
  </w:style>
  <w:style w:type="paragraph" w:styleId="H2AfterH1" w:customStyle="1">
    <w:name w:val="H2_After H1"/>
    <w:qFormat/>
    <w:rsid w:val="00a06892"/>
    <w:pPr>
      <w:widowControl/>
      <w:suppressAutoHyphens w:val="true"/>
      <w:bidi w:val="0"/>
      <w:spacing w:before="120" w:after="0"/>
      <w:jc w:val="left"/>
    </w:pPr>
    <w:rPr>
      <w:rFonts w:ascii="Helvetica" w:hAnsi="Helvetica" w:eastAsia="Times New Roman" w:cs="FormataOTFMdIt"/>
      <w:b/>
      <w:i/>
      <w:caps/>
      <w:color w:val="58595B"/>
      <w:kern w:val="0"/>
      <w:sz w:val="18"/>
      <w:szCs w:val="18"/>
      <w:lang w:val="en-US" w:eastAsia="en-US" w:bidi="ar-SA"/>
    </w:rPr>
  </w:style>
  <w:style w:type="paragraph" w:styleId="Style11" w:customStyle="1">
    <w:name w:val="Style1"/>
    <w:basedOn w:val="Normal"/>
    <w:link w:val="Style1Char"/>
    <w:qFormat/>
    <w:rsid w:val="00457310"/>
    <w:pPr>
      <w:keepNext w:val="true"/>
      <w:spacing w:before="240" w:after="80"/>
      <w:jc w:val="center"/>
      <w:outlineLvl w:val="0"/>
    </w:pPr>
    <w:rPr>
      <w:smallCaps/>
      <w:kern w:val="2"/>
      <w:sz w:val="20"/>
      <w:szCs w:val="20"/>
      <w:lang w:val="x-none" w:eastAsia="x-none"/>
    </w:rPr>
  </w:style>
  <w:style w:type="paragraph" w:styleId="References" w:customStyle="1">
    <w:name w:val="References"/>
    <w:basedOn w:val="Normal"/>
    <w:qFormat/>
    <w:rsid w:val="0014141f"/>
    <w:pPr>
      <w:ind w:left="360" w:hanging="0"/>
      <w:jc w:val="both"/>
    </w:pPr>
    <w:rPr>
      <w:sz w:val="16"/>
      <w:szCs w:val="16"/>
    </w:rPr>
  </w:style>
  <w:style w:type="paragraph" w:styleId="AUBiosNoSpace" w:customStyle="1">
    <w:name w:val="AU_Bios_No Space"/>
    <w:basedOn w:val="AUBios"/>
    <w:qFormat/>
    <w:rsid w:val="006a0b53"/>
    <w:pPr>
      <w:spacing w:before="0" w:after="0"/>
      <w:ind w:firstLine="180"/>
    </w:pPr>
    <w:rPr/>
  </w:style>
  <w:style w:type="paragraph" w:styleId="FigureCaption" w:customStyle="1">
    <w:name w:val="Figure Caption"/>
    <w:basedOn w:val="Normal"/>
    <w:qFormat/>
    <w:rsid w:val="0003253a"/>
    <w:pPr>
      <w:jc w:val="both"/>
    </w:pPr>
    <w:rPr>
      <w:sz w:val="16"/>
      <w:szCs w:val="16"/>
    </w:rPr>
  </w:style>
  <w:style w:type="paragraph" w:styleId="H1ListSpace" w:customStyle="1">
    <w:name w:val="H1_List (Space)"/>
    <w:basedOn w:val="H1ListNoSpace"/>
    <w:qFormat/>
    <w:rsid w:val="009a7e35"/>
    <w:pPr>
      <w:spacing w:before="240" w:after="0"/>
      <w:ind w:left="280" w:hanging="280"/>
    </w:pPr>
    <w:rPr>
      <w:rFonts w:cs="Times New Roman"/>
      <w:szCs w:val="20"/>
    </w:rPr>
  </w:style>
  <w:style w:type="paragraph" w:styleId="H2First" w:customStyle="1">
    <w:name w:val="H2_First"/>
    <w:basedOn w:val="Normal"/>
    <w:qFormat/>
    <w:rsid w:val="006d5343"/>
    <w:pPr>
      <w:spacing w:before="260" w:after="0"/>
      <w:ind w:left="0" w:hanging="0"/>
    </w:pPr>
    <w:rPr>
      <w:rFonts w:ascii="Helvetica" w:hAnsi="Helvetica" w:cs="FormataOTFMdIt"/>
      <w:b/>
      <w:i/>
      <w:color w:val="58595B"/>
      <w:sz w:val="18"/>
      <w:szCs w:val="18"/>
    </w:rPr>
  </w:style>
  <w:style w:type="paragraph" w:styleId="H2ConSpaceBefore12pt" w:customStyle="1">
    <w:name w:val="H2_Con Space(Before: 12 pt)"/>
    <w:basedOn w:val="H2AfterH1"/>
    <w:qFormat/>
    <w:rsid w:val="00440b9e"/>
    <w:pPr>
      <w:spacing w:before="260" w:after="0"/>
    </w:pPr>
    <w:rPr>
      <w:rFonts w:cs="Times New Roman"/>
      <w:bCs/>
      <w:iCs/>
      <w:szCs w:val="20"/>
    </w:rPr>
  </w:style>
  <w:style w:type="paragraph" w:styleId="H2ConNoSpace" w:customStyle="1">
    <w:name w:val="H2_Con NoSpace"/>
    <w:qFormat/>
    <w:rsid w:val="0033583e"/>
    <w:pPr>
      <w:widowControl/>
      <w:suppressAutoHyphens w:val="true"/>
      <w:bidi w:val="0"/>
      <w:spacing w:before="0" w:after="0"/>
      <w:jc w:val="left"/>
    </w:pPr>
    <w:rPr>
      <w:rFonts w:ascii="Helvetica" w:hAnsi="Helvetica" w:eastAsia="Times New Roman" w:cs="Times New Roman"/>
      <w:b/>
      <w:bCs/>
      <w:i/>
      <w:iCs/>
      <w:color w:val="58595B"/>
      <w:kern w:val="0"/>
      <w:sz w:val="18"/>
      <w:szCs w:val="20"/>
      <w:lang w:val="en-US" w:eastAsia="en-US" w:bidi="ar-SA"/>
    </w:rPr>
  </w:style>
  <w:style w:type="paragraph" w:styleId="StyleH2ConNoSpace" w:customStyle="1">
    <w:name w:val="Style H2_Con NoSpace"/>
    <w:basedOn w:val="H2ConSpaceBefore12pt"/>
    <w:qFormat/>
    <w:rsid w:val="00bc57bb"/>
    <w:pPr>
      <w:spacing w:before="0" w:after="0"/>
    </w:pPr>
    <w:rPr/>
  </w:style>
  <w:style w:type="paragraph" w:styleId="H2Cont" w:customStyle="1">
    <w:name w:val="H2_Cont"/>
    <w:qFormat/>
    <w:rsid w:val="007c4b89"/>
    <w:pPr>
      <w:widowControl/>
      <w:suppressAutoHyphens w:val="true"/>
      <w:bidi w:val="0"/>
      <w:spacing w:before="260" w:after="0"/>
      <w:jc w:val="left"/>
    </w:pPr>
    <w:rPr>
      <w:rFonts w:ascii="Helvetica" w:hAnsi="Helvetica" w:eastAsia="Times New Roman" w:cs="Times New Roman"/>
      <w:b/>
      <w:bCs/>
      <w:i/>
      <w:iCs/>
      <w:color w:val="58595B"/>
      <w:kern w:val="0"/>
      <w:sz w:val="18"/>
      <w:szCs w:val="20"/>
      <w:lang w:val="en-US" w:eastAsia="en-US" w:bidi="ar-SA"/>
    </w:rPr>
  </w:style>
  <w:style w:type="paragraph" w:styleId="H2ContNoSpace" w:customStyle="1">
    <w:name w:val="H2_Cont (No Space)"/>
    <w:basedOn w:val="H2AfterH1"/>
    <w:qFormat/>
    <w:rsid w:val="00332a2d"/>
    <w:pPr>
      <w:spacing w:before="0" w:after="0"/>
    </w:pPr>
    <w:rPr>
      <w:rFonts w:cs="Times New Roman"/>
      <w:bCs/>
      <w:iCs/>
      <w:szCs w:val="20"/>
    </w:rPr>
  </w:style>
  <w:style w:type="paragraph" w:styleId="BalloonText">
    <w:name w:val="Balloon Text"/>
    <w:basedOn w:val="Normal"/>
    <w:link w:val="BalloonTextChar"/>
    <w:qFormat/>
    <w:rsid w:val="00b43d5e"/>
    <w:pPr/>
    <w:rPr>
      <w:rFonts w:ascii="Tahoma" w:hAnsi="Tahoma" w:cs="Tahoma"/>
      <w:sz w:val="16"/>
      <w:szCs w:val="16"/>
    </w:rPr>
  </w:style>
  <w:style w:type="paragraph" w:styleId="Annotationtext">
    <w:name w:val="annotation text"/>
    <w:basedOn w:val="Normal"/>
    <w:link w:val="CommentTextChar"/>
    <w:unhideWhenUsed/>
    <w:qFormat/>
    <w:rsid w:val="006621cc"/>
    <w:pPr/>
    <w:rPr>
      <w:sz w:val="20"/>
      <w:szCs w:val="20"/>
    </w:rPr>
  </w:style>
  <w:style w:type="paragraph" w:styleId="Annotationsubject">
    <w:name w:val="annotation subject"/>
    <w:basedOn w:val="Annotationtext"/>
    <w:next w:val="Annotationtext"/>
    <w:link w:val="CommentSubjectChar"/>
    <w:semiHidden/>
    <w:unhideWhenUsed/>
    <w:qFormat/>
    <w:rsid w:val="006621cc"/>
    <w:pPr/>
    <w:rPr>
      <w:b/>
      <w:bCs/>
    </w:rPr>
  </w:style>
  <w:style w:type="paragraph" w:styleId="REFBUL" w:customStyle="1">
    <w:name w:val="REF_BUL"/>
    <w:basedOn w:val="PARA"/>
    <w:qFormat/>
    <w:rsid w:val="001c495f"/>
    <w:pPr>
      <w:ind w:left="480" w:hanging="240"/>
    </w:pPr>
    <w:rPr>
      <w:i/>
    </w:rPr>
  </w:style>
  <w:style w:type="paragraph" w:styleId="REFTxt" w:customStyle="1">
    <w:name w:val="REF_Txt"/>
    <w:basedOn w:val="Normal"/>
    <w:qFormat/>
    <w:rsid w:val="001c495f"/>
    <w:pPr>
      <w:ind w:left="480" w:hanging="0"/>
      <w:jc w:val="both"/>
    </w:pPr>
    <w:rPr>
      <w:sz w:val="20"/>
      <w:szCs w:val="16"/>
    </w:rPr>
  </w:style>
  <w:style w:type="paragraph" w:styleId="StyleREFTxt8ptItalic" w:customStyle="1">
    <w:name w:val="Style REF_Txt + 8 pt Italic"/>
    <w:basedOn w:val="REFTxt"/>
    <w:qFormat/>
    <w:rsid w:val="009116b8"/>
    <w:pPr/>
    <w:rPr>
      <w:i/>
      <w:iCs/>
    </w:rPr>
  </w:style>
  <w:style w:type="numbering" w:styleId="NoList" w:default="1">
    <w:name w:val="No List"/>
    <w:uiPriority w:val="99"/>
    <w:semiHidden/>
    <w:unhideWhenUsed/>
    <w:qFormat/>
  </w:style>
  <w:style w:type="numbering" w:styleId="H2Restart" w:customStyle="1">
    <w:name w:val="H2_Restart"/>
    <w:qFormat/>
    <w:rsid w:val="00ed4e28"/>
  </w:style>
  <w:style w:type="numbering" w:styleId="H2afterH1New" w:customStyle="1">
    <w:name w:val="H2 after H1_New"/>
    <w:qFormat/>
    <w:rsid w:val="003358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Moonhyeon Chung; Chanik Park</dc:creator>
  <dc:description>IEEE Access manuscript draft</dc:description>
  <cp:keywords>Web3 authentication privacy-preserving SSO pairwise pseudonym IdP-side RP hiding zero-knowledge proof record-based opening delegated authentication</cp:keywords>
  <dc:language>en-US</dc:language>
  <cp:lastModifiedBy>Moonhyeon Chung</cp:lastModifiedBy>
  <dcterms:modified xsi:type="dcterms:W3CDTF">2026-07-14T14:32:38Z</dcterms:modified>
  <cp:revision>1</cp:revision>
  <dc:subject>Web3 authentication, privacy-preserving SSO, pairwise pseudonyms, conditional traceability</dc:subject>
  <dc:title>Privacy-Preserving Web3 Authentication With Conditional Traceability via Pairwise Pseudonyms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