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E60AFB" w14:textId="49BA12C1" w:rsidR="00857960" w:rsidRDefault="00CD10DB" w:rsidP="00425B68">
      <w:pPr>
        <w:pStyle w:val="Title"/>
      </w:pPr>
      <w:r>
        <w:t>Project da Vinci</w:t>
      </w:r>
    </w:p>
    <w:p w14:paraId="5ADECDC1" w14:textId="39BE2F0F" w:rsidR="00CD10DB" w:rsidRDefault="00795890" w:rsidP="00CD10DB">
      <w:pPr>
        <w:pStyle w:val="Subtitle"/>
      </w:pPr>
      <w:r>
        <w:t>Modeling</w:t>
      </w:r>
      <w:r w:rsidR="00AF1BFC">
        <w:t xml:space="preserve"> Financial Markets Through </w:t>
      </w:r>
      <w:r w:rsidR="007F6335">
        <w:t>Spectral Methods, Convection, and Diffusion</w:t>
      </w:r>
    </w:p>
    <w:p w14:paraId="7C97ECD4" w14:textId="2C9CB48E" w:rsidR="007F6335" w:rsidRDefault="007F6335" w:rsidP="007F6335">
      <w:pPr>
        <w:jc w:val="center"/>
        <w:rPr>
          <w:rStyle w:val="SubtleEmphasis"/>
        </w:rPr>
      </w:pPr>
      <w:r>
        <w:rPr>
          <w:rStyle w:val="SubtleEmphasis"/>
        </w:rPr>
        <w:t>A Lightning Custom Shop Project</w:t>
      </w:r>
    </w:p>
    <w:p w14:paraId="09B88AE5" w14:textId="5006B546" w:rsidR="007F6335" w:rsidRDefault="007F6335" w:rsidP="005054E1">
      <w:pPr>
        <w:pStyle w:val="Heading1"/>
        <w:rPr>
          <w:rStyle w:val="SubtleEmphasis"/>
          <w:i w:val="0"/>
          <w:iCs w:val="0"/>
        </w:rPr>
      </w:pPr>
      <w:r w:rsidRPr="005054E1">
        <w:rPr>
          <w:rStyle w:val="SubtleEmphasis"/>
          <w:i w:val="0"/>
          <w:iCs w:val="0"/>
          <w:color w:val="0F4761" w:themeColor="accent1" w:themeShade="BF"/>
        </w:rPr>
        <w:t>Introduction</w:t>
      </w:r>
    </w:p>
    <w:p w14:paraId="40F8B75B" w14:textId="23815B8A" w:rsidR="007F6335" w:rsidRDefault="007F1733" w:rsidP="007F6335">
      <w:pPr>
        <w:rPr>
          <w:rFonts w:eastAsiaTheme="minorEastAsia"/>
        </w:rPr>
      </w:pPr>
      <w:r>
        <w:t>Financial market behavior is largely considered a mystery</w:t>
      </w:r>
      <w:r w:rsidR="00115243">
        <w:t xml:space="preserve">. Behaviors seem largely uncorrelated to the underlying mechanics of </w:t>
      </w:r>
      <w:r w:rsidR="00C162D1">
        <w:t>what should be driving the behavior in the market</w:t>
      </w:r>
      <w:r w:rsidR="00F21726">
        <w:t>. An attempt has been made via the Black-Scholes equation</w:t>
      </w:r>
      <w:r w:rsidR="00102AA9">
        <w:t>, which is describes the behavior of Options (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t,s</m:t>
            </m:r>
          </m:e>
        </m:d>
      </m:oMath>
      <w:r w:rsidR="00102AA9">
        <w:t>) relative to Stock Price</w:t>
      </w:r>
      <w:r w:rsidR="00621BDE">
        <w:t xml:space="preserve"> (</w:t>
      </w:r>
      <m:oMath>
        <m:r>
          <w:rPr>
            <w:rFonts w:ascii="Cambria Math" w:hAnsi="Cambria Math"/>
          </w:rPr>
          <m:t>S</m:t>
        </m:r>
      </m:oMath>
      <w:r w:rsidR="00621BDE">
        <w:rPr>
          <w:rFonts w:eastAsiaTheme="minorEastAsia"/>
        </w:rPr>
        <w:t>).</w:t>
      </w:r>
    </w:p>
    <w:p w14:paraId="1D8E4149" w14:textId="2220B5FD" w:rsidR="00BC2DB0" w:rsidRDefault="00BC2DB0" w:rsidP="005A317E">
      <w:pPr>
        <w:pStyle w:val="Caption"/>
      </w:pPr>
      <w:r>
        <w:t xml:space="preserve">Equation </w:t>
      </w:r>
      <w:fldSimple w:instr=" SEQ Equation \* ARABIC ">
        <w:r w:rsidR="00FB61BA">
          <w:rPr>
            <w:noProof/>
          </w:rPr>
          <w:t>1</w:t>
        </w:r>
      </w:fldSimple>
      <w:r>
        <w:t>. The Black-Scholes Equation.</w:t>
      </w:r>
    </w:p>
    <w:p w14:paraId="0CF9F6BD" w14:textId="534307A7" w:rsidR="00CB7E7F" w:rsidRPr="005B4C66" w:rsidRDefault="004A7DEE" w:rsidP="007F6335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V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∂S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rS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∂S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rV</m:t>
                  </m:r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  <m: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K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 ∀</m:t>
                  </m:r>
                  <m:r>
                    <w:rPr>
                      <w:rFonts w:ascii="Cambria Math" w:hAnsi="Cambria Math"/>
                    </w:rPr>
                    <m:t>s</m:t>
                  </m:r>
                </m:e>
              </m:eqArr>
            </m:e>
          </m:d>
        </m:oMath>
      </m:oMathPara>
    </w:p>
    <w:p w14:paraId="6EFC6630" w14:textId="5BC3AE4A" w:rsidR="005B4C66" w:rsidRDefault="005B4C66" w:rsidP="007F6335">
      <w:pPr>
        <w:rPr>
          <w:rFonts w:eastAsiaTheme="minorEastAsia"/>
        </w:rPr>
      </w:pPr>
      <w:r>
        <w:rPr>
          <w:rFonts w:eastAsiaTheme="minorEastAsia"/>
        </w:rPr>
        <w:t xml:space="preserve">Note that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is simply time,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 is the risk-free interest rate, and </w:t>
      </w:r>
      <m:oMath>
        <m:r>
          <w:rPr>
            <w:rFonts w:ascii="Cambria Math" w:eastAsiaTheme="minorEastAsia" w:hAnsi="Cambria Math"/>
          </w:rPr>
          <m:t>σ</m:t>
        </m:r>
      </m:oMath>
      <w:r>
        <w:rPr>
          <w:rFonts w:eastAsiaTheme="minorEastAsia"/>
        </w:rPr>
        <w:t xml:space="preserve"> is the volatility of the stock. </w:t>
      </w:r>
    </w:p>
    <w:p w14:paraId="41F31C08" w14:textId="7C050B71" w:rsidR="000D0641" w:rsidRDefault="000D0641" w:rsidP="007F6335">
      <w:pPr>
        <w:rPr>
          <w:rFonts w:eastAsiaTheme="minorEastAsia"/>
        </w:rPr>
      </w:pPr>
      <w:r>
        <w:rPr>
          <w:rFonts w:eastAsiaTheme="minorEastAsia"/>
        </w:rPr>
        <w:t>Now, those who are familiar with the general convection-diffusion equation</w:t>
      </w:r>
      <w:r w:rsidR="0026526E">
        <w:rPr>
          <w:rFonts w:eastAsiaTheme="minorEastAsia"/>
        </w:rPr>
        <w:t xml:space="preserve"> will note that the diffusion term either has the wrong sign or </w:t>
      </w:r>
      <w:r w:rsidR="00377297">
        <w:rPr>
          <w:rFonts w:eastAsiaTheme="minorEastAsia"/>
        </w:rPr>
        <w:t>there are imaginary values in the volatility or stock price.</w:t>
      </w:r>
      <w:r w:rsidR="002803F8">
        <w:rPr>
          <w:rFonts w:eastAsiaTheme="minorEastAsia"/>
        </w:rPr>
        <w:t xml:space="preserve"> On the other hand, this may mean that </w:t>
      </w:r>
      <w:r w:rsidR="00406AA7">
        <w:rPr>
          <w:rFonts w:eastAsiaTheme="minorEastAsia"/>
        </w:rPr>
        <w:t>the equation inherently has no ability to diffuse behaviors and is inherently unstable.</w:t>
      </w:r>
    </w:p>
    <w:p w14:paraId="5A234851" w14:textId="7CFD6C5C" w:rsidR="00C81919" w:rsidRDefault="00C81919" w:rsidP="005A317E">
      <w:pPr>
        <w:pStyle w:val="Caption"/>
      </w:pPr>
      <w:r>
        <w:t xml:space="preserve">Equation </w:t>
      </w:r>
      <w:fldSimple w:instr=" SEQ Equation \* ARABIC ">
        <w:r w:rsidR="00FB61BA">
          <w:rPr>
            <w:noProof/>
          </w:rPr>
          <w:t>2</w:t>
        </w:r>
      </w:fldSimple>
      <w:r>
        <w:t xml:space="preserve">. Generalized Convection-Diffusion Equation. </w:t>
      </w:r>
      <m:oMath>
        <m:r>
          <w:rPr>
            <w:rFonts w:ascii="Cambria Math" w:hAnsi="Cambria Math"/>
          </w:rPr>
          <m:t>ϕ</m:t>
        </m:r>
      </m:oMath>
      <w:r>
        <w:t xml:space="preserve"> is </w:t>
      </w:r>
      <w:r w:rsidR="00AD0FFE">
        <w:t xml:space="preserve">a scalar that can convect &amp; diffuse, </w:t>
      </w:r>
      <m:oMath>
        <m:r>
          <w:rPr>
            <w:rFonts w:ascii="Cambria Math" w:hAnsi="Cambria Math"/>
          </w:rPr>
          <m:t>Γ</m:t>
        </m:r>
      </m:oMath>
      <w:r w:rsidR="00AD0FFE">
        <w:t xml:space="preserve"> is the diffusion value, </w:t>
      </w:r>
      <m:oMath>
        <m:r>
          <w:rPr>
            <w:rFonts w:ascii="Cambria Math" w:hAnsi="Cambria Math"/>
          </w:rPr>
          <m:t>F</m:t>
        </m:r>
      </m:oMath>
      <w:r w:rsidR="00AD0FFE">
        <w:t xml:space="preserve"> is the net of the forcing functions, and </w:t>
      </w:r>
      <m:oMath>
        <m:r>
          <w:rPr>
            <w:rFonts w:ascii="Cambria Math" w:hAnsi="Cambria Math"/>
          </w:rPr>
          <m:t>ε</m:t>
        </m:r>
      </m:oMath>
      <w:r w:rsidR="00AD0FFE">
        <w:t xml:space="preserve"> is the error of the stochastic behavior.</w:t>
      </w:r>
    </w:p>
    <w:p w14:paraId="219CD8FF" w14:textId="53EEFA27" w:rsidR="009D15A8" w:rsidRPr="00406AA7" w:rsidRDefault="004A7DEE" w:rsidP="007F633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Dϕ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∇∙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Γ∇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ϕ</m:t>
              </m:r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F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ε</m:t>
          </m:r>
        </m:oMath>
      </m:oMathPara>
    </w:p>
    <w:p w14:paraId="3584D9C7" w14:textId="3EE9A897" w:rsidR="00406AA7" w:rsidRDefault="005054E1" w:rsidP="00406AA7">
      <w:pPr>
        <w:pStyle w:val="Heading1"/>
        <w:rPr>
          <w:rFonts w:eastAsiaTheme="minorEastAsia"/>
        </w:rPr>
      </w:pPr>
      <w:r>
        <w:rPr>
          <w:rFonts w:eastAsiaTheme="minorEastAsia"/>
        </w:rPr>
        <w:t>Methods</w:t>
      </w:r>
    </w:p>
    <w:p w14:paraId="16F7671A" w14:textId="53AA2629" w:rsidR="00820B98" w:rsidRPr="00820B98" w:rsidRDefault="00820B98" w:rsidP="00820B98">
      <w:pPr>
        <w:pStyle w:val="Heading2"/>
      </w:pPr>
      <w:r>
        <w:t>Transport of Price</w:t>
      </w:r>
    </w:p>
    <w:p w14:paraId="6BE72B8E" w14:textId="15F0594C" w:rsidR="002803F8" w:rsidRDefault="005054E1" w:rsidP="008D7D22">
      <w:pPr>
        <w:tabs>
          <w:tab w:val="left" w:pos="450"/>
        </w:tabs>
        <w:rPr>
          <w:rFonts w:eastAsiaTheme="minorEastAsia"/>
        </w:rPr>
      </w:pPr>
      <w:r>
        <w:t>All this leads to the question of</w:t>
      </w:r>
      <w:r w:rsidR="00CC3024">
        <w:t xml:space="preserve">, what are our dimensions? For the scope of this paper, </w:t>
      </w:r>
      <w:r w:rsidR="00916609">
        <w:t>only the stock price will be considered, and no aspects of options, fundamentals, or otherwise.</w:t>
      </w:r>
      <w:r w:rsidR="008B27D4">
        <w:t xml:space="preserve"> </w:t>
      </w:r>
      <w:r w:rsidR="00B558B3">
        <w:t xml:space="preserve">Thus, we know that </w:t>
      </w:r>
      <m:oMath>
        <m:r>
          <w:rPr>
            <w:rFonts w:ascii="Cambria Math" w:hAnsi="Cambria Math"/>
          </w:rPr>
          <m:t>ϕ</m:t>
        </m:r>
      </m:oMath>
      <w:r w:rsidR="00B558B3">
        <w:rPr>
          <w:rFonts w:eastAsiaTheme="minorEastAsia"/>
        </w:rPr>
        <w:t xml:space="preserve"> is going to be stock price</w:t>
      </w:r>
      <w:r w:rsidR="006A2349">
        <w:rPr>
          <w:rFonts w:eastAsiaTheme="minorEastAsia"/>
        </w:rPr>
        <w:t xml:space="preserve"> veloc</w:t>
      </w:r>
      <w:r w:rsidR="00636A1E">
        <w:rPr>
          <w:rFonts w:eastAsiaTheme="minorEastAsia"/>
        </w:rPr>
        <w:t>i</w:t>
      </w:r>
      <w:r w:rsidR="006A2349">
        <w:rPr>
          <w:rFonts w:eastAsiaTheme="minorEastAsia"/>
        </w:rPr>
        <w:t>ty</w:t>
      </w:r>
      <w:r w:rsidR="00887868">
        <w:rPr>
          <w:rFonts w:eastAsiaTheme="minorEastAsia"/>
        </w:rPr>
        <w:t xml:space="preserve">, and </w:t>
      </w:r>
      <m:oMath>
        <m:r>
          <w:rPr>
            <w:rFonts w:ascii="Cambria Math" w:eastAsiaTheme="minorEastAsia" w:hAnsi="Cambria Math"/>
          </w:rPr>
          <m:t>t</m:t>
        </m:r>
      </m:oMath>
      <w:r w:rsidR="00887868">
        <w:rPr>
          <w:rFonts w:eastAsiaTheme="minorEastAsia"/>
        </w:rPr>
        <w:t xml:space="preserve"> will obviously be time.</w:t>
      </w:r>
      <w:r w:rsidR="005571A0">
        <w:rPr>
          <w:rFonts w:eastAsiaTheme="minorEastAsia"/>
        </w:rPr>
        <w:t xml:space="preserve"> </w:t>
      </w:r>
      <w:r w:rsidR="00014635">
        <w:rPr>
          <w:rFonts w:eastAsiaTheme="minorEastAsia"/>
        </w:rPr>
        <w:t xml:space="preserve">This leaves the decision of what will </w:t>
      </w:r>
      <w:r w:rsidR="00922CB0">
        <w:rPr>
          <w:rFonts w:eastAsiaTheme="minorEastAsia"/>
        </w:rPr>
        <w:t xml:space="preserve">the space dimension </w:t>
      </w:r>
      <w:r w:rsidR="00212364">
        <w:rPr>
          <w:rFonts w:eastAsiaTheme="minorEastAsia"/>
        </w:rPr>
        <w:t>represent.</w:t>
      </w:r>
      <w:r w:rsidR="00922CB0">
        <w:rPr>
          <w:rFonts w:eastAsiaTheme="minorEastAsia"/>
        </w:rPr>
        <w:t xml:space="preserve"> </w:t>
      </w:r>
      <w:r w:rsidR="00B65C95">
        <w:rPr>
          <w:rFonts w:eastAsiaTheme="minorEastAsia"/>
        </w:rPr>
        <w:t xml:space="preserve">Arguably, the best </w:t>
      </w:r>
      <w:r w:rsidR="0057531A">
        <w:rPr>
          <w:rFonts w:eastAsiaTheme="minorEastAsia"/>
        </w:rPr>
        <w:t>representation is the number of sales. This is helpful as the convective velocity then become the trade volume.</w:t>
      </w:r>
      <w:r w:rsidR="00E514AA">
        <w:rPr>
          <w:rFonts w:eastAsiaTheme="minorEastAsia"/>
        </w:rPr>
        <w:t xml:space="preserve"> Thus, the left-hand side of the Convection-Diffusion Equation becomes:</w:t>
      </w:r>
    </w:p>
    <w:p w14:paraId="32D0AFBC" w14:textId="73A81B49" w:rsidR="00FB61BA" w:rsidRDefault="00FB61BA" w:rsidP="005A317E">
      <w:pPr>
        <w:pStyle w:val="Caption"/>
      </w:pPr>
      <w:r>
        <w:t xml:space="preserve">Equation </w:t>
      </w:r>
      <w:fldSimple w:instr=" SEQ Equation \* ARABIC ">
        <w:r>
          <w:rPr>
            <w:noProof/>
          </w:rPr>
          <w:t>3</w:t>
        </w:r>
      </w:fldSimple>
      <w:r>
        <w:t xml:space="preserve">. The Left-Hand Side Convection. </w:t>
      </w:r>
      <m:oMath>
        <m:r>
          <w:rPr>
            <w:rFonts w:ascii="Cambria Math" w:hAnsi="Cambria Math"/>
          </w:rPr>
          <m:t>S</m:t>
        </m:r>
      </m:oMath>
      <w:r w:rsidR="00B04948">
        <w:rPr>
          <w:rFonts w:eastAsiaTheme="minorEastAsia"/>
        </w:rPr>
        <w:t xml:space="preserve"> is the stock price, </w:t>
      </w:r>
      <m:oMath>
        <m:r>
          <w:rPr>
            <w:rFonts w:ascii="Cambria Math" w:eastAsiaTheme="minorEastAsia" w:hAnsi="Cambria Math"/>
          </w:rPr>
          <m:t>U</m:t>
        </m:r>
      </m:oMath>
      <w:r w:rsidR="00B04948">
        <w:rPr>
          <w:rFonts w:eastAsiaTheme="minorEastAsia"/>
        </w:rPr>
        <w:t xml:space="preserve"> is the trade volume, and </w:t>
      </w:r>
      <m:oMath>
        <m:r>
          <w:rPr>
            <w:rFonts w:ascii="Cambria Math" w:eastAsiaTheme="minorEastAsia" w:hAnsi="Cambria Math"/>
          </w:rPr>
          <m:t>X</m:t>
        </m:r>
      </m:oMath>
      <w:r w:rsidR="00063C5E">
        <w:rPr>
          <w:rFonts w:eastAsiaTheme="minorEastAsia"/>
        </w:rPr>
        <w:t xml:space="preserve"> is the sales.</w:t>
      </w:r>
    </w:p>
    <w:p w14:paraId="70FBE2EB" w14:textId="1645541D" w:rsidR="00E514AA" w:rsidRPr="000A3A19" w:rsidRDefault="004A7DEE" w:rsidP="007F633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∂t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U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acc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</m:oMath>
      </m:oMathPara>
    </w:p>
    <w:p w14:paraId="4FBA9723" w14:textId="77777777" w:rsidR="000A3A19" w:rsidRDefault="000A3A19" w:rsidP="007F6335">
      <w:pPr>
        <w:rPr>
          <w:rFonts w:eastAsiaTheme="minorEastAsia"/>
        </w:rPr>
      </w:pPr>
    </w:p>
    <w:p w14:paraId="51DB40FC" w14:textId="08EB4228" w:rsidR="00E514AA" w:rsidRDefault="00E7011E" w:rsidP="007F6335">
      <w:r>
        <w:lastRenderedPageBreak/>
        <w:t xml:space="preserve">Now, </w:t>
      </w:r>
      <w:r w:rsidR="00911051">
        <w:t xml:space="preserve">the stock price velocity is simply defined as the time derivative of </w:t>
      </w:r>
      <w:r w:rsidR="008A7F26">
        <w:t>the stock price</w:t>
      </w:r>
      <w:r w:rsidR="002B2081">
        <w:t xml:space="preserve">. </w:t>
      </w:r>
      <w:r w:rsidR="001C3A2A">
        <w:t>Just using the stock price</w:t>
      </w:r>
    </w:p>
    <w:p w14:paraId="45B38688" w14:textId="1935223F" w:rsidR="0028350C" w:rsidRDefault="0028350C" w:rsidP="0028350C">
      <w:pPr>
        <w:pStyle w:val="Heading1"/>
      </w:pPr>
      <w:r>
        <w:t>Data</w:t>
      </w:r>
    </w:p>
    <w:p w14:paraId="204C5092" w14:textId="339931DE" w:rsidR="0028350C" w:rsidRDefault="0028350C" w:rsidP="0028350C">
      <w:pPr>
        <w:pStyle w:val="Heading2"/>
      </w:pPr>
      <w:r>
        <w:t>S&amp;P 500 Comparison</w:t>
      </w:r>
    </w:p>
    <w:p w14:paraId="7BCF2E5A" w14:textId="3A84C40B" w:rsidR="0028350C" w:rsidRDefault="0013504F" w:rsidP="0028350C">
      <w:r>
        <w:t xml:space="preserve">The S&amp;P 500 provides a standard set of data to compare against that is, at least in theory, a measure of the whole of the stock market. </w:t>
      </w:r>
      <w:r w:rsidR="005A317E">
        <w:t xml:space="preserve">The data, as seen in </w:t>
      </w:r>
      <w:r w:rsidR="005A317E">
        <w:fldChar w:fldCharType="begin"/>
      </w:r>
      <w:r w:rsidR="005A317E">
        <w:instrText xml:space="preserve"> REF _Ref173691077 \h </w:instrText>
      </w:r>
      <w:r w:rsidR="005A317E">
        <w:fldChar w:fldCharType="separate"/>
      </w:r>
      <w:r w:rsidR="005A317E" w:rsidRPr="005A317E">
        <w:t>Figure 1</w:t>
      </w:r>
      <w:r w:rsidR="005A317E">
        <w:fldChar w:fldCharType="end"/>
      </w:r>
      <w:r w:rsidR="005A317E">
        <w:t xml:space="preserve">, </w:t>
      </w:r>
      <w:r w:rsidR="008775A9">
        <w:t>is a long-term set of data that is as far as yFinance can provide.</w:t>
      </w:r>
    </w:p>
    <w:p w14:paraId="13529EB9" w14:textId="77777777" w:rsidR="005A317E" w:rsidRDefault="005A317E" w:rsidP="005A317E">
      <w:pPr>
        <w:keepNext/>
      </w:pPr>
      <w:r>
        <w:rPr>
          <w:noProof/>
        </w:rPr>
        <w:drawing>
          <wp:inline distT="0" distB="0" distL="0" distR="0" wp14:anchorId="7D0F62AA" wp14:editId="7521B852">
            <wp:extent cx="5943600" cy="4312285"/>
            <wp:effectExtent l="0" t="0" r="0" b="0"/>
            <wp:docPr id="451331306" name="Picture 1" descr="No description has been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o description has been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42B7D" w14:textId="23AEE4DE" w:rsidR="005A317E" w:rsidRDefault="005A317E" w:rsidP="005A317E">
      <w:pPr>
        <w:pStyle w:val="Caption"/>
      </w:pPr>
      <w:bookmarkStart w:id="0" w:name="_Ref173691077"/>
      <w:r w:rsidRPr="005A317E">
        <w:t xml:space="preserve">Figure </w:t>
      </w:r>
      <w:fldSimple w:instr=" SEQ Figure \* ARABIC ">
        <w:r w:rsidR="00196446">
          <w:rPr>
            <w:noProof/>
          </w:rPr>
          <w:t>1</w:t>
        </w:r>
      </w:fldSimple>
      <w:bookmarkEnd w:id="0"/>
      <w:r w:rsidRPr="005A317E">
        <w:t>.</w:t>
      </w:r>
    </w:p>
    <w:p w14:paraId="2D1F3536" w14:textId="44D8BE58" w:rsidR="004C6942" w:rsidRDefault="00A9370F" w:rsidP="004C6942">
      <w:r>
        <w:t>The correlations for this data</w:t>
      </w:r>
      <w:r w:rsidR="00C92B3A">
        <w:t xml:space="preserve">, shown in </w:t>
      </w:r>
      <w:r w:rsidR="00C92B3A">
        <w:fldChar w:fldCharType="begin"/>
      </w:r>
      <w:r w:rsidR="00C92B3A">
        <w:instrText xml:space="preserve"> REF _Ref173691459 \h </w:instrText>
      </w:r>
      <w:r w:rsidR="00C92B3A">
        <w:fldChar w:fldCharType="separate"/>
      </w:r>
      <w:r w:rsidR="00C92B3A">
        <w:t xml:space="preserve">Figure </w:t>
      </w:r>
      <w:r w:rsidR="00C92B3A">
        <w:rPr>
          <w:noProof/>
        </w:rPr>
        <w:t>2</w:t>
      </w:r>
      <w:r w:rsidR="00C92B3A">
        <w:fldChar w:fldCharType="end"/>
      </w:r>
      <w:r w:rsidR="00C92B3A">
        <w:t>,</w:t>
      </w:r>
      <w:r>
        <w:t xml:space="preserve"> </w:t>
      </w:r>
      <w:r w:rsidR="00C92B3A">
        <w:t>are</w:t>
      </w:r>
      <w:r>
        <w:t xml:space="preserve"> interesting in understanding overall trends, but provides minimal insight into specific behavior of the S&amp;P 500</w:t>
      </w:r>
      <w:r w:rsidR="00A458CE">
        <w:t>, or at least in the domain of time</w:t>
      </w:r>
      <w:r>
        <w:t>.</w:t>
      </w:r>
      <w:r w:rsidR="00A767DD">
        <w:t xml:space="preserve"> What it does reveal is that prices are relatively highly correlated over the course of the long-term.</w:t>
      </w:r>
      <w:r w:rsidR="00C92B3A">
        <w:t xml:space="preserve"> There is an observable 90% </w:t>
      </w:r>
      <w:r w:rsidR="00B54127">
        <w:t xml:space="preserve">correlation between prices at ~500 days, 80% correlation between ~1,000 days, </w:t>
      </w:r>
      <w:r w:rsidR="0018731A">
        <w:t xml:space="preserve">and there is a trend of </w:t>
      </w:r>
      <w:r w:rsidR="0055069E">
        <w:t>a fluctuation away from the decrease in correlation at ~2,000 days. This last remark indicates that there is some ~8 year change in the trend.</w:t>
      </w:r>
    </w:p>
    <w:p w14:paraId="328B1871" w14:textId="77777777" w:rsidR="00A767DD" w:rsidRDefault="00A767DD" w:rsidP="00A767DD">
      <w:pPr>
        <w:keepNext/>
      </w:pPr>
      <w:r>
        <w:rPr>
          <w:noProof/>
        </w:rPr>
        <w:lastRenderedPageBreak/>
        <w:drawing>
          <wp:inline distT="0" distB="0" distL="0" distR="0" wp14:anchorId="4DE44673" wp14:editId="750395EF">
            <wp:extent cx="5943600" cy="4347845"/>
            <wp:effectExtent l="0" t="0" r="0" b="0"/>
            <wp:docPr id="1133993915" name="Picture 2" descr="No description has been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o description has been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A3BD9" w14:textId="033FFF68" w:rsidR="005601FE" w:rsidRDefault="00A767DD" w:rsidP="00A767DD">
      <w:pPr>
        <w:pStyle w:val="Caption"/>
      </w:pPr>
      <w:bookmarkStart w:id="1" w:name="_Ref173691459"/>
      <w:r>
        <w:t xml:space="preserve">Figure </w:t>
      </w:r>
      <w:fldSimple w:instr=" SEQ Figure \* ARABIC ">
        <w:r w:rsidR="00196446">
          <w:rPr>
            <w:noProof/>
          </w:rPr>
          <w:t>2</w:t>
        </w:r>
      </w:fldSimple>
      <w:bookmarkEnd w:id="1"/>
      <w:r>
        <w:t>.</w:t>
      </w:r>
    </w:p>
    <w:p w14:paraId="6B6DF47A" w14:textId="429B5ED7" w:rsidR="00704D26" w:rsidRDefault="00704D26" w:rsidP="00704D26">
      <w:r>
        <w:t xml:space="preserve">This data on its own may not be particularly, helpful, but one can </w:t>
      </w:r>
      <w:r w:rsidR="00C161B6">
        <w:t xml:space="preserve">take the energy spectra and </w:t>
      </w:r>
      <w:r w:rsidR="00877903">
        <w:t xml:space="preserve">draw better conclusions from it. This energy spectra is normalized to the area under the curve to help remove any other senses of scale. The </w:t>
      </w:r>
      <w:r w:rsidR="004C161E">
        <w:t>trend of any dissipation in this</w:t>
      </w:r>
      <w:r w:rsidR="00690DF9">
        <w:t xml:space="preserve"> energy spectra then in turn reflects the </w:t>
      </w:r>
      <w:r w:rsidR="00D76A7B">
        <w:t xml:space="preserve">order of the fractal that is present in the data. With a fit from SciPy’s curve_fit method, </w:t>
      </w:r>
      <w:r w:rsidR="00C4300E">
        <w:t xml:space="preserve">this is ~2.02, meaning that the fractal exists in just over 2 dimensions in </w:t>
      </w:r>
      <w:r w:rsidR="00801FE9">
        <w:t>the full-term of the S&amp;P 500 data.</w:t>
      </w:r>
      <w:r w:rsidR="00433455">
        <w:t xml:space="preserve"> This is an interesting comparison, as even turbulent boundary layers </w:t>
      </w:r>
      <w:r w:rsidR="004A7DEE">
        <w:t>begin as single, or close to, dimensional dissipation, and require deeper transport phenomena to reach higher dimensions.</w:t>
      </w:r>
    </w:p>
    <w:p w14:paraId="59F8767B" w14:textId="11A34F1A" w:rsidR="00196446" w:rsidRDefault="00B0159E" w:rsidP="00196446">
      <w:pPr>
        <w:keepNext/>
      </w:pPr>
      <w:r>
        <w:rPr>
          <w:noProof/>
        </w:rPr>
        <w:lastRenderedPageBreak/>
        <w:drawing>
          <wp:inline distT="0" distB="0" distL="0" distR="0" wp14:anchorId="513AE985" wp14:editId="17680F06">
            <wp:extent cx="5943600" cy="4347845"/>
            <wp:effectExtent l="0" t="0" r="0" b="0"/>
            <wp:docPr id="477309600" name="Picture 5" descr="No description has been provided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o description has been provided for this imag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4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B771F" w14:textId="44657E92" w:rsidR="00BB7386" w:rsidRPr="00704D26" w:rsidRDefault="00196446" w:rsidP="00196446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.</w:t>
      </w:r>
    </w:p>
    <w:sectPr w:rsidR="00BB7386" w:rsidRPr="00704D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03"/>
    <w:rsid w:val="00014635"/>
    <w:rsid w:val="00056573"/>
    <w:rsid w:val="00063C5E"/>
    <w:rsid w:val="000A3A19"/>
    <w:rsid w:val="000D0641"/>
    <w:rsid w:val="00102AA9"/>
    <w:rsid w:val="00115243"/>
    <w:rsid w:val="00131DF8"/>
    <w:rsid w:val="0013504F"/>
    <w:rsid w:val="0018731A"/>
    <w:rsid w:val="00196446"/>
    <w:rsid w:val="001C3A2A"/>
    <w:rsid w:val="001D5FDC"/>
    <w:rsid w:val="001F0BA3"/>
    <w:rsid w:val="00212364"/>
    <w:rsid w:val="0026526E"/>
    <w:rsid w:val="002803F8"/>
    <w:rsid w:val="0028350C"/>
    <w:rsid w:val="002B2081"/>
    <w:rsid w:val="00377297"/>
    <w:rsid w:val="003C509D"/>
    <w:rsid w:val="00406AA7"/>
    <w:rsid w:val="00425B68"/>
    <w:rsid w:val="00433455"/>
    <w:rsid w:val="004A7DEE"/>
    <w:rsid w:val="004B5A55"/>
    <w:rsid w:val="004C161E"/>
    <w:rsid w:val="004C6942"/>
    <w:rsid w:val="005054E1"/>
    <w:rsid w:val="0051583E"/>
    <w:rsid w:val="0055069E"/>
    <w:rsid w:val="005571A0"/>
    <w:rsid w:val="005601FE"/>
    <w:rsid w:val="0057531A"/>
    <w:rsid w:val="005A317E"/>
    <w:rsid w:val="005B4C66"/>
    <w:rsid w:val="00620943"/>
    <w:rsid w:val="00621BDE"/>
    <w:rsid w:val="00636A1E"/>
    <w:rsid w:val="00690DF9"/>
    <w:rsid w:val="006A2349"/>
    <w:rsid w:val="00704D26"/>
    <w:rsid w:val="007329AF"/>
    <w:rsid w:val="00793F7A"/>
    <w:rsid w:val="00795890"/>
    <w:rsid w:val="007F1733"/>
    <w:rsid w:val="007F6335"/>
    <w:rsid w:val="00800221"/>
    <w:rsid w:val="00801FE9"/>
    <w:rsid w:val="00820B98"/>
    <w:rsid w:val="00857960"/>
    <w:rsid w:val="00871A42"/>
    <w:rsid w:val="008775A9"/>
    <w:rsid w:val="00877903"/>
    <w:rsid w:val="00887868"/>
    <w:rsid w:val="008A7F26"/>
    <w:rsid w:val="008B27D4"/>
    <w:rsid w:val="008D7D22"/>
    <w:rsid w:val="00904D03"/>
    <w:rsid w:val="00911051"/>
    <w:rsid w:val="00916609"/>
    <w:rsid w:val="00922CB0"/>
    <w:rsid w:val="009D15A8"/>
    <w:rsid w:val="00A33205"/>
    <w:rsid w:val="00A458CE"/>
    <w:rsid w:val="00A767DD"/>
    <w:rsid w:val="00A9370F"/>
    <w:rsid w:val="00AD0FFE"/>
    <w:rsid w:val="00AF1BFC"/>
    <w:rsid w:val="00B0159E"/>
    <w:rsid w:val="00B04948"/>
    <w:rsid w:val="00B54127"/>
    <w:rsid w:val="00B558B3"/>
    <w:rsid w:val="00B575D3"/>
    <w:rsid w:val="00B65C95"/>
    <w:rsid w:val="00BB7386"/>
    <w:rsid w:val="00BC2DB0"/>
    <w:rsid w:val="00BF6F00"/>
    <w:rsid w:val="00C161B6"/>
    <w:rsid w:val="00C162D1"/>
    <w:rsid w:val="00C4300E"/>
    <w:rsid w:val="00C60FA2"/>
    <w:rsid w:val="00C81919"/>
    <w:rsid w:val="00C92B3A"/>
    <w:rsid w:val="00CB7E7F"/>
    <w:rsid w:val="00CC1DED"/>
    <w:rsid w:val="00CC3024"/>
    <w:rsid w:val="00CD10DB"/>
    <w:rsid w:val="00D116E1"/>
    <w:rsid w:val="00D76A7B"/>
    <w:rsid w:val="00D949AC"/>
    <w:rsid w:val="00DB3E63"/>
    <w:rsid w:val="00DF6D66"/>
    <w:rsid w:val="00E514AA"/>
    <w:rsid w:val="00E7011E"/>
    <w:rsid w:val="00F21726"/>
    <w:rsid w:val="00F555BA"/>
    <w:rsid w:val="00FA4FAB"/>
    <w:rsid w:val="00FB61BA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1409E"/>
  <w15:chartTrackingRefBased/>
  <w15:docId w15:val="{AB141FA8-4D5A-4644-9153-21EBF073F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B6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4D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D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D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D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D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D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D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D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D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D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04D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D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D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D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D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D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D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D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5B6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B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0DB"/>
    <w:pPr>
      <w:numPr>
        <w:ilvl w:val="1"/>
      </w:numPr>
      <w:jc w:val="center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0DB"/>
    <w:rPr>
      <w:rFonts w:ascii="Times New Roman" w:eastAsiaTheme="majorEastAsia" w:hAnsi="Times New Roman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4D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4D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4D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4D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D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D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4D03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7F6335"/>
    <w:rPr>
      <w:rFonts w:asciiTheme="majorHAnsi" w:hAnsiTheme="majorHAnsi"/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102AA9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5A317E"/>
    <w:pPr>
      <w:spacing w:after="200" w:line="240" w:lineRule="auto"/>
      <w:jc w:val="center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579</Words>
  <Characters>3303</Characters>
  <Application>Microsoft Office Word</Application>
  <DocSecurity>0</DocSecurity>
  <Lines>27</Lines>
  <Paragraphs>7</Paragraphs>
  <ScaleCrop>false</ScaleCrop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Zefram Kerman</dc:creator>
  <cp:keywords/>
  <dc:description/>
  <cp:lastModifiedBy>Zefram Kerman</cp:lastModifiedBy>
  <cp:revision>92</cp:revision>
  <dcterms:created xsi:type="dcterms:W3CDTF">2024-06-26T00:15:00Z</dcterms:created>
  <dcterms:modified xsi:type="dcterms:W3CDTF">2024-08-05T00:09:00Z</dcterms:modified>
</cp:coreProperties>
</file>