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7"/>
          <w:sz w:val="36"/>
        </w:rPr>
        <w:t>ARTES Platform — Release Summary</w:t>
      </w:r>
    </w:p>
    <w:p>
      <w:pPr>
        <w:jc w:val="center"/>
      </w:pPr>
      <w:r>
        <w:rPr>
          <w:color w:val="6B7C93"/>
          <w:sz w:val="20"/>
        </w:rPr>
        <w:t>April 15–19, 2026 · 60+ commits across 200+ files</w:t>
      </w:r>
    </w:p>
    <w:p>
      <w:pPr>
        <w:pStyle w:val="Heading2"/>
      </w:pPr>
      <w:r>
        <w:rPr>
          <w:color w:val="1B2A47"/>
          <w:sz w:val="24"/>
        </w:rPr>
        <w:t>Office 365 / Microsoft Calendar Integration</w:t>
      </w:r>
    </w:p>
    <w:p>
      <w:pPr>
        <w:pStyle w:val="ListBullet"/>
        <w:spacing w:before="20" w:after="20"/>
      </w:pPr>
      <w:r>
        <w:rPr>
          <w:sz w:val="18"/>
        </w:rPr>
        <w:t>Full Microsoft Graph API provider: OAuth flow, event CRUD, freebusy, Teams meeting links</w:t>
      </w:r>
    </w:p>
    <w:p>
      <w:pPr>
        <w:pStyle w:val="ListBullet"/>
        <w:spacing w:before="20" w:after="20"/>
      </w:pPr>
      <w:r>
        <w:rPr>
          <w:sz w:val="18"/>
        </w:rPr>
        <w:t>Provider abstraction layer (ICalendarProvider interface) — Google and Microsoft share the same API surface</w:t>
      </w:r>
    </w:p>
    <w:p>
      <w:pPr>
        <w:pStyle w:val="ListBullet"/>
        <w:spacing w:before="20" w:after="20"/>
      </w:pPr>
      <w:r>
        <w:rPr>
          <w:sz w:val="18"/>
        </w:rPr>
        <w:t>Microsoft webhook subscriptions with 3-day TTL, automatic renewal every 4 hours</w:t>
      </w:r>
    </w:p>
    <w:p>
      <w:pPr>
        <w:pStyle w:val="ListBullet"/>
        <w:spacing w:before="20" w:after="20"/>
      </w:pPr>
      <w:r>
        <w:rPr>
          <w:sz w:val="18"/>
        </w:rPr>
        <w:t>Frontend provider picker: coaches choose Google Calendar or Microsoft 365 in booking settings</w:t>
      </w:r>
    </w:p>
    <w:p>
      <w:pPr>
        <w:pStyle w:val="ListBullet"/>
        <w:spacing w:before="20" w:after="20"/>
      </w:pPr>
      <w:r>
        <w:rPr>
          <w:sz w:val="18"/>
        </w:rPr>
        <w:t>Direct HTTP token exchange (replaced MSAL SDK for reliability with personal + org accounts)</w:t>
      </w:r>
    </w:p>
    <w:p>
      <w:pPr>
        <w:pStyle w:val="ListBullet"/>
        <w:spacing w:before="20" w:after="20"/>
      </w:pPr>
      <w:r>
        <w:rPr>
          <w:sz w:val="18"/>
        </w:rPr>
        <w:t>Provider-agnostic booking fields: calendarEventId, calendarProvider, meetingLink</w:t>
      </w:r>
    </w:p>
    <w:p>
      <w:pPr>
        <w:pStyle w:val="Heading2"/>
      </w:pPr>
      <w:r>
        <w:rPr>
          <w:color w:val="1B2A47"/>
          <w:sz w:val="24"/>
        </w:rPr>
        <w:t>Multilingual Support (i18n) — English, French, Spanish</w:t>
      </w:r>
    </w:p>
    <w:p>
      <w:pPr>
        <w:pStyle w:val="ListBullet"/>
        <w:spacing w:before="20" w:after="20"/>
      </w:pPr>
      <w:r>
        <w:rPr>
          <w:sz w:val="18"/>
        </w:rPr>
        <w:t>2,405 translation keys across 3 languages, all verified in sync</w:t>
      </w:r>
    </w:p>
    <w:p>
      <w:pPr>
        <w:pStyle w:val="ListBullet"/>
        <w:spacing w:before="20" w:after="20"/>
      </w:pPr>
      <w:r>
        <w:rPr>
          <w:sz w:val="18"/>
        </w:rPr>
        <w:t>ngx-translate (frontend) + i18next (backend) with runtime language switching</w:t>
      </w:r>
    </w:p>
    <w:p>
      <w:pPr>
        <w:pStyle w:val="ListBullet"/>
        <w:spacing w:before="20" w:after="20"/>
      </w:pPr>
      <w:r>
        <w:rPr>
          <w:sz w:val="18"/>
        </w:rPr>
        <w:t>SVG flag picker in sidebar for instant language change; also on login page</w:t>
      </w:r>
    </w:p>
    <w:p>
      <w:pPr>
        <w:pStyle w:val="ListBullet"/>
        <w:spacing w:before="20" w:after="20"/>
      </w:pPr>
      <w:r>
        <w:rPr>
          <w:sz w:val="18"/>
        </w:rPr>
        <w:t>All 96 Angular components use translate pipe — zero hardcoded snackBar, placeholder, or tooltip strings</w:t>
      </w:r>
    </w:p>
    <w:p>
      <w:pPr>
        <w:pStyle w:val="ListBullet"/>
        <w:spacing w:before="20" w:after="20"/>
      </w:pPr>
      <w:r>
        <w:rPr>
          <w:sz w:val="18"/>
        </w:rPr>
        <w:t>Backend: all API error messages use req.t(), all email templates use i18next</w:t>
      </w:r>
    </w:p>
    <w:p>
      <w:pPr>
        <w:pStyle w:val="ListBullet"/>
        <w:spacing w:before="20" w:after="20"/>
      </w:pPr>
      <w:r>
        <w:rPr>
          <w:sz w:val="18"/>
        </w:rPr>
        <w:t>AI prompts: all 10 builders accept language parameter, output in user's language</w:t>
      </w:r>
    </w:p>
    <w:p>
      <w:pPr>
        <w:pStyle w:val="ListBullet"/>
        <w:spacing w:before="20" w:after="20"/>
      </w:pPr>
      <w:r>
        <w:rPr>
          <w:sz w:val="18"/>
        </w:rPr>
        <w:t>Legal pages (Terms, Privacy, EULA) fully translated to French and Spanish</w:t>
      </w:r>
    </w:p>
    <w:p>
      <w:pPr>
        <w:pStyle w:val="ListBullet"/>
        <w:spacing w:before="20" w:after="20"/>
      </w:pPr>
      <w:r>
        <w:rPr>
          <w:sz w:val="18"/>
        </w:rPr>
        <w:t>Date/number formatting uses dynamic locale throughout; pre-deploy check script in deploy.sh</w:t>
      </w:r>
    </w:p>
    <w:p>
      <w:pPr>
        <w:pStyle w:val="Heading2"/>
      </w:pPr>
      <w:r>
        <w:rPr>
          <w:color w:val="1B2A47"/>
          <w:sz w:val="24"/>
        </w:rPr>
        <w:t>Coaching Module Enhancements</w:t>
      </w:r>
    </w:p>
    <w:p>
      <w:pPr>
        <w:pStyle w:val="ListBullet"/>
        <w:spacing w:before="20" w:after="20"/>
      </w:pPr>
      <w:r>
        <w:rPr>
          <w:sz w:val="18"/>
        </w:rPr>
        <w:t>Full coaching module with engagements, sessions, billing, and calendar sync</w:t>
      </w:r>
    </w:p>
    <w:p>
      <w:pPr>
        <w:pStyle w:val="ListBullet"/>
        <w:spacing w:before="20" w:after="20"/>
      </w:pPr>
      <w:r>
        <w:rPr>
          <w:sz w:val="18"/>
        </w:rPr>
        <w:t>Pre-session intake forms attached to coaching sessions</w:t>
      </w:r>
    </w:p>
    <w:p>
      <w:pPr>
        <w:pStyle w:val="ListBullet"/>
        <w:spacing w:before="20" w:after="20"/>
      </w:pPr>
      <w:r>
        <w:rPr>
          <w:sz w:val="18"/>
        </w:rPr>
        <w:t>Post-session AI-generated reflection forms</w:t>
      </w:r>
    </w:p>
    <w:p>
      <w:pPr>
        <w:pStyle w:val="ListBullet"/>
        <w:spacing w:before="20" w:after="20"/>
      </w:pPr>
      <w:r>
        <w:rPr>
          <w:sz w:val="18"/>
        </w:rPr>
        <w:t>isCoachee flag: any user can be coached without changing their org role</w:t>
      </w:r>
    </w:p>
    <w:p>
      <w:pPr>
        <w:pStyle w:val="ListBullet"/>
        <w:spacing w:before="20" w:after="20"/>
      </w:pPr>
      <w:r>
        <w:rPr>
          <w:sz w:val="18"/>
        </w:rPr>
        <w:t>Sponsor column in coachees list; org default + per-user coach choice override</w:t>
      </w:r>
    </w:p>
    <w:p>
      <w:pPr>
        <w:pStyle w:val="ListBullet"/>
        <w:spacing w:before="20" w:after="20"/>
      </w:pPr>
      <w:r>
        <w:rPr>
          <w:sz w:val="18"/>
        </w:rPr>
        <w:t>Reschedule deadline policy with late-cancellation allotment tracking</w:t>
      </w:r>
    </w:p>
    <w:p>
      <w:pPr>
        <w:pStyle w:val="ListBullet"/>
        <w:spacing w:before="20" w:after="20"/>
      </w:pPr>
      <w:r>
        <w:rPr>
          <w:sz w:val="18"/>
        </w:rPr>
        <w:t>Status filter pills on engagement sessions list</w:t>
      </w:r>
    </w:p>
    <w:p>
      <w:pPr>
        <w:pStyle w:val="Heading2"/>
      </w:pPr>
      <w:r>
        <w:rPr>
          <w:color w:val="1B2A47"/>
          <w:sz w:val="24"/>
        </w:rPr>
        <w:t>Booking System Improvements</w:t>
      </w:r>
    </w:p>
    <w:p>
      <w:pPr>
        <w:pStyle w:val="ListBullet"/>
        <w:spacing w:before="20" w:after="20"/>
      </w:pPr>
      <w:r>
        <w:rPr>
          <w:sz w:val="18"/>
        </w:rPr>
        <w:t>Date exclusions with inline calendar, country holiday import, autosave</w:t>
      </w:r>
    </w:p>
    <w:p>
      <w:pPr>
        <w:pStyle w:val="ListBullet"/>
        <w:spacing w:before="20" w:after="20"/>
      </w:pPr>
      <w:r>
        <w:rPr>
          <w:sz w:val="18"/>
        </w:rPr>
        <w:t>Calendar import picker with current-month default</w:t>
      </w:r>
    </w:p>
    <w:p>
      <w:pPr>
        <w:pStyle w:val="ListBullet"/>
        <w:spacing w:before="20" w:after="20"/>
      </w:pPr>
      <w:r>
        <w:rPr>
          <w:sz w:val="18"/>
        </w:rPr>
        <w:t>Tighter schedule row validation (end-after-start time range)</w:t>
      </w:r>
    </w:p>
    <w:p>
      <w:pPr>
        <w:pStyle w:val="ListBullet"/>
        <w:spacing w:before="20" w:after="20"/>
      </w:pPr>
      <w:r>
        <w:rPr>
          <w:sz w:val="18"/>
        </w:rPr>
        <w:t>Provider-aware webhook registration on settings save and disconnect</w:t>
      </w:r>
    </w:p>
    <w:p>
      <w:pPr>
        <w:pStyle w:val="ListBullet"/>
        <w:spacing w:before="20" w:after="20"/>
      </w:pPr>
      <w:r>
        <w:rPr>
          <w:sz w:val="18"/>
        </w:rPr>
        <w:t>Calendar invites toggle: suppresses duplicate ARTES emails when calendar invites are on</w:t>
      </w:r>
    </w:p>
    <w:p>
      <w:pPr>
        <w:pStyle w:val="Heading2"/>
      </w:pPr>
      <w:r>
        <w:rPr>
          <w:color w:val="1B2A47"/>
          <w:sz w:val="24"/>
        </w:rPr>
        <w:t>Conflict Intelligence</w:t>
      </w:r>
    </w:p>
    <w:p>
      <w:pPr>
        <w:pStyle w:val="ListBullet"/>
        <w:spacing w:before="20" w:after="20"/>
      </w:pPr>
      <w:r>
        <w:rPr>
          <w:sz w:val="18"/>
        </w:rPr>
        <w:t>Conflict analysis detail page with accordion layout for recommended actions</w:t>
      </w:r>
    </w:p>
    <w:p>
      <w:pPr>
        <w:pStyle w:val="ListBullet"/>
        <w:spacing w:before="20" w:after="20"/>
      </w:pPr>
      <w:r>
        <w:rPr>
          <w:sz w:val="18"/>
        </w:rPr>
        <w:t>Completion checkboxes persisted to database</w:t>
      </w:r>
    </w:p>
    <w:p>
      <w:pPr>
        <w:pStyle w:val="ListBullet"/>
        <w:spacing w:before="20" w:after="20"/>
      </w:pPr>
      <w:r>
        <w:rPr>
          <w:sz w:val="18"/>
        </w:rPr>
        <w:t>Paragraph formatting for narratives + collapsible sub-analyses</w:t>
      </w:r>
    </w:p>
    <w:p>
      <w:pPr>
        <w:pStyle w:val="ListBullet"/>
        <w:spacing w:before="20" w:after="20"/>
      </w:pPr>
      <w:r>
        <w:rPr>
          <w:sz w:val="18"/>
        </w:rPr>
        <w:t>Clickable analysis cards; conflict IDP generation</w:t>
      </w:r>
    </w:p>
    <w:p>
      <w:pPr>
        <w:pStyle w:val="Heading2"/>
      </w:pPr>
      <w:r>
        <w:rPr>
          <w:color w:val="1B2A47"/>
          <w:sz w:val="24"/>
        </w:rPr>
        <w:t>UI / UX Polish</w:t>
      </w:r>
    </w:p>
    <w:p>
      <w:pPr>
        <w:pStyle w:val="ListBullet"/>
        <w:spacing w:before="20" w:after="20"/>
      </w:pPr>
      <w:r>
        <w:rPr>
          <w:sz w:val="18"/>
        </w:rPr>
        <w:t>Split-screen login page with module showcase carousel (pause on hover, play/pause button)</w:t>
      </w:r>
    </w:p>
    <w:p>
      <w:pPr>
        <w:pStyle w:val="ListBullet"/>
        <w:spacing w:before="20" w:after="20"/>
      </w:pPr>
      <w:r>
        <w:rPr>
          <w:sz w:val="18"/>
        </w:rPr>
        <w:t>Terms of Service, Privacy Statement, and EULA pages with polished standalone design</w:t>
      </w:r>
    </w:p>
    <w:p>
      <w:pPr>
        <w:pStyle w:val="ListBullet"/>
        <w:spacing w:before="20" w:after="20"/>
      </w:pPr>
      <w:r>
        <w:rPr>
          <w:sz w:val="18"/>
        </w:rPr>
        <w:t>Cookie consent banner (essential cookies only)</w:t>
      </w:r>
    </w:p>
    <w:p>
      <w:pPr>
        <w:pStyle w:val="ListBullet"/>
        <w:spacing w:before="20" w:after="20"/>
      </w:pPr>
      <w:r>
        <w:rPr>
          <w:sz w:val="18"/>
        </w:rPr>
        <w:t>Sticky app footer with legal links; SVG country flag language picker</w:t>
      </w:r>
    </w:p>
    <w:p>
      <w:pPr>
        <w:pStyle w:val="ListBullet"/>
        <w:spacing w:before="20" w:after="20"/>
      </w:pPr>
      <w:r>
        <w:rPr>
          <w:sz w:val="18"/>
        </w:rPr>
        <w:t>Org theme system: apply on save, logo in sidebar, 425 hardcoded colors replaced with CSS vars</w:t>
      </w:r>
    </w:p>
    <w:p>
      <w:pPr>
        <w:pStyle w:val="ListBullet"/>
        <w:spacing w:before="20" w:after="20"/>
      </w:pPr>
      <w:r>
        <w:rPr>
          <w:sz w:val="18"/>
        </w:rPr>
        <w:t>Branded ARTES email template wrapper for all outgoing emails</w:t>
      </w:r>
    </w:p>
    <w:p>
      <w:pPr>
        <w:pStyle w:val="ListBullet"/>
        <w:spacing w:before="20" w:after="20"/>
      </w:pPr>
      <w:r>
        <w:rPr>
          <w:sz w:val="18"/>
        </w:rPr>
        <w:t>Granular notification preferences per user with calendar invites grouping</w:t>
      </w:r>
    </w:p>
    <w:p>
      <w:pPr>
        <w:pStyle w:val="Heading2"/>
      </w:pPr>
      <w:r>
        <w:rPr>
          <w:color w:val="1B2A47"/>
          <w:sz w:val="24"/>
        </w:rPr>
        <w:t>Infrastructure &amp; Security</w:t>
      </w:r>
    </w:p>
    <w:p>
      <w:pPr>
        <w:pStyle w:val="ListBullet"/>
        <w:spacing w:before="20" w:after="20"/>
      </w:pPr>
      <w:r>
        <w:rPr>
          <w:sz w:val="18"/>
        </w:rPr>
        <w:t>Permission-based auth (requirePermission replaces requireRole across all routes)</w:t>
      </w:r>
    </w:p>
    <w:p>
      <w:pPr>
        <w:pStyle w:val="ListBullet"/>
        <w:spacing w:before="20" w:after="20"/>
      </w:pPr>
      <w:r>
        <w:rPr>
          <w:sz w:val="18"/>
        </w:rPr>
        <w:t>Azure AD app registration for Microsoft OAuth (multi-tenant + personal accounts)</w:t>
      </w:r>
    </w:p>
    <w:p>
      <w:pPr>
        <w:pStyle w:val="ListBullet"/>
        <w:spacing w:before="20" w:after="20"/>
      </w:pPr>
      <w:r>
        <w:rPr>
          <w:sz w:val="18"/>
        </w:rPr>
        <w:t>Git history scrubbed of Azure client secrets; pre-deploy translation check in deploy.sh</w:t>
      </w:r>
    </w:p>
    <w:p>
      <w:pPr>
        <w:pStyle w:val="ListBullet"/>
        <w:spacing w:before="20" w:after="20"/>
      </w:pPr>
      <w:r>
        <w:rPr>
          <w:sz w:val="18"/>
        </w:rPr>
        <w:t>Trust proxy for rate limits; robust inactivity tracking</w:t>
      </w:r>
    </w:p>
    <w:p>
      <w:pPr>
        <w:jc w:val="center"/>
      </w:pPr>
      <w:r>
        <w:rPr>
          <w:color w:val="9AA5B4"/>
          <w:sz w:val="16"/>
        </w:rPr>
        <w:t>HeadSoft Technology × Helena Coaching · artes.helenacoaching.com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