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Survey Divergence — Phase 1 setup &amp; user guide</w:t>
      </w:r>
    </w:p>
    <w:p>
      <w:r>
        <w:rPr>
          <w:b/>
        </w:rPr>
        <w:t>Audience:</w:t>
      </w:r>
      <w:r>
        <w:t xml:space="preserve"> ARTES org admins and Helena Coaching staff who set up templates and read conflict-analysis output. </w:t>
      </w:r>
      <w:r>
        <w:rPr>
          <w:b/>
        </w:rPr>
        <w:t>Status:</w:t>
      </w:r>
      <w:r>
        <w:t xml:space="preserve"> Ships with the </w:t>
      </w:r>
      <w:r>
        <w:rPr>
          <w:rFonts w:ascii="Consolas" w:hAnsi="Consolas"/>
          <w:sz w:val="20"/>
          <w:shd w:val="clear" w:fill="F2F2F2"/>
        </w:rPr>
        <w:t>feat/survey-divergence-phase1</w:t>
      </w:r>
      <w:r>
        <w:t xml:space="preserve"> branch. </w:t>
      </w:r>
      <w:r>
        <w:rPr>
          <w:b/>
        </w:rPr>
        <w:t>Read first:</w:t>
      </w:r>
      <w:r>
        <w:t xml:space="preserve"> </w:t>
      </w:r>
      <w:r>
        <w:rPr>
          <w:rFonts w:ascii="Consolas" w:hAnsi="Consolas"/>
          <w:sz w:val="20"/>
          <w:shd w:val="clear" w:fill="F2F2F2"/>
        </w:rPr>
        <w:t>docs/design/survey_divergence_and_truth_signals.md</w:t>
      </w:r>
      <w:r>
        <w:t xml:space="preserve"> for the underlying methodology and ethics.</w:t>
      </w:r>
    </w:p>
    <w:p>
      <w:pPr>
        <w:pBdr>
          <w:bottom w:val="single" w:sz="6" w:space="1" w:color="888888"/>
        </w:pBdr>
      </w:pPr>
    </w:p>
    <w:p>
      <w:pPr>
        <w:pStyle w:val="Heading2"/>
      </w:pPr>
      <w:r>
        <w:t>1. What this gives you</w:t>
      </w:r>
    </w:p>
    <w:p>
      <w:r>
        <w:t>Until now, conflict analyses aggregated each survey question to a single mean and handed that mean to Claude. Two teams could land at the same risk score for completely different reasons — one stuck and uniformly neutral, one fractured and polarised — and the analysis would read the same to a manager.</w:t>
      </w:r>
    </w:p>
    <w:p>
      <w:r>
        <w:t>Phase 1 layers four signals on top of every conflict analysis without changing the headline risk score:</w:t>
      </w:r>
    </w:p>
    <w:p>
      <w:pPr>
        <w:pStyle w:val="ListNumber"/>
      </w:pPr>
      <w:r>
        <w:rPr>
          <w:b/>
        </w:rPr>
        <w:t>Response quality</w:t>
      </w:r>
      <w:r>
        <w:t xml:space="preserve"> — a per-respondent score that flags careless</w:t>
      </w:r>
    </w:p>
    <w:p>
      <w:pPr>
        <w:ind w:left="720"/>
      </w:pPr>
      <w:r>
        <w:t>answering. Low-quality responses are excluded from the analysis,</w:t>
      </w:r>
    </w:p>
    <w:p>
      <w:pPr>
        <w:ind w:left="720"/>
      </w:pPr>
      <w:r>
        <w:t>surfaced in aggregate (never per individual).</w:t>
      </w:r>
    </w:p>
    <w:p>
      <w:pPr>
        <w:pStyle w:val="ListNumber"/>
      </w:pPr>
      <w:r>
        <w:rPr>
          <w:b/>
        </w:rPr>
        <w:t>Per-item divergence</w:t>
      </w:r>
      <w:r>
        <w:t xml:space="preserve"> — mean, sd, agreement (</w:t>
      </w:r>
      <w:r>
        <w:rPr>
          <w:rFonts w:ascii="Consolas" w:hAnsi="Consolas"/>
          <w:sz w:val="20"/>
          <w:shd w:val="clear" w:fill="F2F2F2"/>
        </w:rPr>
        <w:t>r_wg</w:t>
      </w:r>
      <w:r>
        <w:t>), and a</w:t>
      </w:r>
    </w:p>
    <w:p>
      <w:pPr>
        <w:ind w:left="720"/>
      </w:pPr>
      <w:r>
        <w:t>bimodality coefficient for each item. Items where the team is</w:t>
      </w:r>
    </w:p>
    <w:p>
      <w:pPr>
        <w:ind w:left="720"/>
      </w:pPr>
      <w:r>
        <w:t xml:space="preserve">genuinely </w:t>
      </w:r>
      <w:r>
        <w:rPr>
          <w:b/>
        </w:rPr>
        <w:t>split</w:t>
      </w:r>
      <w:r>
        <w:t xml:space="preserve"> get flagged.</w:t>
      </w:r>
    </w:p>
    <w:p>
      <w:pPr>
        <w:pStyle w:val="ListNumber"/>
      </w:pPr>
      <w:r>
        <w:rPr>
          <w:b/>
        </w:rPr>
        <w:t>Dimensional roll-up</w:t>
      </w:r>
      <w:r>
        <w:t xml:space="preserve"> — items tagged with the same </w:t>
      </w:r>
      <w:r>
        <w:rPr>
          <w:rFonts w:ascii="Consolas" w:hAnsi="Consolas"/>
          <w:sz w:val="20"/>
          <w:shd w:val="clear" w:fill="F2F2F2"/>
        </w:rPr>
        <w:t>dimension</w:t>
      </w:r>
    </w:p>
    <w:p>
      <w:pPr>
        <w:ind w:left="720"/>
      </w:pPr>
      <w:r>
        <w:t xml:space="preserve">(e.g. </w:t>
      </w:r>
      <w:r>
        <w:rPr>
          <w:i/>
        </w:rPr>
        <w:t>Psychological Safety</w:t>
      </w:r>
      <w:r>
        <w:t xml:space="preserve">, </w:t>
      </w:r>
      <w:r>
        <w:rPr>
          <w:i/>
        </w:rPr>
        <w:t>Trust</w:t>
      </w:r>
      <w:r>
        <w:t>) aggregate so you see which</w:t>
      </w:r>
    </w:p>
    <w:p>
      <w:pPr>
        <w:ind w:left="720"/>
      </w:pPr>
      <w:r>
        <w:rPr>
          <w:i/>
        </w:rPr>
        <w:t>areas</w:t>
      </w:r>
      <w:r>
        <w:t xml:space="preserve"> the team disagrees on.</w:t>
      </w:r>
    </w:p>
    <w:p>
      <w:pPr>
        <w:pStyle w:val="ListNumber"/>
      </w:pPr>
      <w:r>
        <w:rPr>
          <w:b/>
        </w:rPr>
        <w:t>Team alignment</w:t>
      </w:r>
      <w:r>
        <w:t xml:space="preserve"> — a single 0–100 headline number visible on the</w:t>
      </w:r>
    </w:p>
    <w:p>
      <w:pPr>
        <w:ind w:left="720"/>
      </w:pPr>
      <w:r>
        <w:t>conflict dashboard. Banded **Aligned (≥70) / Mixed (40–69) /</w:t>
      </w:r>
    </w:p>
    <w:p>
      <w:pPr>
        <w:ind w:left="720"/>
      </w:pPr>
      <w:r>
        <w:t>Fractured (&lt;40)**.</w:t>
      </w:r>
    </w:p>
    <w:p>
      <w:r>
        <w:t>The AI prompt now includes all of the above and is explicitly instructed to treat divergence as structural signal, not individual blame. The standing UI disclaimer reinforces the same framing for the human reader.</w:t>
      </w:r>
    </w:p>
    <w:p>
      <w:pPr>
        <w:pBdr>
          <w:bottom w:val="single" w:sz="6" w:space="1" w:color="888888"/>
        </w:pBdr>
      </w:pPr>
    </w:p>
    <w:p>
      <w:pPr>
        <w:pStyle w:val="Heading2"/>
      </w:pPr>
      <w:r>
        <w:t>2. One-time setup</w:t>
      </w:r>
    </w:p>
    <w:p>
      <w:pPr>
        <w:pStyle w:val="Heading3"/>
      </w:pPr>
      <w:r>
        <w:t>2.1 Tag the existing conflict templates with dimensions</w:t>
      </w:r>
    </w:p>
    <w:p>
      <w:r>
        <w:t xml:space="preserve">Phase 1's roll-up only fires when questions carry a </w:t>
      </w:r>
      <w:r>
        <w:rPr>
          <w:rFonts w:ascii="Consolas" w:hAnsi="Consolas"/>
          <w:sz w:val="20"/>
          <w:shd w:val="clear" w:fill="F2F2F2"/>
        </w:rPr>
        <w:t>dimension</w:t>
      </w:r>
      <w:r>
        <w:t xml:space="preserve"> tag. The 11 built-in conflict templates were retrofit with a canonical 10-dimension scheme. Run the backfill once per tenant cluster:</w:t>
      </w:r>
    </w:p>
    <w:p>
      <w:pPr>
        <w:shd w:val="clear" w:fill="F4F4F4"/>
      </w:pPr>
      <w:r>
        <w:rPr>
          <w:rFonts w:ascii="Consolas" w:hAnsi="Consolas"/>
          <w:sz w:val="18"/>
        </w:rPr>
        <w:t>cd backend</w:t>
        <w:br/>
        <w:br/>
        <w:t># Dry-run — shows what would change, writes nothing</w:t>
        <w:br/>
        <w:t>npx ts-node src/scripts/backfill-conflict-dimensions.ts</w:t>
        <w:br/>
        <w:br/>
        <w:t># Apply</w:t>
        <w:br/>
        <w:t>npx ts-node src/scripts/backfill-conflict-dimensions.ts --apply</w:t>
      </w:r>
    </w:p>
    <w:p>
      <w:r>
        <w:t xml:space="preserve">For Helena Coaching's MongoDB Atlas cluster the dry-run reports </w:t>
      </w:r>
      <w:r>
        <w:rPr>
          <w:b/>
        </w:rPr>
        <w:t>11 templates, 187 questions tagged, 0 skipped</w:t>
      </w:r>
      <w:r>
        <w:t xml:space="preserve">. The script is idempotent — re-running after </w:t>
      </w:r>
      <w:r>
        <w:rPr>
          <w:rFonts w:ascii="Consolas" w:hAnsi="Consolas"/>
          <w:sz w:val="20"/>
          <w:shd w:val="clear" w:fill="F2F2F2"/>
        </w:rPr>
        <w:t>--apply</w:t>
      </w:r>
      <w:r>
        <w:t xml:space="preserve"> reports </w:t>
      </w:r>
      <w:r>
        <w:rPr>
          <w:rFonts w:ascii="Consolas" w:hAnsi="Consolas"/>
          <w:sz w:val="20"/>
          <w:shd w:val="clear" w:fill="F2F2F2"/>
        </w:rPr>
        <w:t>changed=0</w:t>
      </w:r>
      <w:r>
        <w:t xml:space="preserve"> everywhere.</w:t>
      </w:r>
    </w:p>
    <w:p>
      <w:r>
        <w:t xml:space="preserve">What the script does </w:t>
      </w:r>
      <w:r>
        <w:rPr>
          <w:b/>
        </w:rPr>
        <w:t>not</w:t>
      </w:r>
      <w:r>
        <w:t xml:space="preserve"> touch:</w:t>
      </w:r>
    </w:p>
    <w:p>
      <w:pPr>
        <w:pStyle w:val="ListBullet"/>
      </w:pPr>
      <w:r>
        <w:t>Custom org-created templates (no mapping shipped). The org admin</w:t>
      </w:r>
    </w:p>
    <w:p>
      <w:r>
        <w:t>picks a dimension per question in the template editor — see §3.2.</w:t>
      </w:r>
    </w:p>
    <w:p>
      <w:pPr>
        <w:pStyle w:val="ListBullet"/>
      </w:pPr>
      <w:r>
        <w:t xml:space="preserve">Translation copies (anything with </w:t>
      </w:r>
      <w:r>
        <w:rPr>
          <w:rFonts w:ascii="Consolas" w:hAnsi="Consolas"/>
          <w:sz w:val="20"/>
          <w:shd w:val="clear" w:fill="F2F2F2"/>
        </w:rPr>
        <w:t>sourceTemplateId</w:t>
      </w:r>
      <w:r>
        <w:t>) — those inherit</w:t>
      </w:r>
    </w:p>
    <w:p>
      <w:r>
        <w:t>their parent's dimensions when surfaced through the analyzer.</w:t>
      </w:r>
    </w:p>
    <w:p>
      <w:pPr>
        <w:pStyle w:val="Heading3"/>
      </w:pPr>
      <w:r>
        <w:t>2.2 (Optional) Tune the org quality policy</w:t>
      </w:r>
    </w:p>
    <w:p>
      <w:r>
        <w:t xml:space="preserve">Defaults are conservative — flag-but-include, never auto-reject. They live on </w:t>
      </w:r>
      <w:r>
        <w:rPr>
          <w:rFonts w:ascii="Consolas" w:hAnsi="Consolas"/>
          <w:sz w:val="20"/>
          <w:shd w:val="clear" w:fill="F2F2F2"/>
        </w:rPr>
        <w:t>Organization.surveyQualityPolicy</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Default</w:t>
            </w:r>
          </w:p>
        </w:tc>
        <w:tc>
          <w:tcPr>
            <w:tcW w:type="dxa" w:w="2880"/>
          </w:tcPr>
          <w:p>
            <w:r>
              <w:rPr>
                <w:b/>
              </w:rPr>
            </w:r>
            <w:r>
              <w:rPr>
                <w:b/>
              </w:rPr>
              <w:t>Effect</w:t>
            </w:r>
          </w:p>
        </w:tc>
      </w:tr>
      <w:tr>
        <w:tc>
          <w:tcPr>
            <w:tcW w:type="dxa" w:w="2880"/>
          </w:tcPr>
          <w:p>
            <w:r/>
            <w:r>
              <w:rPr>
                <w:rFonts w:ascii="Consolas" w:hAnsi="Consolas"/>
                <w:sz w:val="20"/>
                <w:shd w:val="clear" w:fill="F2F2F2"/>
              </w:rPr>
              <w:t>qualityThreshold</w:t>
            </w:r>
          </w:p>
        </w:tc>
        <w:tc>
          <w:tcPr>
            <w:tcW w:type="dxa" w:w="2880"/>
          </w:tcPr>
          <w:p>
            <w:r/>
            <w:r>
              <w:rPr>
                <w:rFonts w:ascii="Consolas" w:hAnsi="Consolas"/>
                <w:sz w:val="20"/>
                <w:shd w:val="clear" w:fill="F2F2F2"/>
              </w:rPr>
              <w:t>0.35</w:t>
            </w:r>
          </w:p>
        </w:tc>
        <w:tc>
          <w:tcPr>
            <w:tcW w:type="dxa" w:w="2880"/>
          </w:tcPr>
          <w:p>
            <w:r/>
            <w:r>
              <w:t>Responses scoring below this are excluded from analysis</w:t>
            </w:r>
          </w:p>
        </w:tc>
      </w:tr>
      <w:tr>
        <w:tc>
          <w:tcPr>
            <w:tcW w:type="dxa" w:w="2880"/>
          </w:tcPr>
          <w:p>
            <w:r/>
            <w:r>
              <w:rPr>
                <w:rFonts w:ascii="Consolas" w:hAnsi="Consolas"/>
                <w:sz w:val="20"/>
                <w:shd w:val="clear" w:fill="F2F2F2"/>
              </w:rPr>
              <w:t>longStringMaxFraction</w:t>
            </w:r>
          </w:p>
        </w:tc>
        <w:tc>
          <w:tcPr>
            <w:tcW w:type="dxa" w:w="2880"/>
          </w:tcPr>
          <w:p>
            <w:r/>
            <w:r>
              <w:rPr>
                <w:rFonts w:ascii="Consolas" w:hAnsi="Consolas"/>
                <w:sz w:val="20"/>
                <w:shd w:val="clear" w:fill="F2F2F2"/>
              </w:rPr>
              <w:t>0.80</w:t>
            </w:r>
          </w:p>
        </w:tc>
        <w:tc>
          <w:tcPr>
            <w:tcW w:type="dxa" w:w="2880"/>
          </w:tcPr>
          <w:p>
            <w:r/>
            <w:r>
              <w:t xml:space="preserve">≥80% identical answers ⇒ </w:t>
            </w:r>
            <w:r>
              <w:rPr>
                <w:rFonts w:ascii="Consolas" w:hAnsi="Consolas"/>
                <w:sz w:val="20"/>
                <w:shd w:val="clear" w:fill="F2F2F2"/>
              </w:rPr>
              <w:t>longString</w:t>
            </w:r>
            <w:r>
              <w:t xml:space="preserve"> flag</w:t>
            </w:r>
          </w:p>
        </w:tc>
      </w:tr>
      <w:tr>
        <w:tc>
          <w:tcPr>
            <w:tcW w:type="dxa" w:w="2880"/>
          </w:tcPr>
          <w:p>
            <w:r/>
            <w:r>
              <w:rPr>
                <w:rFonts w:ascii="Consolas" w:hAnsi="Consolas"/>
                <w:sz w:val="20"/>
                <w:shd w:val="clear" w:fill="F2F2F2"/>
              </w:rPr>
              <w:t>minSubgroupN</w:t>
            </w:r>
          </w:p>
        </w:tc>
        <w:tc>
          <w:tcPr>
            <w:tcW w:type="dxa" w:w="2880"/>
          </w:tcPr>
          <w:p>
            <w:r/>
            <w:r>
              <w:rPr>
                <w:rFonts w:ascii="Consolas" w:hAnsi="Consolas"/>
                <w:sz w:val="20"/>
                <w:shd w:val="clear" w:fill="F2F2F2"/>
              </w:rPr>
              <w:t>3</w:t>
            </w:r>
          </w:p>
        </w:tc>
        <w:tc>
          <w:tcPr>
            <w:tcW w:type="dxa" w:w="2880"/>
          </w:tcPr>
          <w:p>
            <w:r/>
            <w:r>
              <w:t>(Phase 2 — subgroup clustering)</w:t>
            </w:r>
          </w:p>
        </w:tc>
      </w:tr>
      <w:tr>
        <w:tc>
          <w:tcPr>
            <w:tcW w:type="dxa" w:w="2880"/>
          </w:tcPr>
          <w:p>
            <w:r/>
            <w:r>
              <w:rPr>
                <w:rFonts w:ascii="Consolas" w:hAnsi="Consolas"/>
                <w:sz w:val="20"/>
                <w:shd w:val="clear" w:fill="F2F2F2"/>
              </w:rPr>
              <w:t>showSubgroupAnalysis</w:t>
            </w:r>
          </w:p>
        </w:tc>
        <w:tc>
          <w:tcPr>
            <w:tcW w:type="dxa" w:w="2880"/>
          </w:tcPr>
          <w:p>
            <w:r/>
            <w:r>
              <w:rPr>
                <w:rFonts w:ascii="Consolas" w:hAnsi="Consolas"/>
                <w:sz w:val="20"/>
                <w:shd w:val="clear" w:fill="F2F2F2"/>
              </w:rPr>
              <w:t>true</w:t>
            </w:r>
          </w:p>
        </w:tc>
        <w:tc>
          <w:tcPr>
            <w:tcW w:type="dxa" w:w="2880"/>
          </w:tcPr>
          <w:p>
            <w:r/>
            <w:r>
              <w:t>(Phase 2)</w:t>
            </w:r>
          </w:p>
        </w:tc>
      </w:tr>
    </w:tbl>
    <w:p/>
    <w:p>
      <w:r>
        <w:t>Helena's tenant currently inherits all defaults. Override only if a specific org's data justifies it.</w:t>
      </w:r>
    </w:p>
    <w:p>
      <w:pPr>
        <w:pStyle w:val="Heading3"/>
      </w:pPr>
      <w:r>
        <w:t>2.3 Verify the UI</w:t>
      </w:r>
    </w:p>
    <w:p>
      <w:pPr>
        <w:pStyle w:val="ListNumber"/>
      </w:pPr>
      <w:r>
        <w:t xml:space="preserve">Sign in as </w:t>
      </w:r>
      <w:r>
        <w:rPr>
          <w:rFonts w:ascii="Consolas" w:hAnsi="Consolas"/>
          <w:sz w:val="20"/>
          <w:shd w:val="clear" w:fill="F2F2F2"/>
        </w:rPr>
        <w:t>admin</w:t>
      </w:r>
      <w:r>
        <w:t xml:space="preserve"> or </w:t>
      </w:r>
      <w:r>
        <w:rPr>
          <w:rFonts w:ascii="Consolas" w:hAnsi="Consolas"/>
          <w:sz w:val="20"/>
          <w:shd w:val="clear" w:fill="F2F2F2"/>
        </w:rPr>
        <w:t>hr_manager</w:t>
      </w:r>
      <w:r>
        <w:t>.</w:t>
      </w:r>
    </w:p>
    <w:p>
      <w:pPr>
        <w:pStyle w:val="ListNumber"/>
      </w:pPr>
      <w:r>
        <w:t xml:space="preserve">Open </w:t>
      </w:r>
      <w:r>
        <w:rPr>
          <w:b/>
        </w:rPr>
        <w:t>Conflict → Dashboard</w:t>
      </w:r>
      <w:r>
        <w:t xml:space="preserve">. The new </w:t>
      </w:r>
      <w:r>
        <w:rPr>
          <w:b/>
        </w:rPr>
        <w:t>Team Alignment</w:t>
      </w:r>
      <w:r>
        <w:t xml:space="preserve"> tile</w:t>
      </w:r>
    </w:p>
    <w:p>
      <w:pPr>
        <w:ind w:left="720"/>
      </w:pPr>
      <w:r>
        <w:t>appears below the Risk Snapshot when at least one analysis has</w:t>
      </w:r>
    </w:p>
    <w:p>
      <w:pPr>
        <w:ind w:left="720"/>
      </w:pPr>
      <w:r>
        <w:t>metrics. The first time, it'll only show after the next analysis</w:t>
      </w:r>
    </w:p>
    <w:p>
      <w:pPr>
        <w:ind w:left="720"/>
      </w:pPr>
      <w:r>
        <w:t>is run.</w:t>
      </w:r>
    </w:p>
    <w:p>
      <w:pPr>
        <w:pStyle w:val="ListNumber"/>
      </w:pPr>
      <w:r>
        <w:t>Open any conflict analysis (run a new one if all existing analyses</w:t>
      </w:r>
    </w:p>
    <w:p>
      <w:pPr>
        <w:ind w:left="720"/>
      </w:pPr>
      <w:r>
        <w:t xml:space="preserve">pre-date this release). A </w:t>
      </w:r>
      <w:r>
        <w:rPr>
          <w:b/>
        </w:rPr>
        <w:t>Divergence Signals</w:t>
      </w:r>
      <w:r>
        <w:t xml:space="preserve"> tab appears</w:t>
      </w:r>
    </w:p>
    <w:p>
      <w:pPr>
        <w:ind w:left="720"/>
      </w:pPr>
      <w:r>
        <w:t xml:space="preserve">between </w:t>
      </w:r>
      <w:r>
        <w:rPr>
          <w:i/>
        </w:rPr>
        <w:t>AI Recommended Actions</w:t>
      </w:r>
      <w:r>
        <w:t xml:space="preserve"> and </w:t>
      </w:r>
      <w:r>
        <w:rPr>
          <w:i/>
        </w:rPr>
        <w:t>Professional Review</w:t>
      </w:r>
      <w:r>
        <w:t>.</w:t>
      </w:r>
    </w:p>
    <w:p>
      <w:r>
        <w:t xml:space="preserve">Legacy analyses (created before this release) keep working; they simply don't show the divergence tab — the metric fields are absent on those older </w:t>
      </w:r>
      <w:r>
        <w:rPr>
          <w:rFonts w:ascii="Consolas" w:hAnsi="Consolas"/>
          <w:sz w:val="20"/>
          <w:shd w:val="clear" w:fill="F2F2F2"/>
        </w:rPr>
        <w:t>ConflictAnalysis</w:t>
      </w:r>
      <w:r>
        <w:t xml:space="preserve"> documents.</w:t>
      </w:r>
    </w:p>
    <w:p>
      <w:pPr>
        <w:pBdr>
          <w:bottom w:val="single" w:sz="6" w:space="1" w:color="888888"/>
        </w:pBdr>
      </w:pPr>
    </w:p>
    <w:p>
      <w:pPr>
        <w:pStyle w:val="Heading2"/>
      </w:pPr>
      <w:r>
        <w:t>3. Day-to-day use</w:t>
      </w:r>
    </w:p>
    <w:p>
      <w:pPr>
        <w:pStyle w:val="Heading3"/>
      </w:pPr>
      <w:r>
        <w:t>3.1 Reading a divergence panel</w:t>
      </w:r>
    </w:p>
    <w:p>
      <w:r>
        <w:t xml:space="preserve">Each conflict-analysis detail page now has the </w:t>
      </w:r>
      <w:r>
        <w:rPr>
          <w:b/>
        </w:rPr>
        <w:t>Divergence Signals</w:t>
      </w:r>
      <w:r>
        <w:t xml:space="preserve"> tab. From top to bottom:</w:t>
      </w:r>
    </w:p>
    <w:p>
      <w:r>
        <w:rPr>
          <w:b/>
        </w:rPr>
        <w:t>Response quality card</w:t>
      </w:r>
      <w:r>
        <w:t xml:space="preserve"> — </w:t>
      </w:r>
      <w:r>
        <w:rPr>
          <w:i/>
        </w:rPr>
        <w:t>“11 of 12 responses included in this analysis. 1 flagged for low engagement excluded.”</w:t>
      </w:r>
      <w:r>
        <w:t xml:space="preserve"> If this number differs from the headline respondent count, the difference is </w:t>
      </w:r>
      <w:r>
        <w:rPr>
          <w:i/>
        </w:rPr>
        <w:t>quality exclusions only</w:t>
      </w:r>
      <w:r>
        <w:t>. Click the info icon for the exact criteria.</w:t>
      </w:r>
    </w:p>
    <w:p>
      <w:r>
        <w:rPr>
          <w:b/>
        </w:rPr>
        <w:t>Team Alignment meter</w:t>
      </w:r>
      <w:r>
        <w:t xml:space="preserve"> — the same 0–100 / banded score that shows on the dashboard tile. Computed as the mean </w:t>
      </w:r>
      <w:r>
        <w:rPr>
          <w:rFonts w:ascii="Consolas" w:hAnsi="Consolas"/>
          <w:sz w:val="20"/>
          <w:shd w:val="clear" w:fill="F2F2F2"/>
        </w:rPr>
        <w:t>r_wg</w:t>
      </w:r>
      <w:r>
        <w:t xml:space="preserve"> across all items of this analysis. Three coloured bands:</w:t>
      </w:r>
    </w:p>
    <w:p>
      <w:pPr>
        <w:pStyle w:val="ListBullet"/>
      </w:pPr>
      <w:r>
        <w:rPr>
          <w:b/>
        </w:rPr>
        <w:t>Aligned (≥70):</w:t>
      </w:r>
      <w:r>
        <w:t xml:space="preserve"> the team is reporting consistent experience</w:t>
      </w:r>
    </w:p>
    <w:p>
      <w:pPr>
        <w:pStyle w:val="ListBullet"/>
      </w:pPr>
      <w:r>
        <w:rPr>
          <w:b/>
        </w:rPr>
        <w:t>Mixed (40–69):</w:t>
      </w:r>
      <w:r>
        <w:t xml:space="preserve"> noticeable spread, expected on a busy team</w:t>
      </w:r>
    </w:p>
    <w:p>
      <w:pPr>
        <w:pStyle w:val="ListBullet"/>
      </w:pPr>
      <w:r>
        <w:rPr>
          <w:b/>
        </w:rPr>
        <w:t>Fractured (&lt;40):</w:t>
      </w:r>
      <w:r>
        <w:t xml:space="preserve"> people are not seeing the same workplace</w:t>
      </w:r>
    </w:p>
    <w:p>
      <w:r>
        <w:rPr>
          <w:b/>
        </w:rPr>
        <w:t>Dimensional Divergence table</w:t>
      </w:r>
      <w:r>
        <w:t xml:space="preserve"> — one row per dimension. Read right-to-left: a high </w:t>
      </w:r>
      <w:r>
        <w:rPr>
          <w:i/>
        </w:rPr>
        <w:t>Disagreement</w:t>
      </w:r>
      <w:r>
        <w:t xml:space="preserve"> number with a low </w:t>
      </w:r>
      <w:r>
        <w:rPr>
          <w:i/>
        </w:rPr>
        <w:t>Agreement</w:t>
      </w:r>
      <w:r>
        <w:t xml:space="preserve"> (</w:t>
      </w:r>
      <w:r>
        <w:rPr>
          <w:rFonts w:ascii="Consolas" w:hAnsi="Consolas"/>
          <w:sz w:val="20"/>
          <w:shd w:val="clear" w:fill="F2F2F2"/>
        </w:rPr>
        <w:t>r_wg</w:t>
      </w:r>
      <w:r>
        <w:t xml:space="preserve">) means the team is genuinely split on that area. </w:t>
      </w:r>
      <w:r>
        <w:rPr>
          <w:i/>
        </w:rPr>
        <w:t>Mean</w:t>
      </w:r>
      <w:r>
        <w:t xml:space="preserve"> tells you the direction (low ≈ bad, high ≈ good, depending on the instrument).</w:t>
      </w:r>
    </w:p>
    <w:p>
      <w:r>
        <w:rPr>
          <w:b/>
        </w:rPr>
        <w:t>Most Divergent Items</w:t>
      </w:r>
      <w:r>
        <w:t xml:space="preserve"> — up to 10 items, lowest </w:t>
      </w:r>
      <w:r>
        <w:rPr>
          <w:rFonts w:ascii="Consolas" w:hAnsi="Consolas"/>
          <w:sz w:val="20"/>
          <w:shd w:val="clear" w:fill="F2F2F2"/>
        </w:rPr>
        <w:t>r_wg</w:t>
      </w:r>
      <w:r>
        <w:t xml:space="preserve"> first, with items flagged as </w:t>
      </w:r>
      <w:r>
        <w:rPr>
          <w:b/>
        </w:rPr>
        <w:t>Split</w:t>
      </w:r>
      <w:r>
        <w:t xml:space="preserve"> (bimodality coefficient &gt; 0.555) prioritised. Each card shows the item text, mean, sd, </w:t>
      </w:r>
      <w:r>
        <w:rPr>
          <w:rFonts w:ascii="Consolas" w:hAnsi="Consolas"/>
          <w:sz w:val="20"/>
          <w:shd w:val="clear" w:fill="F2F2F2"/>
        </w:rPr>
        <w:t>r_wg</w:t>
      </w:r>
      <w:r>
        <w:t>, and the dimension it rolls up to.</w:t>
      </w:r>
    </w:p>
    <w:p>
      <w:r>
        <w:rPr>
          <w:b/>
        </w:rPr>
        <w:t>Disclaimer</w:t>
      </w:r>
      <w:r>
        <w:t xml:space="preserve"> — the standing copy at the bottom is non-negotiable guidance copy. Don't override it locally.</w:t>
      </w:r>
    </w:p>
    <w:p>
      <w:pPr>
        <w:pStyle w:val="Heading3"/>
      </w:pPr>
      <w:r>
        <w:t>3.2 Adding a dimension to a new template</w:t>
      </w:r>
    </w:p>
    <w:p>
      <w:r>
        <w:t>When creating or editing a template:</w:t>
      </w:r>
    </w:p>
    <w:p>
      <w:pPr>
        <w:pStyle w:val="ListNumber"/>
      </w:pPr>
      <w:r>
        <w:t xml:space="preserve">Open </w:t>
      </w:r>
      <w:r>
        <w:rPr>
          <w:b/>
        </w:rPr>
        <w:t>Assessment Hub → Manage Templates → New / Edit</w:t>
      </w:r>
      <w:r>
        <w:t>.</w:t>
      </w:r>
    </w:p>
    <w:p>
      <w:pPr>
        <w:pStyle w:val="ListNumber"/>
      </w:pPr>
      <w:r>
        <w:t xml:space="preserve">For each question, the </w:t>
      </w:r>
      <w:r>
        <w:rPr>
          <w:b/>
        </w:rPr>
        <w:t>Dimension</w:t>
      </w:r>
      <w:r>
        <w:t xml:space="preserve"> field (next to </w:t>
      </w:r>
      <w:r>
        <w:rPr>
          <w:i/>
        </w:rPr>
        <w:t>Subscale</w:t>
      </w:r>
      <w:r>
        <w:t>)</w:t>
      </w:r>
    </w:p>
    <w:p>
      <w:pPr>
        <w:ind w:left="720"/>
      </w:pPr>
      <w:r>
        <w:t>accepts free-form text or one of the 13 suggested labels:</w:t>
      </w:r>
    </w:p>
    <w:p>
      <w:pPr>
        <w:ind w:left="720"/>
      </w:pPr>
      <w:r>
        <w:t>- Psychological Safety, Communication, Trust, Role Clarity,</w:t>
      </w:r>
    </w:p>
    <w:p>
      <w:pPr>
        <w:ind w:left="720"/>
      </w:pPr>
      <w:r>
        <w:t>Workload &amp; Resources, Conflict Resolution Skills,</w:t>
      </w:r>
    </w:p>
    <w:p>
      <w:pPr>
        <w:ind w:left="720"/>
      </w:pPr>
      <w:r>
        <w:t>Conflict Frequency / Tension, Management Effectiveness,</w:t>
      </w:r>
    </w:p>
    <w:p>
      <w:pPr>
        <w:ind w:left="720"/>
      </w:pPr>
      <w:r>
        <w:t>Escalation Intent, Wellbeing &amp; Belonging</w:t>
      </w:r>
    </w:p>
    <w:p>
      <w:pPr>
        <w:ind w:left="720"/>
      </w:pPr>
      <w:r>
        <w:t>- Plus three psychometric labels: Conflict Style, Conflict</w:t>
      </w:r>
    </w:p>
    <w:p>
      <w:pPr>
        <w:ind w:left="720"/>
      </w:pPr>
      <w:r>
        <w:t>Behavior, Task / Relationship / Process Conflict</w:t>
      </w:r>
    </w:p>
    <w:p>
      <w:pPr>
        <w:pStyle w:val="ListNumber"/>
      </w:pPr>
      <w:r>
        <w:t>Items sharing a dimension aggregate together in the divergence</w:t>
      </w:r>
    </w:p>
    <w:p>
      <w:pPr>
        <w:ind w:left="720"/>
      </w:pPr>
      <w:r>
        <w:t xml:space="preserve">panel. Items with no dimension fall into an </w:t>
      </w:r>
      <w:r>
        <w:rPr>
          <w:i/>
        </w:rPr>
        <w:t>Ungrouped</w:t>
      </w:r>
      <w:r>
        <w:t xml:space="preserve"> bucket.</w:t>
      </w:r>
    </w:p>
    <w:p>
      <w:r>
        <w:t>You don't have to tag every item — but the more you tag, the richer the dimensional view becomes.</w:t>
      </w:r>
    </w:p>
    <w:p>
      <w:pPr>
        <w:pStyle w:val="Heading3"/>
      </w:pPr>
      <w:r>
        <w:t>3.3 Using divergence in a coaching / management conversation</w:t>
      </w:r>
    </w:p>
    <w:p>
      <w:r>
        <w:t xml:space="preserve">The intent is to help the manager ask </w:t>
      </w:r>
      <w:r>
        <w:rPr>
          <w:b/>
        </w:rPr>
        <w:t>better questions</w:t>
      </w:r>
      <w:r>
        <w:t>, not to identify which respondent is the problem. Some patterns to watch for: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Signal</w:t>
            </w:r>
          </w:p>
        </w:tc>
        <w:tc>
          <w:tcPr>
            <w:tcW w:type="dxa" w:w="2880"/>
          </w:tcPr>
          <w:p>
            <w:r>
              <w:rPr>
                <w:b/>
              </w:rPr>
            </w:r>
            <w:r>
              <w:rPr>
                <w:b/>
              </w:rPr>
              <w:t>What it might mean</w:t>
            </w:r>
          </w:p>
        </w:tc>
        <w:tc>
          <w:tcPr>
            <w:tcW w:type="dxa" w:w="2880"/>
          </w:tcPr>
          <w:p>
            <w:r>
              <w:rPr>
                <w:b/>
              </w:rPr>
            </w:r>
            <w:r>
              <w:rPr>
                <w:b/>
              </w:rPr>
              <w:t>What to do</w:t>
            </w:r>
          </w:p>
        </w:tc>
      </w:tr>
      <w:tr>
        <w:tc>
          <w:tcPr>
            <w:tcW w:type="dxa" w:w="2880"/>
          </w:tcPr>
          <w:p>
            <w:r/>
            <w:r>
              <w:t xml:space="preserve">Team alignment </w:t>
            </w:r>
            <w:r>
              <w:rPr>
                <w:b/>
              </w:rPr>
              <w:t>Aligned</w:t>
            </w:r>
            <w:r>
              <w:t xml:space="preserve">, mean </w:t>
            </w:r>
            <w:r>
              <w:rPr>
                <w:b/>
              </w:rPr>
              <w:t>low</w:t>
            </w:r>
          </w:p>
        </w:tc>
        <w:tc>
          <w:tcPr>
            <w:tcW w:type="dxa" w:w="2880"/>
          </w:tcPr>
          <w:p>
            <w:r/>
            <w:r>
              <w:t>Team agrees things are bad</w:t>
            </w:r>
          </w:p>
        </w:tc>
        <w:tc>
          <w:tcPr>
            <w:tcW w:type="dxa" w:w="2880"/>
          </w:tcPr>
          <w:p>
            <w:r/>
            <w:r>
              <w:t>Address the underlying issue directly</w:t>
            </w:r>
          </w:p>
        </w:tc>
      </w:tr>
      <w:tr>
        <w:tc>
          <w:tcPr>
            <w:tcW w:type="dxa" w:w="2880"/>
          </w:tcPr>
          <w:p>
            <w:r/>
            <w:r>
              <w:t xml:space="preserve">Team alignment </w:t>
            </w:r>
            <w:r>
              <w:rPr>
                <w:b/>
              </w:rPr>
              <w:t>Aligned</w:t>
            </w:r>
            <w:r>
              <w:t xml:space="preserve">, mean </w:t>
            </w:r>
            <w:r>
              <w:rPr>
                <w:b/>
              </w:rPr>
              <w:t>high</w:t>
            </w:r>
          </w:p>
        </w:tc>
        <w:tc>
          <w:tcPr>
            <w:tcW w:type="dxa" w:w="2880"/>
          </w:tcPr>
          <w:p>
            <w:r/>
            <w:r>
              <w:t>Healthy team</w:t>
            </w:r>
          </w:p>
        </w:tc>
        <w:tc>
          <w:tcPr>
            <w:tcW w:type="dxa" w:w="2880"/>
          </w:tcPr>
          <w:p>
            <w:r/>
            <w:r>
              <w:t>Maintain &amp; document what's working</w:t>
            </w:r>
          </w:p>
        </w:tc>
      </w:tr>
      <w:tr>
        <w:tc>
          <w:tcPr>
            <w:tcW w:type="dxa" w:w="2880"/>
          </w:tcPr>
          <w:p>
            <w:r/>
            <w:r>
              <w:t xml:space="preserve">Team alignment </w:t>
            </w:r>
            <w:r>
              <w:rPr>
                <w:b/>
              </w:rPr>
              <w:t>Fractured</w:t>
            </w:r>
            <w:r>
              <w:t>, no item split</w:t>
            </w:r>
          </w:p>
        </w:tc>
        <w:tc>
          <w:tcPr>
            <w:tcW w:type="dxa" w:w="2880"/>
          </w:tcPr>
          <w:p>
            <w:r/>
            <w:r>
              <w:t>Diffuse disagreement; possibly multiple unrelated frustrations</w:t>
            </w:r>
          </w:p>
        </w:tc>
        <w:tc>
          <w:tcPr>
            <w:tcW w:type="dxa" w:w="2880"/>
          </w:tcPr>
          <w:p>
            <w:r/>
            <w:r>
              <w:t>Open conversation, not a focused intervention</w:t>
            </w:r>
          </w:p>
        </w:tc>
      </w:tr>
      <w:tr>
        <w:tc>
          <w:tcPr>
            <w:tcW w:type="dxa" w:w="2880"/>
          </w:tcPr>
          <w:p>
            <w:r/>
            <w:r>
              <w:rPr>
                <w:b/>
              </w:rPr>
              <w:t>Split</w:t>
            </w:r>
            <w:r>
              <w:t xml:space="preserve"> flag on a specific item</w:t>
            </w:r>
          </w:p>
        </w:tc>
        <w:tc>
          <w:tcPr>
            <w:tcW w:type="dxa" w:w="2880"/>
          </w:tcPr>
          <w:p>
            <w:r/>
            <w:r>
              <w:t>Two different lived experiences of the same thing</w:t>
            </w:r>
          </w:p>
        </w:tc>
        <w:tc>
          <w:tcPr>
            <w:tcW w:type="dxa" w:w="2880"/>
          </w:tcPr>
          <w:p>
            <w:r/>
            <w:r>
              <w:t>Likely a structural divide (role / shift / tenure) — design a focus group, not a confrontation</w:t>
            </w:r>
          </w:p>
        </w:tc>
      </w:tr>
      <w:tr>
        <w:tc>
          <w:tcPr>
            <w:tcW w:type="dxa" w:w="2880"/>
          </w:tcPr>
          <w:p>
            <w:r/>
            <w:r>
              <w:t>Single dimension with high disagreement, others fine</w:t>
            </w:r>
          </w:p>
        </w:tc>
        <w:tc>
          <w:tcPr>
            <w:tcW w:type="dxa" w:w="2880"/>
          </w:tcPr>
          <w:p>
            <w:r/>
            <w:r>
              <w:t>Targeted issue worth a focused intervention</w:t>
            </w:r>
          </w:p>
        </w:tc>
        <w:tc>
          <w:tcPr>
            <w:tcW w:type="dxa" w:w="2880"/>
          </w:tcPr>
          <w:p>
            <w:r/>
            <w:r>
              <w:t>Use the items list to prioritise the next conversation</w:t>
            </w:r>
          </w:p>
        </w:tc>
      </w:tr>
    </w:tbl>
    <w:p/>
    <w:p>
      <w:r>
        <w:rPr>
          <w:b/>
        </w:rPr>
        <w:t>Never</w:t>
      </w:r>
      <w:r>
        <w:t xml:space="preserve"> treat divergence as identity — minority voices may be reporting reality more accurately than the majority.</w:t>
      </w:r>
    </w:p>
    <w:p>
      <w:pPr>
        <w:pBdr>
          <w:bottom w:val="single" w:sz="6" w:space="1" w:color="888888"/>
        </w:pBdr>
      </w:pPr>
    </w:p>
    <w:p>
      <w:pPr>
        <w:pStyle w:val="Heading2"/>
      </w:pPr>
      <w:r>
        <w:t>4. Phase 2 — subgroup detection (NOW SHIPPED)</w:t>
      </w:r>
    </w:p>
    <w:p>
      <w:r>
        <w:t xml:space="preserve">A new </w:t>
      </w:r>
      <w:r>
        <w:rPr>
          <w:b/>
        </w:rPr>
        <w:t>Subgroup Patterns</w:t>
      </w:r>
      <w:r>
        <w:t xml:space="preserve"> card appears inside the Divergence Signals tab when k-means clustering on the response vectors yields a significant structure. Conditions:</w:t>
      </w:r>
    </w:p>
    <w:p>
      <w:pPr>
        <w:pStyle w:val="ListBullet"/>
      </w:pPr>
      <w:r>
        <w:t>≥10 accepted responses in the analysis (org policy can raise but</w:t>
      </w:r>
    </w:p>
    <w:p>
      <w:r>
        <w:t>not lower the floor; default 10).</w:t>
      </w:r>
    </w:p>
    <w:p>
      <w:pPr>
        <w:pStyle w:val="ListBullet"/>
      </w:pPr>
      <w:r>
        <w:t>Best k (tried at k=2 and k=3) yields silhouette score ≥0.5.</w:t>
      </w:r>
    </w:p>
    <w:p>
      <w:pPr>
        <w:pStyle w:val="ListBullet"/>
      </w:pPr>
      <w:r>
        <w:t>Every cluster has ≥</w:t>
      </w:r>
      <w:r>
        <w:rPr>
          <w:rFonts w:ascii="Consolas" w:hAnsi="Consolas"/>
          <w:sz w:val="20"/>
          <w:shd w:val="clear" w:fill="F2F2F2"/>
        </w:rPr>
        <w:t>minSubgroupN</w:t>
      </w:r>
      <w:r>
        <w:t xml:space="preserve"> members (default 3, configurable</w:t>
      </w:r>
    </w:p>
    <w:p>
      <w:r>
        <w:t>in Org Settings → Survey Quality Policy).</w:t>
      </w:r>
    </w:p>
    <w:p>
      <w:r>
        <w:t>If any of those gates fail, no subgroup card appears — the rest of the divergence tab still renders.</w:t>
      </w:r>
    </w:p>
    <w:p>
      <w:pPr>
        <w:pStyle w:val="Heading3"/>
      </w:pPr>
      <w:r>
        <w:t>What you see</w:t>
      </w:r>
    </w:p>
    <w:p>
      <w:pPr>
        <w:pStyle w:val="ListBullet"/>
      </w:pPr>
      <w:r>
        <w:t>A stacked bar showing relative cluster sizes (e.g. "A · 6  B · 5").</w:t>
      </w:r>
    </w:p>
    <w:p>
      <w:pPr>
        <w:pStyle w:val="ListBullet"/>
      </w:pPr>
      <w:r>
        <w:t>Per-cluster cards with the cluster's mean across each tagged</w:t>
      </w:r>
    </w:p>
    <w:p>
      <w:r>
        <w:t>dimension and the top 3 items where this cluster differs most from the overall mean.</w:t>
      </w:r>
    </w:p>
    <w:p>
      <w:pPr>
        <w:pStyle w:val="ListBullet"/>
      </w:pPr>
      <w:r>
        <w:t>A persistent disclaimer: *"Subgroup patterns are statistical</w:t>
      </w:r>
    </w:p>
    <w:p>
      <w:r>
        <w:t>clusters, not social groupings. They may reflect role, shift, tenure, or recent experience — they do not identify 'sides' of a conflict."*</w:t>
      </w:r>
    </w:p>
    <w:p>
      <w:pPr>
        <w:pStyle w:val="Heading3"/>
      </w:pPr>
      <w:r>
        <w:t>What we never publish</w:t>
      </w:r>
    </w:p>
    <w:p>
      <w:pPr>
        <w:pStyle w:val="ListBullet"/>
      </w:pPr>
      <w:r>
        <w:t>Cluster membership (which respondent is in which cluster).</w:t>
      </w:r>
    </w:p>
    <w:p>
      <w:pPr>
        <w:pStyle w:val="ListBullet"/>
      </w:pPr>
      <w:r>
        <w:t>Cluster IDs that could be cross-referenced with assignment lists.</w:t>
      </w:r>
    </w:p>
    <w:p>
      <w:pPr>
        <w:pStyle w:val="ListBullet"/>
      </w:pPr>
      <w:r>
        <w:t>Anything below the minimum-N floor.</w:t>
      </w:r>
    </w:p>
    <w:p>
      <w:pPr>
        <w:pStyle w:val="Heading3"/>
      </w:pPr>
      <w:r>
        <w:t>AI prompt</w:t>
      </w:r>
    </w:p>
    <w:p>
      <w:r>
        <w:t>The user-message divergence block now includes a SUBGROUP STRUCTURE section when subgroup analysis is present. The INTERPRETATION GUIDANCE paragraph instructs Claude to treat clusters as statistical patterns, not social factions, and never to speculate about who belongs to which cluster.</w:t>
      </w:r>
    </w:p>
    <w:p>
      <w:pPr>
        <w:pStyle w:val="Heading3"/>
      </w:pPr>
      <w:r>
        <w:t>Org-level admin controls (Settings → Organization)</w:t>
      </w:r>
    </w:p>
    <w:p>
      <w:r>
        <w:t xml:space="preserve">A new </w:t>
      </w:r>
      <w:r>
        <w:rPr>
          <w:b/>
        </w:rPr>
        <w:t>Survey Quality Policy</w:t>
      </w:r>
      <w:r>
        <w:t xml:space="preserve"> card exposes:</w:t>
      </w:r>
    </w:p>
    <w:p>
      <w:pPr>
        <w:pStyle w:val="ListBullet"/>
      </w:pPr>
      <w:r>
        <w:t>Quality threshold (default 0.35) — exclusion floor for the</w:t>
      </w:r>
    </w:p>
    <w:p>
      <w:r>
        <w:t>per-response quality score.</w:t>
      </w:r>
    </w:p>
    <w:p>
      <w:pPr>
        <w:pStyle w:val="ListBullet"/>
      </w:pPr>
      <w:r>
        <w:t>Max same-answer fraction (default 80%) — long-string flag.</w:t>
      </w:r>
    </w:p>
    <w:p>
      <w:pPr>
        <w:pStyle w:val="ListBullet"/>
      </w:pPr>
      <w:r>
        <w:t>Show subgroup analysis (default ON) — disable to suppress Phase 2</w:t>
      </w:r>
    </w:p>
    <w:p>
      <w:r>
        <w:t>output entirely.</w:t>
      </w:r>
    </w:p>
    <w:p>
      <w:pPr>
        <w:pStyle w:val="ListBullet"/>
      </w:pPr>
      <w:r>
        <w:t>Minimum members per subgroup (default 3) — the anonymity floor.</w:t>
      </w:r>
    </w:p>
    <w:p>
      <w:pPr>
        <w:pStyle w:val="Heading2"/>
      </w:pPr>
      <w:r>
        <w:t xml:space="preserve">5. What this </w:t>
      </w:r>
      <w:r>
        <w:rPr>
          <w:i/>
        </w:rPr>
        <w:t>still</w:t>
      </w:r>
      <w:r>
        <w:t xml:space="preserve"> doesn't do (Phase 3 roadmap)</w:t>
      </w:r>
    </w:p>
    <w:p>
      <w:pPr>
        <w:pStyle w:val="ListBullet"/>
      </w:pPr>
      <w:r>
        <w:rPr>
          <w:b/>
        </w:rPr>
        <w:t>No trap items / consistency pairs.</w:t>
      </w:r>
      <w:r>
        <w:t xml:space="preserve"> Phase 3 will let templates</w:t>
      </w:r>
    </w:p>
    <w:p>
      <w:r>
        <w:t>embed attention checks and reverse-coded item pairs.</w:t>
      </w:r>
    </w:p>
    <w:p>
      <w:pPr>
        <w:pStyle w:val="ListBullet"/>
      </w:pPr>
      <w:r>
        <w:rPr>
          <w:b/>
        </w:rPr>
        <w:t>No timing-based "speeding" flag in production yet.</w:t>
      </w:r>
      <w:r>
        <w:t xml:space="preserve"> The </w:t>
      </w:r>
      <w:r>
        <w:rPr>
          <w:rFonts w:ascii="Consolas" w:hAnsi="Consolas"/>
          <w:sz w:val="20"/>
          <w:shd w:val="clear" w:fill="F2F2F2"/>
        </w:rPr>
        <w:t>survey-take</w:t>
      </w:r>
    </w:p>
    <w:p>
      <w:r>
        <w:t>page captures per-item timing on every submission, but the speeding check is conservative until we have a baseline of timings to calibrate against.</w:t>
      </w:r>
    </w:p>
    <w:p>
      <w:pPr>
        <w:pStyle w:val="ListBullet"/>
      </w:pPr>
      <w:r>
        <w:rPr>
          <w:b/>
        </w:rPr>
        <w:t>No Bayesian Truth Serum or longitudinal calibration.</w:t>
      </w:r>
      <w:r>
        <w:t xml:space="preserve"> Phase 4</w:t>
      </w:r>
    </w:p>
    <w:p>
      <w:r>
        <w:t>research item.</w:t>
      </w:r>
    </w:p>
    <w:p>
      <w:pPr>
        <w:pBdr>
          <w:bottom w:val="single" w:sz="6" w:space="1" w:color="888888"/>
        </w:pBdr>
      </w:pPr>
    </w:p>
    <w:p>
      <w:pPr>
        <w:pStyle w:val="Heading2"/>
      </w:pPr>
      <w:r>
        <w:t>5. Backend / API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Surface</w:t>
            </w:r>
          </w:p>
        </w:tc>
        <w:tc>
          <w:tcPr>
            <w:tcW w:type="dxa" w:w="2880"/>
          </w:tcPr>
          <w:p>
            <w:r>
              <w:rPr>
                <w:b/>
              </w:rPr>
            </w:r>
            <w:r>
              <w:rPr>
                <w:b/>
              </w:rPr>
              <w:t>Where</w:t>
            </w:r>
          </w:p>
        </w:tc>
        <w:tc>
          <w:tcPr>
            <w:tcW w:type="dxa" w:w="2880"/>
          </w:tcPr>
          <w:p>
            <w:r>
              <w:rPr>
                <w:b/>
              </w:rPr>
            </w:r>
            <w:r>
              <w:rPr>
                <w:b/>
              </w:rPr>
              <w:t>Notes</w:t>
            </w:r>
          </w:p>
        </w:tc>
      </w:tr>
      <w:tr>
        <w:tc>
          <w:tcPr>
            <w:tcW w:type="dxa" w:w="2880"/>
          </w:tcPr>
          <w:p>
            <w:r/>
            <w:r>
              <w:t>Compute on submit</w:t>
            </w:r>
          </w:p>
        </w:tc>
        <w:tc>
          <w:tcPr>
            <w:tcW w:type="dxa" w:w="2880"/>
          </w:tcPr>
          <w:p>
            <w:r/>
            <w:r>
              <w:rPr>
                <w:rFonts w:ascii="Consolas" w:hAnsi="Consolas"/>
                <w:sz w:val="20"/>
                <w:shd w:val="clear" w:fill="F2F2F2"/>
              </w:rPr>
              <w:t>survey.routes.ts</w:t>
            </w:r>
            <w:r>
              <w:t xml:space="preserve"> </w:t>
            </w:r>
            <w:r>
              <w:rPr>
                <w:rFonts w:ascii="Consolas" w:hAnsi="Consolas"/>
                <w:sz w:val="20"/>
                <w:shd w:val="clear" w:fill="F2F2F2"/>
              </w:rPr>
              <w:t>/respond</w:t>
            </w:r>
          </w:p>
        </w:tc>
        <w:tc>
          <w:tcPr>
            <w:tcW w:type="dxa" w:w="2880"/>
          </w:tcPr>
          <w:p>
            <w:r/>
            <w:r>
              <w:t xml:space="preserve">Calls </w:t>
            </w:r>
            <w:r>
              <w:rPr>
                <w:rFonts w:ascii="Consolas" w:hAnsi="Consolas"/>
                <w:sz w:val="20"/>
                <w:shd w:val="clear" w:fill="F2F2F2"/>
              </w:rPr>
              <w:t>computeQuality</w:t>
            </w:r>
            <w:r>
              <w:t xml:space="preserve"> and persists </w:t>
            </w:r>
            <w:r>
              <w:rPr>
                <w:rFonts w:ascii="Consolas" w:hAnsi="Consolas"/>
                <w:sz w:val="20"/>
                <w:shd w:val="clear" w:fill="F2F2F2"/>
              </w:rPr>
              <w:t>qualityScore</w:t>
            </w:r>
            <w:r>
              <w:t xml:space="preserve">, </w:t>
            </w:r>
            <w:r>
              <w:rPr>
                <w:rFonts w:ascii="Consolas" w:hAnsi="Consolas"/>
                <w:sz w:val="20"/>
                <w:shd w:val="clear" w:fill="F2F2F2"/>
              </w:rPr>
              <w:t>qualityFlags</w:t>
            </w:r>
            <w:r>
              <w:t xml:space="preserve">, </w:t>
            </w:r>
            <w:r>
              <w:rPr>
                <w:rFonts w:ascii="Consolas" w:hAnsi="Consolas"/>
                <w:sz w:val="20"/>
                <w:shd w:val="clear" w:fill="F2F2F2"/>
              </w:rPr>
              <w:t>acceptedInAnalysis</w:t>
            </w:r>
            <w:r>
              <w:t xml:space="preserve"> on the SurveyResponse. Best-effort — quality scoring failure never blocks a submission.</w:t>
            </w:r>
          </w:p>
        </w:tc>
      </w:tr>
      <w:tr>
        <w:tc>
          <w:tcPr>
            <w:tcW w:type="dxa" w:w="2880"/>
          </w:tcPr>
          <w:p>
            <w:r/>
            <w:r>
              <w:t>Compute on analyze</w:t>
            </w:r>
          </w:p>
        </w:tc>
        <w:tc>
          <w:tcPr>
            <w:tcW w:type="dxa" w:w="2880"/>
          </w:tcPr>
          <w:p>
            <w:r/>
            <w:r>
              <w:rPr>
                <w:rFonts w:ascii="Consolas" w:hAnsi="Consolas"/>
                <w:sz w:val="20"/>
                <w:shd w:val="clear" w:fill="F2F2F2"/>
              </w:rPr>
              <w:t>conflict.controller.ts analyzeConflict</w:t>
            </w:r>
          </w:p>
        </w:tc>
        <w:tc>
          <w:tcPr>
            <w:tcW w:type="dxa" w:w="2880"/>
          </w:tcPr>
          <w:p>
            <w:r/>
            <w:r>
              <w:t xml:space="preserve">Filters responses by </w:t>
            </w:r>
            <w:r>
              <w:rPr>
                <w:rFonts w:ascii="Consolas" w:hAnsi="Consolas"/>
                <w:sz w:val="20"/>
                <w:shd w:val="clear" w:fill="F2F2F2"/>
              </w:rPr>
              <w:t>acceptedInAnalysis</w:t>
            </w:r>
            <w:r>
              <w:t xml:space="preserve">, calls </w:t>
            </w:r>
            <w:r>
              <w:rPr>
                <w:rFonts w:ascii="Consolas" w:hAnsi="Consolas"/>
                <w:sz w:val="20"/>
                <w:shd w:val="clear" w:fill="F2F2F2"/>
              </w:rPr>
              <w:t>computeAllMetrics</w:t>
            </w:r>
            <w:r>
              <w:t xml:space="preserve">, persists </w:t>
            </w:r>
            <w:r>
              <w:rPr>
                <w:rFonts w:ascii="Consolas" w:hAnsi="Consolas"/>
                <w:sz w:val="20"/>
                <w:shd w:val="clear" w:fill="F2F2F2"/>
              </w:rPr>
              <w:t>responseQuality / itemMetrics / dimensionMetrics / teamAlignmentScore</w:t>
            </w:r>
            <w:r>
              <w:t xml:space="preserve"> on the </w:t>
            </w:r>
            <w:r>
              <w:rPr>
                <w:rFonts w:ascii="Consolas" w:hAnsi="Consolas"/>
                <w:sz w:val="20"/>
                <w:shd w:val="clear" w:fill="F2F2F2"/>
              </w:rPr>
              <w:t>ConflictAnalysis</w:t>
            </w:r>
            <w:r>
              <w:t>.</w:t>
            </w:r>
          </w:p>
        </w:tc>
      </w:tr>
      <w:tr>
        <w:tc>
          <w:tcPr>
            <w:tcW w:type="dxa" w:w="2880"/>
          </w:tcPr>
          <w:p>
            <w:r/>
            <w:r>
              <w:t>AI prompt enrichment</w:t>
            </w:r>
          </w:p>
        </w:tc>
        <w:tc>
          <w:tcPr>
            <w:tcW w:type="dxa" w:w="2880"/>
          </w:tcPr>
          <w:p>
            <w:r/>
            <w:r>
              <w:rPr>
                <w:rFonts w:ascii="Consolas" w:hAnsi="Consolas"/>
                <w:sz w:val="20"/>
                <w:shd w:val="clear" w:fill="F2F2F2"/>
              </w:rPr>
              <w:t>ai.service.ts buildConflictAnalysisPrompt</w:t>
            </w:r>
          </w:p>
        </w:tc>
        <w:tc>
          <w:tcPr>
            <w:tcW w:type="dxa" w:w="2880"/>
          </w:tcPr>
          <w:p>
            <w:r/>
            <w:r>
              <w:t>Prepends QUALITY + PER-ITEM + DIMENSIONAL blocks; appends INTERPRETATION GUIDANCE paragraph.</w:t>
            </w:r>
          </w:p>
        </w:tc>
      </w:tr>
      <w:tr>
        <w:tc>
          <w:tcPr>
            <w:tcW w:type="dxa" w:w="2880"/>
          </w:tcPr>
          <w:p>
            <w:r/>
            <w:r>
              <w:t>Math primitives</w:t>
            </w:r>
          </w:p>
        </w:tc>
        <w:tc>
          <w:tcPr>
            <w:tcW w:type="dxa" w:w="2880"/>
          </w:tcPr>
          <w:p>
            <w:r/>
            <w:r>
              <w:rPr>
                <w:rFonts w:ascii="Consolas" w:hAnsi="Consolas"/>
                <w:sz w:val="20"/>
                <w:shd w:val="clear" w:fill="F2F2F2"/>
              </w:rPr>
              <w:t>services/surveyMetrics.service.ts</w:t>
            </w:r>
          </w:p>
        </w:tc>
        <w:tc>
          <w:tcPr>
            <w:tcW w:type="dxa" w:w="2880"/>
          </w:tcPr>
          <w:p>
            <w:r/>
            <w:r>
              <w:t>All formulas (R&lt;sub&gt;wg&lt;/sub&gt;, bimodality coefficient, modified-Z outliers, Shannon entropy) live here. No external deps.</w:t>
            </w:r>
          </w:p>
        </w:tc>
      </w:tr>
    </w:tbl>
    <w:p/>
    <w:p>
      <w:pPr>
        <w:pStyle w:val="Heading3"/>
      </w:pPr>
      <w:r>
        <w:t>Public schema additions</w:t>
      </w:r>
    </w:p>
    <w:p>
      <w:r>
        <w:rPr>
          <w:rFonts w:ascii="Consolas" w:hAnsi="Consolas"/>
          <w:sz w:val="20"/>
          <w:shd w:val="clear" w:fill="F2F2F2"/>
        </w:rPr>
        <w:t>SurveyResponse</w:t>
      </w:r>
      <w:r>
        <w:t xml:space="preserve">: </w:t>
      </w:r>
      <w:r>
        <w:rPr>
          <w:rFonts w:ascii="Consolas" w:hAnsi="Consolas"/>
          <w:sz w:val="20"/>
          <w:shd w:val="clear" w:fill="F2F2F2"/>
        </w:rPr>
        <w:t>qualityScore</w:t>
      </w:r>
      <w:r>
        <w:t xml:space="preserve"> (0..1), </w:t>
      </w:r>
      <w:r>
        <w:rPr>
          <w:rFonts w:ascii="Consolas" w:hAnsi="Consolas"/>
          <w:sz w:val="20"/>
          <w:shd w:val="clear" w:fill="F2F2F2"/>
        </w:rPr>
        <w:t>qualityFlags[]</w:t>
      </w:r>
      <w:r>
        <w:t xml:space="preserve">, </w:t>
      </w:r>
      <w:r>
        <w:rPr>
          <w:rFonts w:ascii="Consolas" w:hAnsi="Consolas"/>
          <w:sz w:val="20"/>
          <w:shd w:val="clear" w:fill="F2F2F2"/>
        </w:rPr>
        <w:t>acceptedInAnalysis</w:t>
      </w:r>
      <w:r>
        <w:t xml:space="preserve"> (default </w:t>
      </w:r>
      <w:r>
        <w:rPr>
          <w:rFonts w:ascii="Consolas" w:hAnsi="Consolas"/>
          <w:sz w:val="20"/>
          <w:shd w:val="clear" w:fill="F2F2F2"/>
        </w:rPr>
        <w:t>true</w:t>
      </w:r>
      <w:r>
        <w:t xml:space="preserve">), </w:t>
      </w:r>
      <w:r>
        <w:rPr>
          <w:rFonts w:ascii="Consolas" w:hAnsi="Consolas"/>
          <w:sz w:val="20"/>
          <w:shd w:val="clear" w:fill="F2F2F2"/>
        </w:rPr>
        <w:t>timingMsPerItem[]?</w:t>
      </w:r>
      <w:r>
        <w:t>.</w:t>
      </w:r>
    </w:p>
    <w:p>
      <w:r>
        <w:rPr>
          <w:rFonts w:ascii="Consolas" w:hAnsi="Consolas"/>
          <w:sz w:val="20"/>
          <w:shd w:val="clear" w:fill="F2F2F2"/>
        </w:rPr>
        <w:t>SurveyTemplate.IQuestion</w:t>
      </w:r>
      <w:r>
        <w:t xml:space="preserve">: </w:t>
      </w:r>
      <w:r>
        <w:rPr>
          <w:rFonts w:ascii="Consolas" w:hAnsi="Consolas"/>
          <w:sz w:val="20"/>
          <w:shd w:val="clear" w:fill="F2F2F2"/>
        </w:rPr>
        <w:t>dimension?</w:t>
      </w:r>
      <w:r>
        <w:t xml:space="preserve"> (free-form string).</w:t>
      </w:r>
    </w:p>
    <w:p>
      <w:r>
        <w:rPr>
          <w:rFonts w:ascii="Consolas" w:hAnsi="Consolas"/>
          <w:sz w:val="20"/>
          <w:shd w:val="clear" w:fill="F2F2F2"/>
        </w:rPr>
        <w:t>ConflictAnalysis</w:t>
      </w:r>
      <w:r>
        <w:t xml:space="preserve">: </w:t>
      </w:r>
      <w:r>
        <w:rPr>
          <w:rFonts w:ascii="Consolas" w:hAnsi="Consolas"/>
          <w:sz w:val="20"/>
          <w:shd w:val="clear" w:fill="F2F2F2"/>
        </w:rPr>
        <w:t>responseQuality</w:t>
      </w:r>
      <w:r>
        <w:t xml:space="preserve">, </w:t>
      </w:r>
      <w:r>
        <w:rPr>
          <w:rFonts w:ascii="Consolas" w:hAnsi="Consolas"/>
          <w:sz w:val="20"/>
          <w:shd w:val="clear" w:fill="F2F2F2"/>
        </w:rPr>
        <w:t>itemMetrics[]</w:t>
      </w:r>
      <w:r>
        <w:t xml:space="preserve">, </w:t>
      </w:r>
      <w:r>
        <w:rPr>
          <w:rFonts w:ascii="Consolas" w:hAnsi="Consolas"/>
          <w:sz w:val="20"/>
          <w:shd w:val="clear" w:fill="F2F2F2"/>
        </w:rPr>
        <w:t>dimensionMetrics[]</w:t>
      </w:r>
      <w:r>
        <w:t xml:space="preserve">, </w:t>
      </w:r>
      <w:r>
        <w:rPr>
          <w:rFonts w:ascii="Consolas" w:hAnsi="Consolas"/>
          <w:sz w:val="20"/>
          <w:shd w:val="clear" w:fill="F2F2F2"/>
        </w:rPr>
        <w:t>teamAlignmentScore</w:t>
      </w:r>
      <w:r>
        <w:t xml:space="preserve"> (all optional).</w:t>
      </w:r>
    </w:p>
    <w:p>
      <w:r>
        <w:rPr>
          <w:rFonts w:ascii="Consolas" w:hAnsi="Consolas"/>
          <w:sz w:val="20"/>
          <w:shd w:val="clear" w:fill="F2F2F2"/>
        </w:rPr>
        <w:t>Organization.surveyQualityPolicy</w:t>
      </w:r>
      <w:r>
        <w:t xml:space="preserve">: </w:t>
      </w:r>
      <w:r>
        <w:rPr>
          <w:rFonts w:ascii="Consolas" w:hAnsi="Consolas"/>
          <w:sz w:val="20"/>
          <w:shd w:val="clear" w:fill="F2F2F2"/>
        </w:rPr>
        <w:t>qualityThreshold</w:t>
      </w:r>
      <w:r>
        <w:t xml:space="preserve">, </w:t>
      </w:r>
      <w:r>
        <w:rPr>
          <w:rFonts w:ascii="Consolas" w:hAnsi="Consolas"/>
          <w:sz w:val="20"/>
          <w:shd w:val="clear" w:fill="F2F2F2"/>
        </w:rPr>
        <w:t>longStringMaxFraction</w:t>
      </w:r>
      <w:r>
        <w:t xml:space="preserve">, </w:t>
      </w:r>
      <w:r>
        <w:rPr>
          <w:rFonts w:ascii="Consolas" w:hAnsi="Consolas"/>
          <w:sz w:val="20"/>
          <w:shd w:val="clear" w:fill="F2F2F2"/>
        </w:rPr>
        <w:t>minSubgroupN</w:t>
      </w:r>
      <w:r>
        <w:t xml:space="preserve">, </w:t>
      </w:r>
      <w:r>
        <w:rPr>
          <w:rFonts w:ascii="Consolas" w:hAnsi="Consolas"/>
          <w:sz w:val="20"/>
          <w:shd w:val="clear" w:fill="F2F2F2"/>
        </w:rPr>
        <w:t>showSubgroupAnalysis</w:t>
      </w:r>
      <w:r>
        <w:t xml:space="preserve"> (see §2.2).</w:t>
      </w:r>
    </w:p>
    <w:p>
      <w:pPr>
        <w:pBdr>
          <w:bottom w:val="single" w:sz="6" w:space="1" w:color="888888"/>
        </w:pBdr>
      </w:pPr>
    </w:p>
    <w:p>
      <w:pPr>
        <w:pStyle w:val="Heading2"/>
      </w:pPr>
      <w:r>
        <w:t>6. Troubleshooting</w:t>
      </w:r>
    </w:p>
    <w:p>
      <w:r>
        <w:rPr>
          <w:b/>
        </w:rPr>
        <w:t>The Divergence Signals tab doesn't appear.</w:t>
      </w:r>
      <w:r>
        <w:t xml:space="preserve"> The analysis pre-dates Phase 1. Run a new conflict analysis on the same template; the new one will have the metrics. Old analyses are not back-filled — the responses they were built from may have been deleted or anonymised.</w:t>
      </w:r>
    </w:p>
    <w:p>
      <w:r>
        <w:rPr>
          <w:b/>
        </w:rPr>
        <w:t>The team alignment tile shows a low number after a single analysis.</w:t>
      </w:r>
      <w:r>
        <w:t xml:space="preserve"> The dashboard tile averages the most recent five analyses with metrics. With one analysis, it equals that analysis's score; the average smooths out as more land.</w:t>
      </w:r>
    </w:p>
    <w:p>
      <w:r>
        <w:rPr>
          <w:b/>
        </w:rPr>
        <w:t>A respondent is sure their response was excluded.</w:t>
      </w:r>
      <w:r>
        <w:t xml:space="preserve"> By design we never expose per-respondent quality flags in the UI. You can confirm in the database (</w:t>
      </w:r>
      <w:r>
        <w:rPr>
          <w:rFonts w:ascii="Consolas" w:hAnsi="Consolas"/>
          <w:sz w:val="20"/>
          <w:shd w:val="clear" w:fill="F2F2F2"/>
        </w:rPr>
        <w:t>SurveyResponse.acceptedInAnalysis</w:t>
      </w:r>
      <w:r>
        <w:t>) during an audit. Helena should never tell a respondent their response was flagged — that breaks the anonymity contract.</w:t>
      </w:r>
    </w:p>
    <w:p>
      <w:r>
        <w:rPr>
          <w:b/>
        </w:rPr>
        <w:t>Translations on the divergence tab are still in English on the French / Spanish / Slovak UIs.</w:t>
      </w:r>
      <w:r>
        <w:t xml:space="preserve"> Intentional for the first ship. The list of pending strings is in </w:t>
      </w:r>
      <w:r>
        <w:rPr>
          <w:rFonts w:ascii="Consolas" w:hAnsi="Consolas"/>
          <w:sz w:val="20"/>
          <w:shd w:val="clear" w:fill="F2F2F2"/>
        </w:rPr>
        <w:t>docs/i18n-translation-todo.md</w:t>
      </w:r>
      <w:r>
        <w:t>. Helena's review of the FR copy unblocks the next translation batch.</w:t>
      </w:r>
    </w:p>
    <w:p>
      <w:pPr>
        <w:pBdr>
          <w:bottom w:val="single" w:sz="6" w:space="1" w:color="888888"/>
        </w:pBdr>
      </w:pPr>
    </w:p>
    <w:p>
      <w:pPr>
        <w:pStyle w:val="Heading2"/>
      </w:pPr>
      <w:r>
        <w:t>7. Convert this guide to .docx</w:t>
      </w:r>
    </w:p>
    <w:p>
      <w:r>
        <w:t>This file is markdown so it stays version-controlled with the code. To produce a Word version for sharing, the easiest path is pandoc:</w:t>
      </w:r>
    </w:p>
    <w:p>
      <w:pPr>
        <w:shd w:val="clear" w:fill="F4F4F4"/>
      </w:pPr>
      <w:r>
        <w:rPr>
          <w:rFonts w:ascii="Consolas" w:hAnsi="Consolas"/>
          <w:sz w:val="18"/>
        </w:rPr>
        <w:t>pandoc docs/design/survey_divergence_phase1_howto.md \</w:t>
        <w:br/>
        <w:t xml:space="preserve">  -o docs/design/survey_divergence_phase1_howto.docx</w:t>
      </w:r>
    </w:p>
    <w:p>
      <w:r>
        <w:t xml:space="preserve">(Pandoc isn't bundled with the repo. Install once with </w:t>
      </w:r>
      <w:r>
        <w:rPr>
          <w:rFonts w:ascii="Consolas" w:hAnsi="Consolas"/>
          <w:sz w:val="20"/>
          <w:shd w:val="clear" w:fill="F2F2F2"/>
        </w:rPr>
        <w:t>brew install pandoc</w:t>
      </w:r>
      <w:r>
        <w:t xml:space="preserve">, </w:t>
      </w:r>
      <w:r>
        <w:rPr>
          <w:rFonts w:ascii="Consolas" w:hAnsi="Consolas"/>
          <w:sz w:val="20"/>
          <w:shd w:val="clear" w:fill="F2F2F2"/>
        </w:rPr>
        <w:t>choco install pandoc</w:t>
      </w:r>
      <w:r>
        <w:t>, or via the official installer at pandoc.org/installing.html.)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