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A4C72" w14:textId="6B4151FE" w:rsidR="008D04A2" w:rsidRDefault="004E4729">
      <w:r>
        <w:rPr>
          <w:noProof/>
        </w:rPr>
        <w:drawing>
          <wp:inline distT="0" distB="0" distL="0" distR="0" wp14:anchorId="38FE83E2" wp14:editId="275B1211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E7C7D" wp14:editId="1FD1E61A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29"/>
    <w:rsid w:val="004E4729"/>
    <w:rsid w:val="0067250A"/>
    <w:rsid w:val="006D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52BD"/>
  <w15:chartTrackingRefBased/>
  <w15:docId w15:val="{CCBE8614-6F55-419B-B082-5B691BBB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Methyl benzene</dc:creator>
  <cp:keywords/>
  <dc:description/>
  <cp:lastModifiedBy>Methyl benzene</cp:lastModifiedBy>
  <cp:revision>1</cp:revision>
  <dcterms:created xsi:type="dcterms:W3CDTF">2023-04-03T12:38:00Z</dcterms:created>
  <dcterms:modified xsi:type="dcterms:W3CDTF">2023-04-03T12:38:00Z</dcterms:modified>
</cp:coreProperties>
</file>