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bidi/>
      </w:pPr>
      <w:r>
        <w:t>وثيقة متطلبات منصة بسطتهالك</w:t>
      </w:r>
    </w:p>
    <w:p>
      <w:pPr>
        <w:jc w:val="center"/>
        <w:bidi/>
      </w:pPr>
      <w:r>
        <w:rPr>
          <w:b/>
          <w:color w:val="5F6F82"/>
          <w:sz w:val="24"/>
        </w:rPr>
        <w:t>متطلبات الإصدار الأول للمنصة التعليمية لطلاب المرحلة الثانوية</w:t>
      </w:r>
    </w:p>
    <w:p>
      <w:pPr>
        <w:spacing w:after="200"/>
        <w:jc w:val="right"/>
        <w:bidi/>
      </w:pPr>
      <w:r>
        <w:t>تحدد هذه الوثيقة نطاق المنصة وأهدافها والجهات المعنية ووظائفها الأساسية ومتطلبات الجودة. وهي تصف المنتج كما تعرضه واجهة المشروع الحالية، مع اعتبار الوظائف المعتمدة على خادم أو مزود خارجي متطلبات مقترحة تحتاج إلى تنفيذ قبل الإطلاق الفعلي.</w:t>
      </w:r>
    </w:p>
    <w:p>
      <w:pPr>
        <w:pStyle w:val="Heading1"/>
        <w:spacing w:before="160" w:after="80"/>
        <w:jc w:val="right"/>
        <w:bidi/>
      </w:pPr>
      <w:r>
        <w:t>1. نظرة عامة على المشروع</w:t>
      </w:r>
    </w:p>
    <w:p>
      <w:pPr>
        <w:spacing w:after="80"/>
        <w:jc w:val="right"/>
        <w:bidi/>
      </w:pPr>
      <w:r>
        <w:t>بسطتهالك منصة تعلم إلكتروني عربية تستهدف طلاب المرحلة الثانوية في مصر. تجمع في مكان واحد المواد الدراسية، الدروس المرئية، ملفات المراجعة، الاختبارات، متابعة التقدم، الإعلانات، الجدول الدراسي، والمحفظة والاشتراكات. تدعم الواجهة اللغة العربية واتجاه العرض من اليمين إلى اليسار، وتقدم تجربة متجاوبة للأجهزة المختلفة.</w:t>
      </w:r>
    </w:p>
    <w:p>
      <w:pPr>
        <w:pStyle w:val="Heading1"/>
        <w:spacing w:before="160" w:after="80"/>
        <w:jc w:val="right"/>
        <w:bidi/>
      </w:pPr>
      <w:r>
        <w:t>2. بيان المشكلة</w:t>
      </w:r>
    </w:p>
    <w:p>
      <w:pPr>
        <w:spacing w:after="80"/>
        <w:jc w:val="right"/>
        <w:bidi/>
      </w:pPr>
      <w:r>
        <w:t>يحتاج طالب الثانوية إلى مصادر تعلم ومتابعة موزعة عادة بين قنوات وملفات وخدمات متعددة. يؤدي هذا التشتت إلى صعوبة معرفة الدروس المتاحة وما أُنجز، والوصول السريع للمراجعات والاختبارات، ومتابعة المستجدات والاشتراكات. تسعى المنصة إلى جمع رحلة التعلم اليومية في واجهة واحدة واضحة، مع إبراز المحتوى بحسب الصف والتقدم الدراسي.</w:t>
      </w:r>
    </w:p>
    <w:p>
      <w:pPr>
        <w:pStyle w:val="Heading1"/>
        <w:spacing w:before="160" w:after="80"/>
        <w:jc w:val="right"/>
        <w:bidi/>
      </w:pPr>
      <w:r>
        <w:t>3. الأهداف</w:t>
      </w:r>
    </w:p>
    <w:p>
      <w:pPr>
        <w:pStyle w:val="ListBullet"/>
        <w:spacing w:after="40"/>
        <w:jc w:val="right"/>
        <w:bidi/>
      </w:pPr>
      <w:r>
        <w:t>توفير وصول منظم لمواد الثانوية ومحتواها بحسب الصف والوحدات.</w:t>
      </w:r>
    </w:p>
    <w:p>
      <w:pPr>
        <w:pStyle w:val="ListBullet"/>
        <w:spacing w:after="40"/>
        <w:jc w:val="right"/>
        <w:bidi/>
      </w:pPr>
      <w:r>
        <w:t>تمكين الطالب من مشاهدة الدروس والوصول إلى ملفات المراجعة والاختبارات المرتبطة بها.</w:t>
      </w:r>
    </w:p>
    <w:p>
      <w:pPr>
        <w:pStyle w:val="ListBullet"/>
        <w:spacing w:after="40"/>
        <w:jc w:val="right"/>
        <w:bidi/>
      </w:pPr>
      <w:r>
        <w:t>عرض مستوى الإنجاز والدرس الحالي والمهام والإعلانات في لوحة رئيسية.</w:t>
      </w:r>
    </w:p>
    <w:p>
      <w:pPr>
        <w:pStyle w:val="ListBullet"/>
        <w:spacing w:after="40"/>
        <w:jc w:val="right"/>
        <w:bidi/>
      </w:pPr>
      <w:r>
        <w:t>تسهيل متابعة الاشتراكات والرصيد وسجل المعاملات من واجهة المحفظة.</w:t>
      </w:r>
    </w:p>
    <w:p>
      <w:pPr>
        <w:pStyle w:val="ListBullet"/>
        <w:spacing w:after="40"/>
        <w:jc w:val="right"/>
        <w:bidi/>
      </w:pPr>
      <w:r>
        <w:t>تقديم تجربة عربية سهلة الاستخدام ومتوافقة مع الهاتف والحاسوب.</w:t>
      </w:r>
    </w:p>
    <w:p>
      <w:pPr>
        <w:pStyle w:val="ListBullet"/>
        <w:spacing w:after="40"/>
        <w:jc w:val="right"/>
        <w:bidi/>
      </w:pPr>
      <w:r>
        <w:t>إتاحة أساس قابل للتوسع لإضافة إدارة المعلمين والمحتوى والتقارير لاحقاً.</w:t>
      </w:r>
    </w:p>
    <w:p>
      <w:pPr>
        <w:pStyle w:val="Heading1"/>
        <w:spacing w:before="160" w:after="80"/>
        <w:jc w:val="right"/>
        <w:bidi/>
      </w:pPr>
      <w:r>
        <w:t>4. الممثلون وأصحاب المصلحة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right"/>
              <w:bidi/>
            </w:pPr>
            <w:r/>
            <w:r>
              <w:rPr>
                <w:rFonts w:ascii="Arial" w:hAnsi="Arial" w:eastAsia="Arial"/>
                <w:b/>
                <w:color w:val="FFFFFF"/>
                <w:sz w:val="18"/>
              </w:rPr>
              <w:t>الجهة</w:t>
            </w:r>
          </w:p>
        </w:tc>
        <w:tc>
          <w:tcPr>
            <w:tcW w:type="dxa" w:w="5112"/>
            <w:vAlign w:val="center"/>
            <w:shd w:fill="0058BE"/>
          </w:tcPr>
          <w:p>
            <w:pPr>
              <w:jc w:val="right"/>
              <w:bidi/>
            </w:pPr>
            <w:r/>
            <w:r>
              <w:rPr>
                <w:rFonts w:ascii="Arial" w:hAnsi="Arial" w:eastAsia="Arial"/>
                <w:b/>
                <w:color w:val="FFFFFF"/>
                <w:sz w:val="18"/>
              </w:rPr>
              <w:t>الدور والاحتياج</w:t>
            </w:r>
          </w:p>
        </w:tc>
      </w:tr>
      <w:tr>
        <w:tc>
          <w:tcPr>
            <w:tcW w:type="dxa" w:w="5112"/>
            <w:vAlign w:val="center"/>
          </w:tcPr>
          <w:p>
            <w:pPr>
              <w:jc w:val="right"/>
              <w:bidi/>
            </w:pPr>
            <w:r/>
            <w:r>
              <w:rPr>
                <w:rFonts w:ascii="Arial" w:hAnsi="Arial" w:eastAsia="Arial"/>
                <w:b w:val="0"/>
                <w:color w:val="263548"/>
                <w:sz w:val="17"/>
              </w:rPr>
              <w:t>الطالب</w:t>
            </w:r>
          </w:p>
        </w:tc>
        <w:tc>
          <w:tcPr>
            <w:tcW w:type="dxa" w:w="5112"/>
            <w:vAlign w:val="center"/>
          </w:tcPr>
          <w:p>
            <w:pPr>
              <w:jc w:val="right"/>
              <w:bidi/>
            </w:pPr>
            <w:r/>
            <w:r>
              <w:rPr>
                <w:rFonts w:ascii="Arial" w:hAnsi="Arial" w:eastAsia="Arial"/>
                <w:b w:val="0"/>
                <w:color w:val="263548"/>
                <w:sz w:val="17"/>
              </w:rPr>
              <w:t>المستخدم الأساسي؛ يتصفح المواد والدروس، يؤدي الاختبارات، ويتابع تقدمه ورصيده.</w:t>
            </w:r>
          </w:p>
        </w:tc>
      </w:tr>
      <w:tr>
        <w:tc>
          <w:tcPr>
            <w:tcW w:type="dxa" w:w="5112"/>
            <w:vAlign w:val="center"/>
          </w:tcPr>
          <w:p>
            <w:pPr>
              <w:jc w:val="right"/>
              <w:bidi/>
            </w:pPr>
            <w:r/>
            <w:r>
              <w:rPr>
                <w:rFonts w:ascii="Arial" w:hAnsi="Arial" w:eastAsia="Arial"/>
                <w:b w:val="0"/>
                <w:color w:val="263548"/>
                <w:sz w:val="17"/>
              </w:rPr>
              <w:t>ولي الأمر</w:t>
            </w:r>
          </w:p>
        </w:tc>
        <w:tc>
          <w:tcPr>
            <w:tcW w:type="dxa" w:w="5112"/>
            <w:vAlign w:val="center"/>
          </w:tcPr>
          <w:p>
            <w:pPr>
              <w:jc w:val="right"/>
              <w:bidi/>
            </w:pPr>
            <w:r/>
            <w:r>
              <w:rPr>
                <w:rFonts w:ascii="Arial" w:hAnsi="Arial" w:eastAsia="Arial"/>
                <w:b w:val="0"/>
                <w:color w:val="263548"/>
                <w:sz w:val="17"/>
              </w:rPr>
              <w:t>متابع محتمل لتقدم الطالب واشتراكاته؛ لا تظهر له حالياً واجهة مستقلة.</w:t>
            </w:r>
          </w:p>
        </w:tc>
      </w:tr>
      <w:tr>
        <w:tc>
          <w:tcPr>
            <w:tcW w:type="dxa" w:w="5112"/>
            <w:vAlign w:val="center"/>
          </w:tcPr>
          <w:p>
            <w:pPr>
              <w:jc w:val="right"/>
              <w:bidi/>
            </w:pPr>
            <w:r/>
            <w:r>
              <w:rPr>
                <w:rFonts w:ascii="Arial" w:hAnsi="Arial" w:eastAsia="Arial"/>
                <w:b w:val="0"/>
                <w:color w:val="263548"/>
                <w:sz w:val="17"/>
              </w:rPr>
              <w:t>المعلم / مقدم المحتوى</w:t>
            </w:r>
          </w:p>
        </w:tc>
        <w:tc>
          <w:tcPr>
            <w:tcW w:type="dxa" w:w="5112"/>
            <w:vAlign w:val="center"/>
          </w:tcPr>
          <w:p>
            <w:pPr>
              <w:jc w:val="right"/>
              <w:bidi/>
            </w:pPr>
            <w:r/>
            <w:r>
              <w:rPr>
                <w:rFonts w:ascii="Arial" w:hAnsi="Arial" w:eastAsia="Arial"/>
                <w:b w:val="0"/>
                <w:color w:val="263548"/>
                <w:sz w:val="17"/>
              </w:rPr>
              <w:t>إعداد الدروس والملفات والاختبارات والإعلانات أو البث المباشر.</w:t>
            </w:r>
          </w:p>
        </w:tc>
      </w:tr>
      <w:tr>
        <w:tc>
          <w:tcPr>
            <w:tcW w:type="dxa" w:w="5112"/>
            <w:vAlign w:val="center"/>
          </w:tcPr>
          <w:p>
            <w:pPr>
              <w:jc w:val="right"/>
              <w:bidi/>
            </w:pPr>
            <w:r/>
            <w:r>
              <w:rPr>
                <w:rFonts w:ascii="Arial" w:hAnsi="Arial" w:eastAsia="Arial"/>
                <w:b w:val="0"/>
                <w:color w:val="263548"/>
                <w:sz w:val="17"/>
              </w:rPr>
              <w:t>إدارة المنصة</w:t>
            </w:r>
          </w:p>
        </w:tc>
        <w:tc>
          <w:tcPr>
            <w:tcW w:type="dxa" w:w="5112"/>
            <w:vAlign w:val="center"/>
          </w:tcPr>
          <w:p>
            <w:pPr>
              <w:jc w:val="right"/>
              <w:bidi/>
            </w:pPr>
            <w:r/>
            <w:r>
              <w:rPr>
                <w:rFonts w:ascii="Arial" w:hAnsi="Arial" w:eastAsia="Arial"/>
                <w:b w:val="0"/>
                <w:color w:val="263548"/>
                <w:sz w:val="17"/>
              </w:rPr>
              <w:t>إدارة الحسابات والصفوف والمحتوى والاشتراكات والدعم والسياسات.</w:t>
            </w:r>
          </w:p>
        </w:tc>
      </w:tr>
      <w:tr>
        <w:tc>
          <w:tcPr>
            <w:tcW w:type="dxa" w:w="5112"/>
            <w:vAlign w:val="center"/>
          </w:tcPr>
          <w:p>
            <w:pPr>
              <w:jc w:val="right"/>
              <w:bidi/>
            </w:pPr>
            <w:r/>
            <w:r>
              <w:rPr>
                <w:rFonts w:ascii="Arial" w:hAnsi="Arial" w:eastAsia="Arial"/>
                <w:b w:val="0"/>
                <w:color w:val="263548"/>
                <w:sz w:val="17"/>
              </w:rPr>
              <w:t>مزود الدفع</w:t>
            </w:r>
          </w:p>
        </w:tc>
        <w:tc>
          <w:tcPr>
            <w:tcW w:type="dxa" w:w="5112"/>
            <w:vAlign w:val="center"/>
          </w:tcPr>
          <w:p>
            <w:pPr>
              <w:jc w:val="right"/>
              <w:bidi/>
            </w:pPr>
            <w:r/>
            <w:r>
              <w:rPr>
                <w:rFonts w:ascii="Arial" w:hAnsi="Arial" w:eastAsia="Arial"/>
                <w:b w:val="0"/>
                <w:color w:val="263548"/>
                <w:sz w:val="17"/>
              </w:rPr>
              <w:t>معالجة شحن الرصيد أو الاشتراكات وإرجاع حالة موثوقة للمعاملة؛ تكامل مطلوب.</w:t>
            </w:r>
          </w:p>
        </w:tc>
      </w:tr>
      <w:tr>
        <w:tc>
          <w:tcPr>
            <w:tcW w:type="dxa" w:w="5112"/>
            <w:vAlign w:val="center"/>
          </w:tcPr>
          <w:p>
            <w:pPr>
              <w:jc w:val="right"/>
              <w:bidi/>
            </w:pPr>
            <w:r/>
            <w:r>
              <w:rPr>
                <w:rFonts w:ascii="Arial" w:hAnsi="Arial" w:eastAsia="Arial"/>
                <w:b w:val="0"/>
                <w:color w:val="263548"/>
                <w:sz w:val="17"/>
              </w:rPr>
              <w:t>فريق التطوير والتشغيل</w:t>
            </w:r>
          </w:p>
        </w:tc>
        <w:tc>
          <w:tcPr>
            <w:tcW w:type="dxa" w:w="5112"/>
            <w:vAlign w:val="center"/>
          </w:tcPr>
          <w:p>
            <w:pPr>
              <w:jc w:val="right"/>
              <w:bidi/>
            </w:pPr>
            <w:r/>
            <w:r>
              <w:rPr>
                <w:rFonts w:ascii="Arial" w:hAnsi="Arial" w:eastAsia="Arial"/>
                <w:b w:val="0"/>
                <w:color w:val="263548"/>
                <w:sz w:val="17"/>
              </w:rPr>
              <w:t>بناء المنصة وتأمينها وصيانتها ومراقبة أدائها وتوافرها.</w:t>
            </w:r>
          </w:p>
        </w:tc>
      </w:tr>
    </w:tbl>
    <w:p>
      <w:pPr>
        <w:spacing w:after="0"/>
      </w:pPr>
    </w:p>
    <w:p>
      <w:pPr>
        <w:pStyle w:val="Heading1"/>
        <w:spacing w:before="160" w:after="80"/>
        <w:jc w:val="right"/>
        <w:bidi/>
      </w:pPr>
      <w:r>
        <w:t>5. المتطلبات الوظيفية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right"/>
              <w:bidi/>
            </w:pPr>
            <w:r/>
            <w:r>
              <w:rPr>
                <w:rFonts w:ascii="Arial" w:hAnsi="Arial" w:eastAsia="Arial"/>
                <w:b/>
                <w:color w:val="FFFFFF"/>
                <w:sz w:val="18"/>
              </w:rPr>
              <w:t>المعرف</w:t>
            </w:r>
          </w:p>
        </w:tc>
        <w:tc>
          <w:tcPr>
            <w:tcW w:type="dxa" w:w="5112"/>
            <w:vAlign w:val="center"/>
            <w:shd w:fill="0058BE"/>
          </w:tcPr>
          <w:p>
            <w:pPr>
              <w:jc w:val="right"/>
              <w:bidi/>
            </w:pPr>
            <w:r/>
            <w:r>
              <w:rPr>
                <w:rFonts w:ascii="Arial" w:hAnsi="Arial" w:eastAsia="Arial"/>
                <w:b/>
                <w:color w:val="FFFFFF"/>
                <w:sz w:val="18"/>
              </w:rPr>
              <w:t>المتطلب</w:t>
            </w:r>
          </w:p>
        </w:tc>
      </w:tr>
      <w:tr>
        <w:tc>
          <w:tcPr>
            <w:tcW w:type="dxa" w:w="5112"/>
            <w:vAlign w:val="center"/>
          </w:tcPr>
          <w:p>
            <w:pPr>
              <w:jc w:val="right"/>
              <w:bidi/>
            </w:pPr>
            <w:r/>
            <w:r>
              <w:rPr>
                <w:rFonts w:ascii="Arial" w:hAnsi="Arial" w:eastAsia="Arial"/>
                <w:b w:val="0"/>
                <w:color w:val="263548"/>
                <w:sz w:val="17"/>
              </w:rPr>
              <w:t>FR-01</w:t>
            </w:r>
          </w:p>
        </w:tc>
        <w:tc>
          <w:tcPr>
            <w:tcW w:type="dxa" w:w="5112"/>
            <w:vAlign w:val="center"/>
          </w:tcPr>
          <w:p>
            <w:pPr>
              <w:jc w:val="right"/>
              <w:bidi/>
            </w:pPr>
            <w:r/>
            <w:r>
              <w:rPr>
                <w:rFonts w:ascii="Arial" w:hAnsi="Arial" w:eastAsia="Arial"/>
                <w:b w:val="0"/>
                <w:color w:val="263548"/>
                <w:sz w:val="17"/>
              </w:rPr>
              <w:t>يعرض النظام لوحة رئيسية تتضمن المواد والإعلانات والجدول اليومي وسلسلة أيام النشاط.</w:t>
            </w:r>
          </w:p>
        </w:tc>
      </w:tr>
      <w:tr>
        <w:tc>
          <w:tcPr>
            <w:tcW w:type="dxa" w:w="5112"/>
            <w:vAlign w:val="center"/>
          </w:tcPr>
          <w:p>
            <w:pPr>
              <w:jc w:val="right"/>
              <w:bidi/>
            </w:pPr>
            <w:r/>
            <w:r>
              <w:rPr>
                <w:rFonts w:ascii="Arial" w:hAnsi="Arial" w:eastAsia="Arial"/>
                <w:b w:val="0"/>
                <w:color w:val="263548"/>
                <w:sz w:val="17"/>
              </w:rPr>
              <w:t>FR-02</w:t>
            </w:r>
          </w:p>
        </w:tc>
        <w:tc>
          <w:tcPr>
            <w:tcW w:type="dxa" w:w="5112"/>
            <w:vAlign w:val="center"/>
          </w:tcPr>
          <w:p>
            <w:pPr>
              <w:jc w:val="right"/>
              <w:bidi/>
            </w:pPr>
            <w:r/>
            <w:r>
              <w:rPr>
                <w:rFonts w:ascii="Arial" w:hAnsi="Arial" w:eastAsia="Arial"/>
                <w:b w:val="0"/>
                <w:color w:val="263548"/>
                <w:sz w:val="17"/>
              </w:rPr>
              <w:t>يتيح للطالب استعراض الصفوف والمواد وتفاصيل المعلم والوحدات والدروس وحالة الإتاحة.</w:t>
            </w:r>
          </w:p>
        </w:tc>
      </w:tr>
      <w:tr>
        <w:tc>
          <w:tcPr>
            <w:tcW w:type="dxa" w:w="5112"/>
            <w:vAlign w:val="center"/>
          </w:tcPr>
          <w:p>
            <w:pPr>
              <w:jc w:val="right"/>
              <w:bidi/>
            </w:pPr>
            <w:r/>
            <w:r>
              <w:rPr>
                <w:rFonts w:ascii="Arial" w:hAnsi="Arial" w:eastAsia="Arial"/>
                <w:b w:val="0"/>
                <w:color w:val="263548"/>
                <w:sz w:val="17"/>
              </w:rPr>
              <w:t>FR-03</w:t>
            </w:r>
          </w:p>
        </w:tc>
        <w:tc>
          <w:tcPr>
            <w:tcW w:type="dxa" w:w="5112"/>
            <w:vAlign w:val="center"/>
          </w:tcPr>
          <w:p>
            <w:pPr>
              <w:jc w:val="right"/>
              <w:bidi/>
            </w:pPr>
            <w:r/>
            <w:r>
              <w:rPr>
                <w:rFonts w:ascii="Arial" w:hAnsi="Arial" w:eastAsia="Arial"/>
                <w:b w:val="0"/>
                <w:color w:val="263548"/>
                <w:sz w:val="17"/>
              </w:rPr>
              <w:t>يعرض محتوى الدرس المرئي والتنقل بين الدرس السابق واللاحق، وفق صلاحية الطالب.</w:t>
            </w:r>
          </w:p>
        </w:tc>
      </w:tr>
      <w:tr>
        <w:tc>
          <w:tcPr>
            <w:tcW w:type="dxa" w:w="5112"/>
            <w:vAlign w:val="center"/>
          </w:tcPr>
          <w:p>
            <w:pPr>
              <w:jc w:val="right"/>
              <w:bidi/>
            </w:pPr>
            <w:r/>
            <w:r>
              <w:rPr>
                <w:rFonts w:ascii="Arial" w:hAnsi="Arial" w:eastAsia="Arial"/>
                <w:b w:val="0"/>
                <w:color w:val="263548"/>
                <w:sz w:val="17"/>
              </w:rPr>
              <w:t>FR-04</w:t>
            </w:r>
          </w:p>
        </w:tc>
        <w:tc>
          <w:tcPr>
            <w:tcW w:type="dxa" w:w="5112"/>
            <w:vAlign w:val="center"/>
          </w:tcPr>
          <w:p>
            <w:pPr>
              <w:jc w:val="right"/>
              <w:bidi/>
            </w:pPr>
            <w:r/>
            <w:r>
              <w:rPr>
                <w:rFonts w:ascii="Arial" w:hAnsi="Arial" w:eastAsia="Arial"/>
                <w:b w:val="0"/>
                <w:color w:val="263548"/>
                <w:sz w:val="17"/>
              </w:rPr>
              <w:t>يوفر الوصول إلى ملفات PDF والملخصات المرتبطة بالوحدات عند توفرها.</w:t>
            </w:r>
          </w:p>
        </w:tc>
      </w:tr>
      <w:tr>
        <w:tc>
          <w:tcPr>
            <w:tcW w:type="dxa" w:w="5112"/>
            <w:vAlign w:val="center"/>
          </w:tcPr>
          <w:p>
            <w:pPr>
              <w:jc w:val="right"/>
              <w:bidi/>
            </w:pPr>
            <w:r/>
            <w:r>
              <w:rPr>
                <w:rFonts w:ascii="Arial" w:hAnsi="Arial" w:eastAsia="Arial"/>
                <w:b w:val="0"/>
                <w:color w:val="263548"/>
                <w:sz w:val="17"/>
              </w:rPr>
              <w:t>FR-05</w:t>
            </w:r>
          </w:p>
        </w:tc>
        <w:tc>
          <w:tcPr>
            <w:tcW w:type="dxa" w:w="5112"/>
            <w:vAlign w:val="center"/>
          </w:tcPr>
          <w:p>
            <w:pPr>
              <w:jc w:val="right"/>
              <w:bidi/>
            </w:pPr>
            <w:r/>
            <w:r>
              <w:rPr>
                <w:rFonts w:ascii="Arial" w:hAnsi="Arial" w:eastAsia="Arial"/>
                <w:b w:val="0"/>
                <w:color w:val="263548"/>
                <w:sz w:val="17"/>
              </w:rPr>
              <w:t>يتيح بدء الاختبارات ذات الأسئلة والاختيارات والمدة وعدد المحاولات، ويعرض النتيجة بعد الإرسال.</w:t>
            </w:r>
          </w:p>
        </w:tc>
      </w:tr>
      <w:tr>
        <w:tc>
          <w:tcPr>
            <w:tcW w:type="dxa" w:w="5112"/>
            <w:vAlign w:val="center"/>
          </w:tcPr>
          <w:p>
            <w:pPr>
              <w:jc w:val="right"/>
              <w:bidi/>
            </w:pPr>
            <w:r/>
            <w:r>
              <w:rPr>
                <w:rFonts w:ascii="Arial" w:hAnsi="Arial" w:eastAsia="Arial"/>
                <w:b w:val="0"/>
                <w:color w:val="263548"/>
                <w:sz w:val="17"/>
              </w:rPr>
              <w:t>FR-06</w:t>
            </w:r>
          </w:p>
        </w:tc>
        <w:tc>
          <w:tcPr>
            <w:tcW w:type="dxa" w:w="5112"/>
            <w:vAlign w:val="center"/>
          </w:tcPr>
          <w:p>
            <w:pPr>
              <w:jc w:val="right"/>
              <w:bidi/>
            </w:pPr>
            <w:r/>
            <w:r>
              <w:rPr>
                <w:rFonts w:ascii="Arial" w:hAnsi="Arial" w:eastAsia="Arial"/>
                <w:b w:val="0"/>
                <w:color w:val="263548"/>
                <w:sz w:val="17"/>
              </w:rPr>
              <w:t>يتابع إنجاز الدروس ونتائج الاختبارات ويحدّث مؤشرات التقدم.</w:t>
            </w:r>
          </w:p>
        </w:tc>
      </w:tr>
      <w:tr>
        <w:tc>
          <w:tcPr>
            <w:tcW w:type="dxa" w:w="5112"/>
            <w:vAlign w:val="center"/>
          </w:tcPr>
          <w:p>
            <w:pPr>
              <w:jc w:val="right"/>
              <w:bidi/>
            </w:pPr>
            <w:r/>
            <w:r>
              <w:rPr>
                <w:rFonts w:ascii="Arial" w:hAnsi="Arial" w:eastAsia="Arial"/>
                <w:b w:val="0"/>
                <w:color w:val="263548"/>
                <w:sz w:val="17"/>
              </w:rPr>
              <w:t>FR-07</w:t>
            </w:r>
          </w:p>
        </w:tc>
        <w:tc>
          <w:tcPr>
            <w:tcW w:type="dxa" w:w="5112"/>
            <w:vAlign w:val="center"/>
          </w:tcPr>
          <w:p>
            <w:pPr>
              <w:jc w:val="right"/>
              <w:bidi/>
            </w:pPr>
            <w:r/>
            <w:r>
              <w:rPr>
                <w:rFonts w:ascii="Arial" w:hAnsi="Arial" w:eastAsia="Arial"/>
                <w:b w:val="0"/>
                <w:color w:val="263548"/>
                <w:sz w:val="17"/>
              </w:rPr>
              <w:t>يعرض الإعلانات والتنبيهات، بما في ذلك مواعيد البث وتحديث المحتوى والنتائج.</w:t>
            </w:r>
          </w:p>
        </w:tc>
      </w:tr>
      <w:tr>
        <w:tc>
          <w:tcPr>
            <w:tcW w:type="dxa" w:w="5112"/>
            <w:vAlign w:val="center"/>
          </w:tcPr>
          <w:p>
            <w:pPr>
              <w:jc w:val="right"/>
              <w:bidi/>
            </w:pPr>
            <w:r/>
            <w:r>
              <w:rPr>
                <w:rFonts w:ascii="Arial" w:hAnsi="Arial" w:eastAsia="Arial"/>
                <w:b w:val="0"/>
                <w:color w:val="263548"/>
                <w:sz w:val="17"/>
              </w:rPr>
              <w:t>FR-08</w:t>
            </w:r>
          </w:p>
        </w:tc>
        <w:tc>
          <w:tcPr>
            <w:tcW w:type="dxa" w:w="5112"/>
            <w:vAlign w:val="center"/>
          </w:tcPr>
          <w:p>
            <w:pPr>
              <w:jc w:val="right"/>
              <w:bidi/>
            </w:pPr>
            <w:r/>
            <w:r>
              <w:rPr>
                <w:rFonts w:ascii="Arial" w:hAnsi="Arial" w:eastAsia="Arial"/>
                <w:b w:val="0"/>
                <w:color w:val="263548"/>
                <w:sz w:val="17"/>
              </w:rPr>
              <w:t>يعرض رصيد المحفظة والاشتراكات وسجل المعاملات، ويدعم طلب الشحن بوسيلة دفع معتمدة.</w:t>
            </w:r>
          </w:p>
        </w:tc>
      </w:tr>
      <w:tr>
        <w:tc>
          <w:tcPr>
            <w:tcW w:type="dxa" w:w="5112"/>
            <w:vAlign w:val="center"/>
          </w:tcPr>
          <w:p>
            <w:pPr>
              <w:jc w:val="right"/>
              <w:bidi/>
            </w:pPr>
            <w:r/>
            <w:r>
              <w:rPr>
                <w:rFonts w:ascii="Arial" w:hAnsi="Arial" w:eastAsia="Arial"/>
                <w:b w:val="0"/>
                <w:color w:val="263548"/>
                <w:sz w:val="17"/>
              </w:rPr>
              <w:t>FR-09</w:t>
            </w:r>
          </w:p>
        </w:tc>
        <w:tc>
          <w:tcPr>
            <w:tcW w:type="dxa" w:w="5112"/>
            <w:vAlign w:val="center"/>
          </w:tcPr>
          <w:p>
            <w:pPr>
              <w:jc w:val="right"/>
              <w:bidi/>
            </w:pPr>
            <w:r/>
            <w:r>
              <w:rPr>
                <w:rFonts w:ascii="Arial" w:hAnsi="Arial" w:eastAsia="Arial"/>
                <w:b w:val="0"/>
                <w:color w:val="263548"/>
                <w:sz w:val="17"/>
              </w:rPr>
              <w:t>يوفر البحث والتنقل بين أقسام المنصة ومفتاح اختيار الصف.</w:t>
            </w:r>
          </w:p>
        </w:tc>
      </w:tr>
      <w:tr>
        <w:tc>
          <w:tcPr>
            <w:tcW w:type="dxa" w:w="5112"/>
            <w:vAlign w:val="center"/>
          </w:tcPr>
          <w:p>
            <w:pPr>
              <w:jc w:val="right"/>
              <w:bidi/>
            </w:pPr>
            <w:r/>
            <w:r>
              <w:rPr>
                <w:rFonts w:ascii="Arial" w:hAnsi="Arial" w:eastAsia="Arial"/>
                <w:b w:val="0"/>
                <w:color w:val="263548"/>
                <w:sz w:val="17"/>
              </w:rPr>
              <w:t>FR-10</w:t>
            </w:r>
          </w:p>
        </w:tc>
        <w:tc>
          <w:tcPr>
            <w:tcW w:type="dxa" w:w="5112"/>
            <w:vAlign w:val="center"/>
          </w:tcPr>
          <w:p>
            <w:pPr>
              <w:jc w:val="right"/>
              <w:bidi/>
            </w:pPr>
            <w:r/>
            <w:r>
              <w:rPr>
                <w:rFonts w:ascii="Arial" w:hAnsi="Arial" w:eastAsia="Arial"/>
                <w:b w:val="0"/>
                <w:color w:val="263548"/>
                <w:sz w:val="17"/>
              </w:rPr>
              <w:t>يمكّن الطالب من إرسال سؤال أو طلب مساعدة للمعلم من سياق الدرس.</w:t>
            </w:r>
          </w:p>
        </w:tc>
      </w:tr>
    </w:tbl>
    <w:p>
      <w:pPr>
        <w:spacing w:after="0"/>
      </w:pPr>
    </w:p>
    <w:p>
      <w:pPr>
        <w:pStyle w:val="Heading1"/>
        <w:spacing w:before="160" w:after="80"/>
        <w:jc w:val="right"/>
        <w:bidi/>
      </w:pPr>
      <w:r>
        <w:t>6. المتطلبات غير الوظيفية</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right"/>
              <w:bidi/>
            </w:pPr>
            <w:r/>
            <w:r>
              <w:rPr>
                <w:rFonts w:ascii="Arial" w:hAnsi="Arial" w:eastAsia="Arial"/>
                <w:b/>
                <w:color w:val="FFFFFF"/>
                <w:sz w:val="18"/>
              </w:rPr>
              <w:t>المعرف</w:t>
            </w:r>
          </w:p>
        </w:tc>
        <w:tc>
          <w:tcPr>
            <w:tcW w:type="dxa" w:w="5112"/>
            <w:vAlign w:val="center"/>
            <w:shd w:fill="0058BE"/>
          </w:tcPr>
          <w:p>
            <w:pPr>
              <w:jc w:val="right"/>
              <w:bidi/>
            </w:pPr>
            <w:r/>
            <w:r>
              <w:rPr>
                <w:rFonts w:ascii="Arial" w:hAnsi="Arial" w:eastAsia="Arial"/>
                <w:b/>
                <w:color w:val="FFFFFF"/>
                <w:sz w:val="18"/>
              </w:rPr>
              <w:t>المتطلب</w:t>
            </w:r>
          </w:p>
        </w:tc>
      </w:tr>
      <w:tr>
        <w:tc>
          <w:tcPr>
            <w:tcW w:type="dxa" w:w="5112"/>
            <w:vAlign w:val="center"/>
          </w:tcPr>
          <w:p>
            <w:pPr>
              <w:jc w:val="right"/>
              <w:bidi/>
            </w:pPr>
            <w:r/>
            <w:r>
              <w:rPr>
                <w:rFonts w:ascii="Arial" w:hAnsi="Arial" w:eastAsia="Arial"/>
                <w:b w:val="0"/>
                <w:color w:val="263548"/>
                <w:sz w:val="17"/>
              </w:rPr>
              <w:t>NFR-01</w:t>
            </w:r>
          </w:p>
        </w:tc>
        <w:tc>
          <w:tcPr>
            <w:tcW w:type="dxa" w:w="5112"/>
            <w:vAlign w:val="center"/>
          </w:tcPr>
          <w:p>
            <w:pPr>
              <w:jc w:val="right"/>
              <w:bidi/>
            </w:pPr>
            <w:r/>
            <w:r>
              <w:rPr>
                <w:rFonts w:ascii="Arial" w:hAnsi="Arial" w:eastAsia="Arial"/>
                <w:b w:val="0"/>
                <w:color w:val="263548"/>
                <w:sz w:val="17"/>
              </w:rPr>
              <w:t>سهولة الاستخدام: واجهات عربية واضحة، تسميات متسقة، ومسارات قصيرة للمهام الشائعة.</w:t>
            </w:r>
          </w:p>
        </w:tc>
      </w:tr>
      <w:tr>
        <w:tc>
          <w:tcPr>
            <w:tcW w:type="dxa" w:w="5112"/>
            <w:vAlign w:val="center"/>
          </w:tcPr>
          <w:p>
            <w:pPr>
              <w:jc w:val="right"/>
              <w:bidi/>
            </w:pPr>
            <w:r/>
            <w:r>
              <w:rPr>
                <w:rFonts w:ascii="Arial" w:hAnsi="Arial" w:eastAsia="Arial"/>
                <w:b w:val="0"/>
                <w:color w:val="263548"/>
                <w:sz w:val="17"/>
              </w:rPr>
              <w:t>NFR-02</w:t>
            </w:r>
          </w:p>
        </w:tc>
        <w:tc>
          <w:tcPr>
            <w:tcW w:type="dxa" w:w="5112"/>
            <w:vAlign w:val="center"/>
          </w:tcPr>
          <w:p>
            <w:pPr>
              <w:jc w:val="right"/>
              <w:bidi/>
            </w:pPr>
            <w:r/>
            <w:r>
              <w:rPr>
                <w:rFonts w:ascii="Arial" w:hAnsi="Arial" w:eastAsia="Arial"/>
                <w:b w:val="0"/>
                <w:color w:val="263548"/>
                <w:sz w:val="17"/>
              </w:rPr>
              <w:t>التوافق: تصميم متجاوب مع الهواتف والأجهزة اللوحية والحواسيب الحديثة.</w:t>
            </w:r>
          </w:p>
        </w:tc>
      </w:tr>
      <w:tr>
        <w:tc>
          <w:tcPr>
            <w:tcW w:type="dxa" w:w="5112"/>
            <w:vAlign w:val="center"/>
          </w:tcPr>
          <w:p>
            <w:pPr>
              <w:jc w:val="right"/>
              <w:bidi/>
            </w:pPr>
            <w:r/>
            <w:r>
              <w:rPr>
                <w:rFonts w:ascii="Arial" w:hAnsi="Arial" w:eastAsia="Arial"/>
                <w:b w:val="0"/>
                <w:color w:val="263548"/>
                <w:sz w:val="17"/>
              </w:rPr>
              <w:t>NFR-03</w:t>
            </w:r>
          </w:p>
        </w:tc>
        <w:tc>
          <w:tcPr>
            <w:tcW w:type="dxa" w:w="5112"/>
            <w:vAlign w:val="center"/>
          </w:tcPr>
          <w:p>
            <w:pPr>
              <w:jc w:val="right"/>
              <w:bidi/>
            </w:pPr>
            <w:r/>
            <w:r>
              <w:rPr>
                <w:rFonts w:ascii="Arial" w:hAnsi="Arial" w:eastAsia="Arial"/>
                <w:b w:val="0"/>
                <w:color w:val="263548"/>
                <w:sz w:val="17"/>
              </w:rPr>
              <w:t>الأداء: تحميل الصفحات والمحتوى الأساسي بسرعة مناسبة، مع تحسين الصور والوسائط.</w:t>
            </w:r>
          </w:p>
        </w:tc>
      </w:tr>
      <w:tr>
        <w:tc>
          <w:tcPr>
            <w:tcW w:type="dxa" w:w="5112"/>
            <w:vAlign w:val="center"/>
          </w:tcPr>
          <w:p>
            <w:pPr>
              <w:jc w:val="right"/>
              <w:bidi/>
            </w:pPr>
            <w:r/>
            <w:r>
              <w:rPr>
                <w:rFonts w:ascii="Arial" w:hAnsi="Arial" w:eastAsia="Arial"/>
                <w:b w:val="0"/>
                <w:color w:val="263548"/>
                <w:sz w:val="17"/>
              </w:rPr>
              <w:t>NFR-04</w:t>
            </w:r>
          </w:p>
        </w:tc>
        <w:tc>
          <w:tcPr>
            <w:tcW w:type="dxa" w:w="5112"/>
            <w:vAlign w:val="center"/>
          </w:tcPr>
          <w:p>
            <w:pPr>
              <w:jc w:val="right"/>
              <w:bidi/>
            </w:pPr>
            <w:r/>
            <w:r>
              <w:rPr>
                <w:rFonts w:ascii="Arial" w:hAnsi="Arial" w:eastAsia="Arial"/>
                <w:b w:val="0"/>
                <w:color w:val="263548"/>
                <w:sz w:val="17"/>
              </w:rPr>
              <w:t>الأمان والخصوصية: حماية الحسابات والبيانات الشخصية، وتقييد المحتوى المدفوع، وعدم تخزين بيانات البطاقة الحساسة.</w:t>
            </w:r>
          </w:p>
        </w:tc>
      </w:tr>
      <w:tr>
        <w:tc>
          <w:tcPr>
            <w:tcW w:type="dxa" w:w="5112"/>
            <w:vAlign w:val="center"/>
          </w:tcPr>
          <w:p>
            <w:pPr>
              <w:jc w:val="right"/>
              <w:bidi/>
            </w:pPr>
            <w:r/>
            <w:r>
              <w:rPr>
                <w:rFonts w:ascii="Arial" w:hAnsi="Arial" w:eastAsia="Arial"/>
                <w:b w:val="0"/>
                <w:color w:val="263548"/>
                <w:sz w:val="17"/>
              </w:rPr>
              <w:t>NFR-05</w:t>
            </w:r>
          </w:p>
        </w:tc>
        <w:tc>
          <w:tcPr>
            <w:tcW w:type="dxa" w:w="5112"/>
            <w:vAlign w:val="center"/>
          </w:tcPr>
          <w:p>
            <w:pPr>
              <w:jc w:val="right"/>
              <w:bidi/>
            </w:pPr>
            <w:r/>
            <w:r>
              <w:rPr>
                <w:rFonts w:ascii="Arial" w:hAnsi="Arial" w:eastAsia="Arial"/>
                <w:b w:val="0"/>
                <w:color w:val="263548"/>
                <w:sz w:val="17"/>
              </w:rPr>
              <w:t>الاعتمادية: حفظ تقدم الطالب ونتائج الاختبارات والمعاملات بصورة صحيحة مع معالجة الأخطاء.</w:t>
            </w:r>
          </w:p>
        </w:tc>
      </w:tr>
      <w:tr>
        <w:tc>
          <w:tcPr>
            <w:tcW w:type="dxa" w:w="5112"/>
            <w:vAlign w:val="center"/>
          </w:tcPr>
          <w:p>
            <w:pPr>
              <w:jc w:val="right"/>
              <w:bidi/>
            </w:pPr>
            <w:r/>
            <w:r>
              <w:rPr>
                <w:rFonts w:ascii="Arial" w:hAnsi="Arial" w:eastAsia="Arial"/>
                <w:b w:val="0"/>
                <w:color w:val="263548"/>
                <w:sz w:val="17"/>
              </w:rPr>
              <w:t>NFR-06</w:t>
            </w:r>
          </w:p>
        </w:tc>
        <w:tc>
          <w:tcPr>
            <w:tcW w:type="dxa" w:w="5112"/>
            <w:vAlign w:val="center"/>
          </w:tcPr>
          <w:p>
            <w:pPr>
              <w:jc w:val="right"/>
              <w:bidi/>
            </w:pPr>
            <w:r/>
            <w:r>
              <w:rPr>
                <w:rFonts w:ascii="Arial" w:hAnsi="Arial" w:eastAsia="Arial"/>
                <w:b w:val="0"/>
                <w:color w:val="263548"/>
                <w:sz w:val="17"/>
              </w:rPr>
              <w:t>إمكانية الوصول: دعم لوحة المفاتيح، تباين مقروء، وتسميات مناسبة لعناصر التحكم.</w:t>
            </w:r>
          </w:p>
        </w:tc>
      </w:tr>
      <w:tr>
        <w:tc>
          <w:tcPr>
            <w:tcW w:type="dxa" w:w="5112"/>
            <w:vAlign w:val="center"/>
          </w:tcPr>
          <w:p>
            <w:pPr>
              <w:jc w:val="right"/>
              <w:bidi/>
            </w:pPr>
            <w:r/>
            <w:r>
              <w:rPr>
                <w:rFonts w:ascii="Arial" w:hAnsi="Arial" w:eastAsia="Arial"/>
                <w:b w:val="0"/>
                <w:color w:val="263548"/>
                <w:sz w:val="17"/>
              </w:rPr>
              <w:t>NFR-07</w:t>
            </w:r>
          </w:p>
        </w:tc>
        <w:tc>
          <w:tcPr>
            <w:tcW w:type="dxa" w:w="5112"/>
            <w:vAlign w:val="center"/>
          </w:tcPr>
          <w:p>
            <w:pPr>
              <w:jc w:val="right"/>
              <w:bidi/>
            </w:pPr>
            <w:r/>
            <w:r>
              <w:rPr>
                <w:rFonts w:ascii="Arial" w:hAnsi="Arial" w:eastAsia="Arial"/>
                <w:b w:val="0"/>
                <w:color w:val="263548"/>
                <w:sz w:val="17"/>
              </w:rPr>
              <w:t>قابلية الصيانة: فصل واجهات العرض عن منطق الأعمال والبيانات، وإتاحة توسيع الصفوف والمواد.</w:t>
            </w:r>
          </w:p>
        </w:tc>
      </w:tr>
      <w:tr>
        <w:tc>
          <w:tcPr>
            <w:tcW w:type="dxa" w:w="5112"/>
            <w:vAlign w:val="center"/>
          </w:tcPr>
          <w:p>
            <w:pPr>
              <w:jc w:val="right"/>
              <w:bidi/>
            </w:pPr>
            <w:r/>
            <w:r>
              <w:rPr>
                <w:rFonts w:ascii="Arial" w:hAnsi="Arial" w:eastAsia="Arial"/>
                <w:b w:val="0"/>
                <w:color w:val="263548"/>
                <w:sz w:val="17"/>
              </w:rPr>
              <w:t>NFR-08</w:t>
            </w:r>
          </w:p>
        </w:tc>
        <w:tc>
          <w:tcPr>
            <w:tcW w:type="dxa" w:w="5112"/>
            <w:vAlign w:val="center"/>
          </w:tcPr>
          <w:p>
            <w:pPr>
              <w:jc w:val="right"/>
              <w:bidi/>
            </w:pPr>
            <w:r/>
            <w:r>
              <w:rPr>
                <w:rFonts w:ascii="Arial" w:hAnsi="Arial" w:eastAsia="Arial"/>
                <w:b w:val="0"/>
                <w:color w:val="263548"/>
                <w:sz w:val="17"/>
              </w:rPr>
              <w:t>التوافق اللغوي: دعم العربية واتجاه RTL مع عرض سليم للأرقام والتواريخ والنصوص المختلطة.</w:t>
            </w:r>
          </w:p>
        </w:tc>
      </w:tr>
    </w:tbl>
    <w:p>
      <w:pPr>
        <w:spacing w:after="0"/>
      </w:pPr>
    </w:p>
    <w:p>
      <w:pPr>
        <w:pStyle w:val="Heading1"/>
        <w:spacing w:before="160" w:after="80"/>
        <w:jc w:val="right"/>
        <w:bidi/>
      </w:pPr>
      <w:r>
        <w:t>7. وحدات النظام</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right"/>
              <w:bidi/>
            </w:pPr>
            <w:r/>
            <w:r>
              <w:rPr>
                <w:rFonts w:ascii="Arial" w:hAnsi="Arial" w:eastAsia="Arial"/>
                <w:b/>
                <w:color w:val="FFFFFF"/>
                <w:sz w:val="18"/>
              </w:rPr>
              <w:t>الوحدة</w:t>
            </w:r>
          </w:p>
        </w:tc>
        <w:tc>
          <w:tcPr>
            <w:tcW w:type="dxa" w:w="5112"/>
            <w:vAlign w:val="center"/>
            <w:shd w:fill="0058BE"/>
          </w:tcPr>
          <w:p>
            <w:pPr>
              <w:jc w:val="right"/>
              <w:bidi/>
            </w:pPr>
            <w:r/>
            <w:r>
              <w:rPr>
                <w:rFonts w:ascii="Arial" w:hAnsi="Arial" w:eastAsia="Arial"/>
                <w:b/>
                <w:color w:val="FFFFFF"/>
                <w:sz w:val="18"/>
              </w:rPr>
              <w:t>المسؤولية الأساسية</w:t>
            </w:r>
          </w:p>
        </w:tc>
      </w:tr>
      <w:tr>
        <w:tc>
          <w:tcPr>
            <w:tcW w:type="dxa" w:w="5112"/>
            <w:vAlign w:val="center"/>
          </w:tcPr>
          <w:p>
            <w:pPr>
              <w:jc w:val="right"/>
              <w:bidi/>
            </w:pPr>
            <w:r/>
            <w:r>
              <w:rPr>
                <w:rFonts w:ascii="Arial" w:hAnsi="Arial" w:eastAsia="Arial"/>
                <w:b w:val="0"/>
                <w:color w:val="263548"/>
                <w:sz w:val="17"/>
              </w:rPr>
              <w:t>لوحة الطالب</w:t>
            </w:r>
          </w:p>
        </w:tc>
        <w:tc>
          <w:tcPr>
            <w:tcW w:type="dxa" w:w="5112"/>
            <w:vAlign w:val="center"/>
          </w:tcPr>
          <w:p>
            <w:pPr>
              <w:jc w:val="right"/>
              <w:bidi/>
            </w:pPr>
            <w:r/>
            <w:r>
              <w:rPr>
                <w:rFonts w:ascii="Arial" w:hAnsi="Arial" w:eastAsia="Arial"/>
                <w:b w:val="0"/>
                <w:color w:val="263548"/>
                <w:sz w:val="17"/>
              </w:rPr>
              <w:t>ملخص الدراسة والإعلانات والجدول ومؤشرات النشاط.</w:t>
            </w:r>
          </w:p>
        </w:tc>
      </w:tr>
      <w:tr>
        <w:tc>
          <w:tcPr>
            <w:tcW w:type="dxa" w:w="5112"/>
            <w:vAlign w:val="center"/>
          </w:tcPr>
          <w:p>
            <w:pPr>
              <w:jc w:val="right"/>
              <w:bidi/>
            </w:pPr>
            <w:r/>
            <w:r>
              <w:rPr>
                <w:rFonts w:ascii="Arial" w:hAnsi="Arial" w:eastAsia="Arial"/>
                <w:b w:val="0"/>
                <w:color w:val="263548"/>
                <w:sz w:val="17"/>
              </w:rPr>
              <w:t>مستكشف المواد</w:t>
            </w:r>
          </w:p>
        </w:tc>
        <w:tc>
          <w:tcPr>
            <w:tcW w:type="dxa" w:w="5112"/>
            <w:vAlign w:val="center"/>
          </w:tcPr>
          <w:p>
            <w:pPr>
              <w:jc w:val="right"/>
              <w:bidi/>
            </w:pPr>
            <w:r/>
            <w:r>
              <w:rPr>
                <w:rFonts w:ascii="Arial" w:hAnsi="Arial" w:eastAsia="Arial"/>
                <w:b w:val="0"/>
                <w:color w:val="263548"/>
                <w:sz w:val="17"/>
              </w:rPr>
              <w:t>قائمة المواد والصفوف وتفاصيل المنهج والوحدات.</w:t>
            </w:r>
          </w:p>
        </w:tc>
      </w:tr>
      <w:tr>
        <w:tc>
          <w:tcPr>
            <w:tcW w:type="dxa" w:w="5112"/>
            <w:vAlign w:val="center"/>
          </w:tcPr>
          <w:p>
            <w:pPr>
              <w:jc w:val="right"/>
              <w:bidi/>
            </w:pPr>
            <w:r/>
            <w:r>
              <w:rPr>
                <w:rFonts w:ascii="Arial" w:hAnsi="Arial" w:eastAsia="Arial"/>
                <w:b w:val="0"/>
                <w:color w:val="263548"/>
                <w:sz w:val="17"/>
              </w:rPr>
              <w:t>مشغل الدروس</w:t>
            </w:r>
          </w:p>
        </w:tc>
        <w:tc>
          <w:tcPr>
            <w:tcW w:type="dxa" w:w="5112"/>
            <w:vAlign w:val="center"/>
          </w:tcPr>
          <w:p>
            <w:pPr>
              <w:jc w:val="right"/>
              <w:bidi/>
            </w:pPr>
            <w:r/>
            <w:r>
              <w:rPr>
                <w:rFonts w:ascii="Arial" w:hAnsi="Arial" w:eastAsia="Arial"/>
                <w:b w:val="0"/>
                <w:color w:val="263548"/>
                <w:sz w:val="17"/>
              </w:rPr>
              <w:t>عرض الدرس ومرفقاته والتنقل والدعم من المعلم.</w:t>
            </w:r>
          </w:p>
        </w:tc>
      </w:tr>
      <w:tr>
        <w:tc>
          <w:tcPr>
            <w:tcW w:type="dxa" w:w="5112"/>
            <w:vAlign w:val="center"/>
          </w:tcPr>
          <w:p>
            <w:pPr>
              <w:jc w:val="right"/>
              <w:bidi/>
            </w:pPr>
            <w:r/>
            <w:r>
              <w:rPr>
                <w:rFonts w:ascii="Arial" w:hAnsi="Arial" w:eastAsia="Arial"/>
                <w:b w:val="0"/>
                <w:color w:val="263548"/>
                <w:sz w:val="17"/>
              </w:rPr>
              <w:t>الاختبارات</w:t>
            </w:r>
          </w:p>
        </w:tc>
        <w:tc>
          <w:tcPr>
            <w:tcW w:type="dxa" w:w="5112"/>
            <w:vAlign w:val="center"/>
          </w:tcPr>
          <w:p>
            <w:pPr>
              <w:jc w:val="right"/>
              <w:bidi/>
            </w:pPr>
            <w:r/>
            <w:r>
              <w:rPr>
                <w:rFonts w:ascii="Arial" w:hAnsi="Arial" w:eastAsia="Arial"/>
                <w:b w:val="0"/>
                <w:color w:val="263548"/>
                <w:sz w:val="17"/>
              </w:rPr>
              <w:t>الأسئلة والمحاولات والوقت والتصحيح والنتائج.</w:t>
            </w:r>
          </w:p>
        </w:tc>
      </w:tr>
      <w:tr>
        <w:tc>
          <w:tcPr>
            <w:tcW w:type="dxa" w:w="5112"/>
            <w:vAlign w:val="center"/>
          </w:tcPr>
          <w:p>
            <w:pPr>
              <w:jc w:val="right"/>
              <w:bidi/>
            </w:pPr>
            <w:r/>
            <w:r>
              <w:rPr>
                <w:rFonts w:ascii="Arial" w:hAnsi="Arial" w:eastAsia="Arial"/>
                <w:b w:val="0"/>
                <w:color w:val="263548"/>
                <w:sz w:val="17"/>
              </w:rPr>
              <w:t>المحفظة والاشتراكات</w:t>
            </w:r>
          </w:p>
        </w:tc>
        <w:tc>
          <w:tcPr>
            <w:tcW w:type="dxa" w:w="5112"/>
            <w:vAlign w:val="center"/>
          </w:tcPr>
          <w:p>
            <w:pPr>
              <w:jc w:val="right"/>
              <w:bidi/>
            </w:pPr>
            <w:r/>
            <w:r>
              <w:rPr>
                <w:rFonts w:ascii="Arial" w:hAnsi="Arial" w:eastAsia="Arial"/>
                <w:b w:val="0"/>
                <w:color w:val="263548"/>
                <w:sz w:val="17"/>
              </w:rPr>
              <w:t>الرصيد وخيارات الشحن وسجل المعاملات وحالة الاشتراك.</w:t>
            </w:r>
          </w:p>
        </w:tc>
      </w:tr>
      <w:tr>
        <w:tc>
          <w:tcPr>
            <w:tcW w:type="dxa" w:w="5112"/>
            <w:vAlign w:val="center"/>
          </w:tcPr>
          <w:p>
            <w:pPr>
              <w:jc w:val="right"/>
              <w:bidi/>
            </w:pPr>
            <w:r/>
            <w:r>
              <w:rPr>
                <w:rFonts w:ascii="Arial" w:hAnsi="Arial" w:eastAsia="Arial"/>
                <w:b w:val="0"/>
                <w:color w:val="263548"/>
                <w:sz w:val="17"/>
              </w:rPr>
              <w:t>التنبيهات والبحث</w:t>
            </w:r>
          </w:p>
        </w:tc>
        <w:tc>
          <w:tcPr>
            <w:tcW w:type="dxa" w:w="5112"/>
            <w:vAlign w:val="center"/>
          </w:tcPr>
          <w:p>
            <w:pPr>
              <w:jc w:val="right"/>
              <w:bidi/>
            </w:pPr>
            <w:r/>
            <w:r>
              <w:rPr>
                <w:rFonts w:ascii="Arial" w:hAnsi="Arial" w:eastAsia="Arial"/>
                <w:b w:val="0"/>
                <w:color w:val="263548"/>
                <w:sz w:val="17"/>
              </w:rPr>
              <w:t>الوصول السريع للمحتوى والإشعارات ذات الصلة.</w:t>
            </w:r>
          </w:p>
        </w:tc>
      </w:tr>
      <w:tr>
        <w:tc>
          <w:tcPr>
            <w:tcW w:type="dxa" w:w="5112"/>
            <w:vAlign w:val="center"/>
          </w:tcPr>
          <w:p>
            <w:pPr>
              <w:jc w:val="right"/>
              <w:bidi/>
            </w:pPr>
            <w:r/>
            <w:r>
              <w:rPr>
                <w:rFonts w:ascii="Arial" w:hAnsi="Arial" w:eastAsia="Arial"/>
                <w:b w:val="0"/>
                <w:color w:val="263548"/>
                <w:sz w:val="17"/>
              </w:rPr>
              <w:t>إدارة المحتوى (مقترحة)</w:t>
            </w:r>
          </w:p>
        </w:tc>
        <w:tc>
          <w:tcPr>
            <w:tcW w:type="dxa" w:w="5112"/>
            <w:vAlign w:val="center"/>
          </w:tcPr>
          <w:p>
            <w:pPr>
              <w:jc w:val="right"/>
              <w:bidi/>
            </w:pPr>
            <w:r/>
            <w:r>
              <w:rPr>
                <w:rFonts w:ascii="Arial" w:hAnsi="Arial" w:eastAsia="Arial"/>
                <w:b w:val="0"/>
                <w:color w:val="263548"/>
                <w:sz w:val="17"/>
              </w:rPr>
              <w:t>أدوات إدارية لإضافة المواد والدروس والملفات والاختبارات والإعلانات.</w:t>
            </w:r>
          </w:p>
        </w:tc>
      </w:tr>
      <w:tr>
        <w:tc>
          <w:tcPr>
            <w:tcW w:type="dxa" w:w="5112"/>
            <w:vAlign w:val="center"/>
          </w:tcPr>
          <w:p>
            <w:pPr>
              <w:jc w:val="right"/>
              <w:bidi/>
            </w:pPr>
            <w:r/>
            <w:r>
              <w:rPr>
                <w:rFonts w:ascii="Arial" w:hAnsi="Arial" w:eastAsia="Arial"/>
                <w:b w:val="0"/>
                <w:color w:val="263548"/>
                <w:sz w:val="17"/>
              </w:rPr>
              <w:t>الحسابات والصلاحيات (مقترحة)</w:t>
            </w:r>
          </w:p>
        </w:tc>
        <w:tc>
          <w:tcPr>
            <w:tcW w:type="dxa" w:w="5112"/>
            <w:vAlign w:val="center"/>
          </w:tcPr>
          <w:p>
            <w:pPr>
              <w:jc w:val="right"/>
              <w:bidi/>
            </w:pPr>
            <w:r/>
            <w:r>
              <w:rPr>
                <w:rFonts w:ascii="Arial" w:hAnsi="Arial" w:eastAsia="Arial"/>
                <w:b w:val="0"/>
                <w:color w:val="263548"/>
                <w:sz w:val="17"/>
              </w:rPr>
              <w:t>تسجيل الدخول وإدارة ملفات المستخدمين وربط الأدوار والصلاحيات.</w:t>
            </w:r>
          </w:p>
        </w:tc>
      </w:tr>
    </w:tbl>
    <w:p>
      <w:pPr>
        <w:spacing w:after="0"/>
      </w:pPr>
    </w:p>
    <w:p>
      <w:pPr>
        <w:pStyle w:val="Heading1"/>
        <w:spacing w:before="160" w:after="80"/>
        <w:jc w:val="right"/>
        <w:bidi/>
      </w:pPr>
      <w:r>
        <w:t>8. نطاق المشروع</w:t>
      </w:r>
    </w:p>
    <w:p>
      <w:pPr>
        <w:pStyle w:val="Heading2"/>
        <w:jc w:val="right"/>
        <w:bidi/>
      </w:pPr>
      <w:r>
        <w:t>داخل النطاق</w:t>
      </w:r>
    </w:p>
    <w:p>
      <w:pPr>
        <w:pStyle w:val="ListBullet"/>
        <w:spacing w:after="40"/>
        <w:jc w:val="right"/>
        <w:bidi/>
      </w:pPr>
      <w:r>
        <w:t>واجهة الطالب ولوحة البداية واستعراض المواد والوحدات والدروس.</w:t>
      </w:r>
    </w:p>
    <w:p>
      <w:pPr>
        <w:pStyle w:val="ListBullet"/>
        <w:spacing w:after="40"/>
        <w:jc w:val="right"/>
        <w:bidi/>
      </w:pPr>
      <w:r>
        <w:t>عرض حالات الدرس: مكتمل، حالي، متاح، أو مقفل، وعرض الاختبارات والملفات ضمن المنهج.</w:t>
      </w:r>
    </w:p>
    <w:p>
      <w:pPr>
        <w:pStyle w:val="ListBullet"/>
        <w:spacing w:after="40"/>
        <w:jc w:val="right"/>
        <w:bidi/>
      </w:pPr>
      <w:r>
        <w:t>واجهات الجدول والإعلانات والتنبيهات ومؤشرات التقدم والمحفظة.</w:t>
      </w:r>
    </w:p>
    <w:p>
      <w:pPr>
        <w:pStyle w:val="ListBullet"/>
        <w:spacing w:after="40"/>
        <w:jc w:val="right"/>
        <w:bidi/>
      </w:pPr>
      <w:r>
        <w:t>دعم العربية وRTL والتصميم المتجاوب.</w:t>
      </w:r>
    </w:p>
    <w:p>
      <w:pPr>
        <w:pStyle w:val="Heading2"/>
        <w:jc w:val="right"/>
        <w:bidi/>
      </w:pPr>
      <w:r>
        <w:t>خارج النطاق الحالي أو يحتاج إلى استكمال</w:t>
      </w:r>
    </w:p>
    <w:p>
      <w:pPr>
        <w:pStyle w:val="ListBullet"/>
        <w:spacing w:after="40"/>
        <w:jc w:val="right"/>
        <w:bidi/>
      </w:pPr>
      <w:r>
        <w:t>الخادم وقاعدة البيانات الفعلية ومزامنة تقدم الطالب بين الأجهزة.</w:t>
      </w:r>
    </w:p>
    <w:p>
      <w:pPr>
        <w:pStyle w:val="ListBullet"/>
        <w:spacing w:after="40"/>
        <w:jc w:val="right"/>
        <w:bidi/>
      </w:pPr>
      <w:r>
        <w:t>التسجيل وتسجيل الدخول واستعادة الحساب وإدارة الصلاحيات.</w:t>
      </w:r>
    </w:p>
    <w:p>
      <w:pPr>
        <w:pStyle w:val="ListBullet"/>
        <w:spacing w:after="40"/>
        <w:jc w:val="right"/>
        <w:bidi/>
      </w:pPr>
      <w:r>
        <w:t>بوابات الدفع الحقيقية والتسوية والفواتير ومعالجة الاسترداد.</w:t>
      </w:r>
    </w:p>
    <w:p>
      <w:pPr>
        <w:pStyle w:val="ListBullet"/>
        <w:spacing w:after="40"/>
        <w:jc w:val="right"/>
        <w:bidi/>
      </w:pPr>
      <w:r>
        <w:t>لوحة إدارة المعلمين والمحتوى، والبث المباشر الفعلي والاستضافة المحمية للفيديو والملفات.</w:t>
      </w:r>
    </w:p>
    <w:p>
      <w:pPr>
        <w:pStyle w:val="ListBullet"/>
        <w:spacing w:after="40"/>
        <w:jc w:val="right"/>
        <w:bidi/>
      </w:pPr>
      <w:r>
        <w:t>إشعارات فورية، تكامل الرسائل، وتقارير تحليلية متقدمة.</w:t>
      </w:r>
    </w:p>
    <w:p>
      <w:pPr>
        <w:spacing w:after="80"/>
        <w:jc w:val="right"/>
        <w:bidi/>
      </w:pPr>
      <w:r>
        <w:t>ملاحظة تنفيذية: نسخة المشروع الحالية واجهة أمامية تستخدم بيانات ثابتة لأغراض العرض؛ لذلك تمثل وظائف الحسابات والحفظ والدفع والبث والتقارير أهدافاً للنسخة المتكاملة وليست قدرات مؤكدة في التشغيل الحالي.</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olor w:val="738294"/>
        <w:sz w:val="16"/>
      </w:rPr>
      <w:t xml:space="preserve">بسطتهالك | وثيقة المتطلبات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635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58B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8B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58B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منصة بسطتهالك</dc:title>
  <dc:subject>متطلبات الإصدار الأول لمنصة تعليمية لطلاب المرحلة الثانوية</dc:subject>
  <dc:creator>فريق مشروع بسطتهالك</dc:creator>
  <cp:keywords/>
  <dc:description>generated by python-docx</dc:description>
  <cp:lastModifiedBy/>
  <cp:revision>1</cp:revision>
  <dcterms:created xsi:type="dcterms:W3CDTF">2013-12-23T23:15:00Z</dcterms:created>
  <dcterms:modified xsi:type="dcterms:W3CDTF">2013-12-23T23:15:00Z</dcterms:modified>
  <cp:category/>
</cp:coreProperties>
</file>