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Basatahalak Platform Requirements Document</w:t>
      </w:r>
    </w:p>
    <w:p>
      <w:pPr>
        <w:jc w:val="center"/>
      </w:pPr>
      <w:r>
        <w:rPr>
          <w:b/>
          <w:color w:val="5F6F82"/>
          <w:sz w:val="24"/>
        </w:rPr>
        <w:t>Version 1 Requirements for an Online Learning Platform for Secondary Students</w:t>
      </w:r>
    </w:p>
    <w:p>
      <w:pPr>
        <w:spacing w:after="80"/>
      </w:pPr>
      <w:r>
        <w:t>This document defines the platform scope, goals, stakeholders, core functions, and quality requirements. It describes the product represented by the current project interface. Functions that depend on a server or external provider are identified as requirements for a complete release, not as capabilities confirmed in the current demo.</w:t>
      </w:r>
    </w:p>
    <w:p>
      <w:pPr>
        <w:pStyle w:val="Heading1"/>
        <w:spacing w:before="160" w:after="80"/>
      </w:pPr>
      <w:r>
        <w:t>1. Project Overview</w:t>
      </w:r>
    </w:p>
    <w:p>
      <w:pPr>
        <w:spacing w:after="80"/>
      </w:pPr>
      <w:r>
        <w:t>Basatahalak is an Arabic e-learning platform for secondary-school students in Egypt. It brings together school subjects, video lessons, revision files, quizzes, learning progress, announcements, a study schedule, and a wallet and subscriptions area. The interface supports Arabic, right-to-left presentation, and responsive layouts for different devices.</w:t>
      </w:r>
    </w:p>
    <w:p>
      <w:pPr>
        <w:pStyle w:val="Heading1"/>
        <w:spacing w:before="160" w:after="80"/>
      </w:pPr>
      <w:r>
        <w:t>2. Problem Statement</w:t>
      </w:r>
    </w:p>
    <w:p>
      <w:pPr>
        <w:spacing w:after="80"/>
      </w:pPr>
      <w:r>
        <w:t>Secondary students often rely on scattered channels, files, and services for learning and follow-up. This makes it harder to find revision material and quizzes, see what has been completed, follow new announcements, and manage subscriptions. The platform aims to bring the student’s daily learning journey into one clear interface, with content organized by grade and learning progress.</w:t>
      </w:r>
    </w:p>
    <w:p>
      <w:pPr>
        <w:pStyle w:val="Heading1"/>
        <w:spacing w:before="160" w:after="80"/>
      </w:pPr>
      <w:r>
        <w:t>3. Objectives</w:t>
      </w:r>
    </w:p>
    <w:p>
      <w:pPr>
        <w:pStyle w:val="ListBullet"/>
        <w:spacing w:after="40"/>
      </w:pPr>
      <w:r>
        <w:t>Provide organized access to secondary-school subjects and their content by grade and unit.</w:t>
      </w:r>
    </w:p>
    <w:p>
      <w:pPr>
        <w:pStyle w:val="ListBullet"/>
        <w:spacing w:after="40"/>
      </w:pPr>
      <w:r>
        <w:t>Let students watch lessons and access related revision files and quizzes.</w:t>
      </w:r>
    </w:p>
    <w:p>
      <w:pPr>
        <w:pStyle w:val="ListBullet"/>
        <w:spacing w:after="40"/>
      </w:pPr>
      <w:r>
        <w:t>Show learning progress, the current lesson, tasks, and announcements on a home dashboard.</w:t>
      </w:r>
    </w:p>
    <w:p>
      <w:pPr>
        <w:pStyle w:val="ListBullet"/>
        <w:spacing w:after="40"/>
      </w:pPr>
      <w:r>
        <w:t>Make it easier to review subscriptions, wallet balance, and transaction history.</w:t>
      </w:r>
    </w:p>
    <w:p>
      <w:pPr>
        <w:pStyle w:val="ListBullet"/>
        <w:spacing w:after="40"/>
      </w:pPr>
      <w:r>
        <w:t>Deliver an Arabic user experience that works well on phones and computers.</w:t>
      </w:r>
    </w:p>
    <w:p>
      <w:pPr>
        <w:pStyle w:val="ListBullet"/>
        <w:spacing w:after="40"/>
      </w:pPr>
      <w:r>
        <w:t>Provide a foundation that can later support teacher, content, and reporting tools.</w:t>
      </w:r>
    </w:p>
    <w:p>
      <w:pPr>
        <w:pStyle w:val="Heading1"/>
        <w:spacing w:before="160" w:after="80"/>
      </w:pPr>
      <w:r>
        <w:t>4. Actors and Stakeholders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left"/>
            </w:pPr>
            <w:r/>
            <w:r>
              <w:rPr>
                <w:rFonts w:ascii="Arial" w:hAnsi="Arial" w:eastAsia="Arial"/>
                <w:b/>
                <w:color w:val="FFFFFF"/>
                <w:sz w:val="18"/>
              </w:rPr>
              <w:t>Stakeholder</w:t>
            </w:r>
          </w:p>
        </w:tc>
        <w:tc>
          <w:tcPr>
            <w:tcW w:type="dxa" w:w="5112"/>
            <w:vAlign w:val="center"/>
            <w:shd w:fill="0058BE"/>
          </w:tcPr>
          <w:p>
            <w:pPr>
              <w:jc w:val="left"/>
            </w:pPr>
            <w:r/>
            <w:r>
              <w:rPr>
                <w:rFonts w:ascii="Arial" w:hAnsi="Arial" w:eastAsia="Arial"/>
                <w:b/>
                <w:color w:val="FFFFFF"/>
                <w:sz w:val="18"/>
              </w:rPr>
              <w:t>Role and needs</w:t>
            </w:r>
          </w:p>
        </w:tc>
      </w:tr>
      <w:tr>
        <w:tc>
          <w:tcPr>
            <w:tcW w:type="dxa" w:w="5112"/>
            <w:vAlign w:val="center"/>
          </w:tcPr>
          <w:p>
            <w:pPr>
              <w:jc w:val="left"/>
            </w:pPr>
            <w:r/>
            <w:r>
              <w:rPr>
                <w:rFonts w:ascii="Arial" w:hAnsi="Arial" w:eastAsia="Arial"/>
                <w:b w:val="0"/>
                <w:color w:val="263548"/>
                <w:sz w:val="17"/>
              </w:rPr>
              <w:t>Student</w:t>
            </w:r>
          </w:p>
        </w:tc>
        <w:tc>
          <w:tcPr>
            <w:tcW w:type="dxa" w:w="5112"/>
            <w:vAlign w:val="center"/>
          </w:tcPr>
          <w:p>
            <w:pPr>
              <w:jc w:val="left"/>
            </w:pPr>
            <w:r/>
            <w:r>
              <w:rPr>
                <w:rFonts w:ascii="Arial" w:hAnsi="Arial" w:eastAsia="Arial"/>
                <w:b w:val="0"/>
                <w:color w:val="263548"/>
                <w:sz w:val="17"/>
              </w:rPr>
              <w:t>Primary user; browses subjects and lessons, takes quizzes, and tracks progress and balance.</w:t>
            </w:r>
          </w:p>
        </w:tc>
      </w:tr>
      <w:tr>
        <w:tc>
          <w:tcPr>
            <w:tcW w:type="dxa" w:w="5112"/>
            <w:vAlign w:val="center"/>
          </w:tcPr>
          <w:p>
            <w:pPr>
              <w:jc w:val="left"/>
            </w:pPr>
            <w:r/>
            <w:r>
              <w:rPr>
                <w:rFonts w:ascii="Arial" w:hAnsi="Arial" w:eastAsia="Arial"/>
                <w:b w:val="0"/>
                <w:color w:val="263548"/>
                <w:sz w:val="17"/>
              </w:rPr>
              <w:t>Parent or guardian</w:t>
            </w:r>
          </w:p>
        </w:tc>
        <w:tc>
          <w:tcPr>
            <w:tcW w:type="dxa" w:w="5112"/>
            <w:vAlign w:val="center"/>
          </w:tcPr>
          <w:p>
            <w:pPr>
              <w:jc w:val="left"/>
            </w:pPr>
            <w:r/>
            <w:r>
              <w:rPr>
                <w:rFonts w:ascii="Arial" w:hAnsi="Arial" w:eastAsia="Arial"/>
                <w:b w:val="0"/>
                <w:color w:val="263548"/>
                <w:sz w:val="17"/>
              </w:rPr>
              <w:t>Potentially monitors student progress and subscriptions; no separate parent interface is currently shown.</w:t>
            </w:r>
          </w:p>
        </w:tc>
      </w:tr>
      <w:tr>
        <w:tc>
          <w:tcPr>
            <w:tcW w:type="dxa" w:w="5112"/>
            <w:vAlign w:val="center"/>
          </w:tcPr>
          <w:p>
            <w:pPr>
              <w:jc w:val="left"/>
            </w:pPr>
            <w:r/>
            <w:r>
              <w:rPr>
                <w:rFonts w:ascii="Arial" w:hAnsi="Arial" w:eastAsia="Arial"/>
                <w:b w:val="0"/>
                <w:color w:val="263548"/>
                <w:sz w:val="17"/>
              </w:rPr>
              <w:t>Teacher or content provider</w:t>
            </w:r>
          </w:p>
        </w:tc>
        <w:tc>
          <w:tcPr>
            <w:tcW w:type="dxa" w:w="5112"/>
            <w:vAlign w:val="center"/>
          </w:tcPr>
          <w:p>
            <w:pPr>
              <w:jc w:val="left"/>
            </w:pPr>
            <w:r/>
            <w:r>
              <w:rPr>
                <w:rFonts w:ascii="Arial" w:hAnsi="Arial" w:eastAsia="Arial"/>
                <w:b w:val="0"/>
                <w:color w:val="263548"/>
                <w:sz w:val="17"/>
              </w:rPr>
              <w:t>Prepares lessons, files, quizzes, announcements, or live sessions.</w:t>
            </w:r>
          </w:p>
        </w:tc>
      </w:tr>
      <w:tr>
        <w:tc>
          <w:tcPr>
            <w:tcW w:type="dxa" w:w="5112"/>
            <w:vAlign w:val="center"/>
          </w:tcPr>
          <w:p>
            <w:pPr>
              <w:jc w:val="left"/>
            </w:pPr>
            <w:r/>
            <w:r>
              <w:rPr>
                <w:rFonts w:ascii="Arial" w:hAnsi="Arial" w:eastAsia="Arial"/>
                <w:b w:val="0"/>
                <w:color w:val="263548"/>
                <w:sz w:val="17"/>
              </w:rPr>
              <w:t>Platform administrator</w:t>
            </w:r>
          </w:p>
        </w:tc>
        <w:tc>
          <w:tcPr>
            <w:tcW w:type="dxa" w:w="5112"/>
            <w:vAlign w:val="center"/>
          </w:tcPr>
          <w:p>
            <w:pPr>
              <w:jc w:val="left"/>
            </w:pPr>
            <w:r/>
            <w:r>
              <w:rPr>
                <w:rFonts w:ascii="Arial" w:hAnsi="Arial" w:eastAsia="Arial"/>
                <w:b w:val="0"/>
                <w:color w:val="263548"/>
                <w:sz w:val="17"/>
              </w:rPr>
              <w:t>Manages accounts, grades, content, subscriptions, support, and policies.</w:t>
            </w:r>
          </w:p>
        </w:tc>
      </w:tr>
      <w:tr>
        <w:tc>
          <w:tcPr>
            <w:tcW w:type="dxa" w:w="5112"/>
            <w:vAlign w:val="center"/>
          </w:tcPr>
          <w:p>
            <w:pPr>
              <w:jc w:val="left"/>
            </w:pPr>
            <w:r/>
            <w:r>
              <w:rPr>
                <w:rFonts w:ascii="Arial" w:hAnsi="Arial" w:eastAsia="Arial"/>
                <w:b w:val="0"/>
                <w:color w:val="263548"/>
                <w:sz w:val="17"/>
              </w:rPr>
              <w:t>Payment provider</w:t>
            </w:r>
          </w:p>
        </w:tc>
        <w:tc>
          <w:tcPr>
            <w:tcW w:type="dxa" w:w="5112"/>
            <w:vAlign w:val="center"/>
          </w:tcPr>
          <w:p>
            <w:pPr>
              <w:jc w:val="left"/>
            </w:pPr>
            <w:r/>
            <w:r>
              <w:rPr>
                <w:rFonts w:ascii="Arial" w:hAnsi="Arial" w:eastAsia="Arial"/>
                <w:b w:val="0"/>
                <w:color w:val="263548"/>
                <w:sz w:val="17"/>
              </w:rPr>
              <w:t>Processes wallet top-ups or subscriptions and returns a trusted transaction status; integration is required.</w:t>
            </w:r>
          </w:p>
        </w:tc>
      </w:tr>
      <w:tr>
        <w:tc>
          <w:tcPr>
            <w:tcW w:type="dxa" w:w="5112"/>
            <w:vAlign w:val="center"/>
          </w:tcPr>
          <w:p>
            <w:pPr>
              <w:jc w:val="left"/>
            </w:pPr>
            <w:r/>
            <w:r>
              <w:rPr>
                <w:rFonts w:ascii="Arial" w:hAnsi="Arial" w:eastAsia="Arial"/>
                <w:b w:val="0"/>
                <w:color w:val="263548"/>
                <w:sz w:val="17"/>
              </w:rPr>
              <w:t>Development and operations team</w:t>
            </w:r>
          </w:p>
        </w:tc>
        <w:tc>
          <w:tcPr>
            <w:tcW w:type="dxa" w:w="5112"/>
            <w:vAlign w:val="center"/>
          </w:tcPr>
          <w:p>
            <w:pPr>
              <w:jc w:val="left"/>
            </w:pPr>
            <w:r/>
            <w:r>
              <w:rPr>
                <w:rFonts w:ascii="Arial" w:hAnsi="Arial" w:eastAsia="Arial"/>
                <w:b w:val="0"/>
                <w:color w:val="263548"/>
                <w:sz w:val="17"/>
              </w:rPr>
              <w:t>Builds, secures, maintains, and monitors the platform.</w:t>
            </w:r>
          </w:p>
        </w:tc>
      </w:tr>
    </w:tbl>
    <w:p>
      <w:pPr>
        <w:spacing w:after="0"/>
      </w:pPr>
    </w:p>
    <w:p>
      <w:pPr>
        <w:pStyle w:val="Heading1"/>
        <w:spacing w:before="160" w:after="80"/>
      </w:pPr>
      <w:r>
        <w:t>5.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left"/>
            </w:pPr>
            <w:r/>
            <w:r>
              <w:rPr>
                <w:rFonts w:ascii="Arial" w:hAnsi="Arial" w:eastAsia="Arial"/>
                <w:b/>
                <w:color w:val="FFFFFF"/>
                <w:sz w:val="18"/>
              </w:rPr>
              <w:t>ID</w:t>
            </w:r>
          </w:p>
        </w:tc>
        <w:tc>
          <w:tcPr>
            <w:tcW w:type="dxa" w:w="5112"/>
            <w:vAlign w:val="center"/>
            <w:shd w:fill="0058BE"/>
          </w:tcPr>
          <w:p>
            <w:pPr>
              <w:jc w:val="left"/>
            </w:pPr>
            <w:r/>
            <w:r>
              <w:rPr>
                <w:rFonts w:ascii="Arial" w:hAnsi="Arial" w:eastAsia="Arial"/>
                <w:b/>
                <w:color w:val="FFFFFF"/>
                <w:sz w:val="18"/>
              </w:rPr>
              <w:t>Requirement</w:t>
            </w:r>
          </w:p>
        </w:tc>
      </w:tr>
      <w:tr>
        <w:tc>
          <w:tcPr>
            <w:tcW w:type="dxa" w:w="5112"/>
            <w:vAlign w:val="center"/>
          </w:tcPr>
          <w:p>
            <w:pPr>
              <w:jc w:val="left"/>
            </w:pPr>
            <w:r/>
            <w:r>
              <w:rPr>
                <w:rFonts w:ascii="Arial" w:hAnsi="Arial" w:eastAsia="Arial"/>
                <w:b w:val="0"/>
                <w:color w:val="263548"/>
                <w:sz w:val="17"/>
              </w:rPr>
              <w:t>FR-01</w:t>
            </w:r>
          </w:p>
        </w:tc>
        <w:tc>
          <w:tcPr>
            <w:tcW w:type="dxa" w:w="5112"/>
            <w:vAlign w:val="center"/>
          </w:tcPr>
          <w:p>
            <w:pPr>
              <w:jc w:val="left"/>
            </w:pPr>
            <w:r/>
            <w:r>
              <w:rPr>
                <w:rFonts w:ascii="Arial" w:hAnsi="Arial" w:eastAsia="Arial"/>
                <w:b w:val="0"/>
                <w:color w:val="263548"/>
                <w:sz w:val="17"/>
              </w:rPr>
              <w:t>The system shall show a home dashboard with subjects, announcements, a daily schedule, and activity streak indicators.</w:t>
            </w:r>
          </w:p>
        </w:tc>
      </w:tr>
      <w:tr>
        <w:tc>
          <w:tcPr>
            <w:tcW w:type="dxa" w:w="5112"/>
            <w:vAlign w:val="center"/>
          </w:tcPr>
          <w:p>
            <w:pPr>
              <w:jc w:val="left"/>
            </w:pPr>
            <w:r/>
            <w:r>
              <w:rPr>
                <w:rFonts w:ascii="Arial" w:hAnsi="Arial" w:eastAsia="Arial"/>
                <w:b w:val="0"/>
                <w:color w:val="263548"/>
                <w:sz w:val="17"/>
              </w:rPr>
              <w:t>FR-02</w:t>
            </w:r>
          </w:p>
        </w:tc>
        <w:tc>
          <w:tcPr>
            <w:tcW w:type="dxa" w:w="5112"/>
            <w:vAlign w:val="center"/>
          </w:tcPr>
          <w:p>
            <w:pPr>
              <w:jc w:val="left"/>
            </w:pPr>
            <w:r/>
            <w:r>
              <w:rPr>
                <w:rFonts w:ascii="Arial" w:hAnsi="Arial" w:eastAsia="Arial"/>
                <w:b w:val="0"/>
                <w:color w:val="263548"/>
                <w:sz w:val="17"/>
              </w:rPr>
              <w:t>The student shall be able to browse grades and subjects and view teacher details, units, lessons, and availability status.</w:t>
            </w:r>
          </w:p>
        </w:tc>
      </w:tr>
      <w:tr>
        <w:tc>
          <w:tcPr>
            <w:tcW w:type="dxa" w:w="5112"/>
            <w:vAlign w:val="center"/>
          </w:tcPr>
          <w:p>
            <w:pPr>
              <w:jc w:val="left"/>
            </w:pPr>
            <w:r/>
            <w:r>
              <w:rPr>
                <w:rFonts w:ascii="Arial" w:hAnsi="Arial" w:eastAsia="Arial"/>
                <w:b w:val="0"/>
                <w:color w:val="263548"/>
                <w:sz w:val="17"/>
              </w:rPr>
              <w:t>FR-03</w:t>
            </w:r>
          </w:p>
        </w:tc>
        <w:tc>
          <w:tcPr>
            <w:tcW w:type="dxa" w:w="5112"/>
            <w:vAlign w:val="center"/>
          </w:tcPr>
          <w:p>
            <w:pPr>
              <w:jc w:val="left"/>
            </w:pPr>
            <w:r/>
            <w:r>
              <w:rPr>
                <w:rFonts w:ascii="Arial" w:hAnsi="Arial" w:eastAsia="Arial"/>
                <w:b w:val="0"/>
                <w:color w:val="263548"/>
                <w:sz w:val="17"/>
              </w:rPr>
              <w:t>The system shall present lesson video content and allow navigation to the previous and next lessons, subject to the student’s access rights.</w:t>
            </w:r>
          </w:p>
        </w:tc>
      </w:tr>
      <w:tr>
        <w:tc>
          <w:tcPr>
            <w:tcW w:type="dxa" w:w="5112"/>
            <w:vAlign w:val="center"/>
          </w:tcPr>
          <w:p>
            <w:pPr>
              <w:jc w:val="left"/>
            </w:pPr>
            <w:r/>
            <w:r>
              <w:rPr>
                <w:rFonts w:ascii="Arial" w:hAnsi="Arial" w:eastAsia="Arial"/>
                <w:b w:val="0"/>
                <w:color w:val="263548"/>
                <w:sz w:val="17"/>
              </w:rPr>
              <w:t>FR-04</w:t>
            </w:r>
          </w:p>
        </w:tc>
        <w:tc>
          <w:tcPr>
            <w:tcW w:type="dxa" w:w="5112"/>
            <w:vAlign w:val="center"/>
          </w:tcPr>
          <w:p>
            <w:pPr>
              <w:jc w:val="left"/>
            </w:pPr>
            <w:r/>
            <w:r>
              <w:rPr>
                <w:rFonts w:ascii="Arial" w:hAnsi="Arial" w:eastAsia="Arial"/>
                <w:b w:val="0"/>
                <w:color w:val="263548"/>
                <w:sz w:val="17"/>
              </w:rPr>
              <w:t>The student shall be able to access PDF files and revision notes associated with units when available.</w:t>
            </w:r>
          </w:p>
        </w:tc>
      </w:tr>
      <w:tr>
        <w:tc>
          <w:tcPr>
            <w:tcW w:type="dxa" w:w="5112"/>
            <w:vAlign w:val="center"/>
          </w:tcPr>
          <w:p>
            <w:pPr>
              <w:jc w:val="left"/>
            </w:pPr>
            <w:r/>
            <w:r>
              <w:rPr>
                <w:rFonts w:ascii="Arial" w:hAnsi="Arial" w:eastAsia="Arial"/>
                <w:b w:val="0"/>
                <w:color w:val="263548"/>
                <w:sz w:val="17"/>
              </w:rPr>
              <w:t>FR-05</w:t>
            </w:r>
          </w:p>
        </w:tc>
        <w:tc>
          <w:tcPr>
            <w:tcW w:type="dxa" w:w="5112"/>
            <w:vAlign w:val="center"/>
          </w:tcPr>
          <w:p>
            <w:pPr>
              <w:jc w:val="left"/>
            </w:pPr>
            <w:r/>
            <w:r>
              <w:rPr>
                <w:rFonts w:ascii="Arial" w:hAnsi="Arial" w:eastAsia="Arial"/>
                <w:b w:val="0"/>
                <w:color w:val="263548"/>
                <w:sz w:val="17"/>
              </w:rPr>
              <w:t>The system shall support quizzes with questions, answer choices, time limits, attempt limits, and a result after submission.</w:t>
            </w:r>
          </w:p>
        </w:tc>
      </w:tr>
      <w:tr>
        <w:tc>
          <w:tcPr>
            <w:tcW w:type="dxa" w:w="5112"/>
            <w:vAlign w:val="center"/>
          </w:tcPr>
          <w:p>
            <w:pPr>
              <w:jc w:val="left"/>
            </w:pPr>
            <w:r/>
            <w:r>
              <w:rPr>
                <w:rFonts w:ascii="Arial" w:hAnsi="Arial" w:eastAsia="Arial"/>
                <w:b w:val="0"/>
                <w:color w:val="263548"/>
                <w:sz w:val="17"/>
              </w:rPr>
              <w:t>FR-06</w:t>
            </w:r>
          </w:p>
        </w:tc>
        <w:tc>
          <w:tcPr>
            <w:tcW w:type="dxa" w:w="5112"/>
            <w:vAlign w:val="center"/>
          </w:tcPr>
          <w:p>
            <w:pPr>
              <w:jc w:val="left"/>
            </w:pPr>
            <w:r/>
            <w:r>
              <w:rPr>
                <w:rFonts w:ascii="Arial" w:hAnsi="Arial" w:eastAsia="Arial"/>
                <w:b w:val="0"/>
                <w:color w:val="263548"/>
                <w:sz w:val="17"/>
              </w:rPr>
              <w:t>The system shall track lesson completion and quiz results and update progress indicators.</w:t>
            </w:r>
          </w:p>
        </w:tc>
      </w:tr>
      <w:tr>
        <w:tc>
          <w:tcPr>
            <w:tcW w:type="dxa" w:w="5112"/>
            <w:vAlign w:val="center"/>
          </w:tcPr>
          <w:p>
            <w:pPr>
              <w:jc w:val="left"/>
            </w:pPr>
            <w:r/>
            <w:r>
              <w:rPr>
                <w:rFonts w:ascii="Arial" w:hAnsi="Arial" w:eastAsia="Arial"/>
                <w:b w:val="0"/>
                <w:color w:val="263548"/>
                <w:sz w:val="17"/>
              </w:rPr>
              <w:t>FR-07</w:t>
            </w:r>
          </w:p>
        </w:tc>
        <w:tc>
          <w:tcPr>
            <w:tcW w:type="dxa" w:w="5112"/>
            <w:vAlign w:val="center"/>
          </w:tcPr>
          <w:p>
            <w:pPr>
              <w:jc w:val="left"/>
            </w:pPr>
            <w:r/>
            <w:r>
              <w:rPr>
                <w:rFonts w:ascii="Arial" w:hAnsi="Arial" w:eastAsia="Arial"/>
                <w:b w:val="0"/>
                <w:color w:val="263548"/>
                <w:sz w:val="17"/>
              </w:rPr>
              <w:t>The system shall display announcements and notifications, including live-session schedules, content updates, and results.</w:t>
            </w:r>
          </w:p>
        </w:tc>
      </w:tr>
      <w:tr>
        <w:tc>
          <w:tcPr>
            <w:tcW w:type="dxa" w:w="5112"/>
            <w:vAlign w:val="center"/>
          </w:tcPr>
          <w:p>
            <w:pPr>
              <w:jc w:val="left"/>
            </w:pPr>
            <w:r/>
            <w:r>
              <w:rPr>
                <w:rFonts w:ascii="Arial" w:hAnsi="Arial" w:eastAsia="Arial"/>
                <w:b w:val="0"/>
                <w:color w:val="263548"/>
                <w:sz w:val="17"/>
              </w:rPr>
              <w:t>FR-08</w:t>
            </w:r>
          </w:p>
        </w:tc>
        <w:tc>
          <w:tcPr>
            <w:tcW w:type="dxa" w:w="5112"/>
            <w:vAlign w:val="center"/>
          </w:tcPr>
          <w:p>
            <w:pPr>
              <w:jc w:val="left"/>
            </w:pPr>
            <w:r/>
            <w:r>
              <w:rPr>
                <w:rFonts w:ascii="Arial" w:hAnsi="Arial" w:eastAsia="Arial"/>
                <w:b w:val="0"/>
                <w:color w:val="263548"/>
                <w:sz w:val="17"/>
              </w:rPr>
              <w:t>The system shall show wallet balance, subscriptions, and transaction history, and support a top-up request through an approved payment method.</w:t>
            </w:r>
          </w:p>
        </w:tc>
      </w:tr>
      <w:tr>
        <w:tc>
          <w:tcPr>
            <w:tcW w:type="dxa" w:w="5112"/>
            <w:vAlign w:val="center"/>
          </w:tcPr>
          <w:p>
            <w:pPr>
              <w:jc w:val="left"/>
            </w:pPr>
            <w:r/>
            <w:r>
              <w:rPr>
                <w:rFonts w:ascii="Arial" w:hAnsi="Arial" w:eastAsia="Arial"/>
                <w:b w:val="0"/>
                <w:color w:val="263548"/>
                <w:sz w:val="17"/>
              </w:rPr>
              <w:t>FR-09</w:t>
            </w:r>
          </w:p>
        </w:tc>
        <w:tc>
          <w:tcPr>
            <w:tcW w:type="dxa" w:w="5112"/>
            <w:vAlign w:val="center"/>
          </w:tcPr>
          <w:p>
            <w:pPr>
              <w:jc w:val="left"/>
            </w:pPr>
            <w:r/>
            <w:r>
              <w:rPr>
                <w:rFonts w:ascii="Arial" w:hAnsi="Arial" w:eastAsia="Arial"/>
                <w:b w:val="0"/>
                <w:color w:val="263548"/>
                <w:sz w:val="17"/>
              </w:rPr>
              <w:t>The system shall provide search and navigation between platform areas, as well as a grade selector.</w:t>
            </w:r>
          </w:p>
        </w:tc>
      </w:tr>
      <w:tr>
        <w:tc>
          <w:tcPr>
            <w:tcW w:type="dxa" w:w="5112"/>
            <w:vAlign w:val="center"/>
          </w:tcPr>
          <w:p>
            <w:pPr>
              <w:jc w:val="left"/>
            </w:pPr>
            <w:r/>
            <w:r>
              <w:rPr>
                <w:rFonts w:ascii="Arial" w:hAnsi="Arial" w:eastAsia="Arial"/>
                <w:b w:val="0"/>
                <w:color w:val="263548"/>
                <w:sz w:val="17"/>
              </w:rPr>
              <w:t>FR-10</w:t>
            </w:r>
          </w:p>
        </w:tc>
        <w:tc>
          <w:tcPr>
            <w:tcW w:type="dxa" w:w="5112"/>
            <w:vAlign w:val="center"/>
          </w:tcPr>
          <w:p>
            <w:pPr>
              <w:jc w:val="left"/>
            </w:pPr>
            <w:r/>
            <w:r>
              <w:rPr>
                <w:rFonts w:ascii="Arial" w:hAnsi="Arial" w:eastAsia="Arial"/>
                <w:b w:val="0"/>
                <w:color w:val="263548"/>
                <w:sz w:val="17"/>
              </w:rPr>
              <w:t>The student shall be able to send a question or request help from the teacher in the context of a lesson.</w:t>
            </w:r>
          </w:p>
        </w:tc>
      </w:tr>
    </w:tbl>
    <w:p>
      <w:pPr>
        <w:spacing w:after="0"/>
      </w:pPr>
    </w:p>
    <w:p>
      <w:pPr>
        <w:pStyle w:val="Heading1"/>
        <w:spacing w:before="160" w:after="80"/>
      </w:pPr>
      <w:r>
        <w:t>6.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left"/>
            </w:pPr>
            <w:r/>
            <w:r>
              <w:rPr>
                <w:rFonts w:ascii="Arial" w:hAnsi="Arial" w:eastAsia="Arial"/>
                <w:b/>
                <w:color w:val="FFFFFF"/>
                <w:sz w:val="18"/>
              </w:rPr>
              <w:t>ID</w:t>
            </w:r>
          </w:p>
        </w:tc>
        <w:tc>
          <w:tcPr>
            <w:tcW w:type="dxa" w:w="5112"/>
            <w:vAlign w:val="center"/>
            <w:shd w:fill="0058BE"/>
          </w:tcPr>
          <w:p>
            <w:pPr>
              <w:jc w:val="left"/>
            </w:pPr>
            <w:r/>
            <w:r>
              <w:rPr>
                <w:rFonts w:ascii="Arial" w:hAnsi="Arial" w:eastAsia="Arial"/>
                <w:b/>
                <w:color w:val="FFFFFF"/>
                <w:sz w:val="18"/>
              </w:rPr>
              <w:t>Requirement</w:t>
            </w:r>
          </w:p>
        </w:tc>
      </w:tr>
      <w:tr>
        <w:tc>
          <w:tcPr>
            <w:tcW w:type="dxa" w:w="5112"/>
            <w:vAlign w:val="center"/>
          </w:tcPr>
          <w:p>
            <w:pPr>
              <w:jc w:val="left"/>
            </w:pPr>
            <w:r/>
            <w:r>
              <w:rPr>
                <w:rFonts w:ascii="Arial" w:hAnsi="Arial" w:eastAsia="Arial"/>
                <w:b w:val="0"/>
                <w:color w:val="263548"/>
                <w:sz w:val="17"/>
              </w:rPr>
              <w:t>NFR-01</w:t>
            </w:r>
          </w:p>
        </w:tc>
        <w:tc>
          <w:tcPr>
            <w:tcW w:type="dxa" w:w="5112"/>
            <w:vAlign w:val="center"/>
          </w:tcPr>
          <w:p>
            <w:pPr>
              <w:jc w:val="left"/>
            </w:pPr>
            <w:r/>
            <w:r>
              <w:rPr>
                <w:rFonts w:ascii="Arial" w:hAnsi="Arial" w:eastAsia="Arial"/>
                <w:b w:val="0"/>
                <w:color w:val="263548"/>
                <w:sz w:val="17"/>
              </w:rPr>
              <w:t>Usability: Arabic interfaces shall be clear, labels consistent, and common tasks reachable through short flows.</w:t>
            </w:r>
          </w:p>
        </w:tc>
      </w:tr>
      <w:tr>
        <w:tc>
          <w:tcPr>
            <w:tcW w:type="dxa" w:w="5112"/>
            <w:vAlign w:val="center"/>
          </w:tcPr>
          <w:p>
            <w:pPr>
              <w:jc w:val="left"/>
            </w:pPr>
            <w:r/>
            <w:r>
              <w:rPr>
                <w:rFonts w:ascii="Arial" w:hAnsi="Arial" w:eastAsia="Arial"/>
                <w:b w:val="0"/>
                <w:color w:val="263548"/>
                <w:sz w:val="17"/>
              </w:rPr>
              <w:t>NFR-02</w:t>
            </w:r>
          </w:p>
        </w:tc>
        <w:tc>
          <w:tcPr>
            <w:tcW w:type="dxa" w:w="5112"/>
            <w:vAlign w:val="center"/>
          </w:tcPr>
          <w:p>
            <w:pPr>
              <w:jc w:val="left"/>
            </w:pPr>
            <w:r/>
            <w:r>
              <w:rPr>
                <w:rFonts w:ascii="Arial" w:hAnsi="Arial" w:eastAsia="Arial"/>
                <w:b w:val="0"/>
                <w:color w:val="263548"/>
                <w:sz w:val="17"/>
              </w:rPr>
              <w:t>Compatibility: The design shall adapt to modern phones, tablets, and desktop computers.</w:t>
            </w:r>
          </w:p>
        </w:tc>
      </w:tr>
      <w:tr>
        <w:tc>
          <w:tcPr>
            <w:tcW w:type="dxa" w:w="5112"/>
            <w:vAlign w:val="center"/>
          </w:tcPr>
          <w:p>
            <w:pPr>
              <w:jc w:val="left"/>
            </w:pPr>
            <w:r/>
            <w:r>
              <w:rPr>
                <w:rFonts w:ascii="Arial" w:hAnsi="Arial" w:eastAsia="Arial"/>
                <w:b w:val="0"/>
                <w:color w:val="263548"/>
                <w:sz w:val="17"/>
              </w:rPr>
              <w:t>NFR-03</w:t>
            </w:r>
          </w:p>
        </w:tc>
        <w:tc>
          <w:tcPr>
            <w:tcW w:type="dxa" w:w="5112"/>
            <w:vAlign w:val="center"/>
          </w:tcPr>
          <w:p>
            <w:pPr>
              <w:jc w:val="left"/>
            </w:pPr>
            <w:r/>
            <w:r>
              <w:rPr>
                <w:rFonts w:ascii="Arial" w:hAnsi="Arial" w:eastAsia="Arial"/>
                <w:b w:val="0"/>
                <w:color w:val="263548"/>
                <w:sz w:val="17"/>
              </w:rPr>
              <w:t>Performance: Pages and core content shall load promptly, with appropriate optimization for images and media.</w:t>
            </w:r>
          </w:p>
        </w:tc>
      </w:tr>
      <w:tr>
        <w:tc>
          <w:tcPr>
            <w:tcW w:type="dxa" w:w="5112"/>
            <w:vAlign w:val="center"/>
          </w:tcPr>
          <w:p>
            <w:pPr>
              <w:jc w:val="left"/>
            </w:pPr>
            <w:r/>
            <w:r>
              <w:rPr>
                <w:rFonts w:ascii="Arial" w:hAnsi="Arial" w:eastAsia="Arial"/>
                <w:b w:val="0"/>
                <w:color w:val="263548"/>
                <w:sz w:val="17"/>
              </w:rPr>
              <w:t>NFR-04</w:t>
            </w:r>
          </w:p>
        </w:tc>
        <w:tc>
          <w:tcPr>
            <w:tcW w:type="dxa" w:w="5112"/>
            <w:vAlign w:val="center"/>
          </w:tcPr>
          <w:p>
            <w:pPr>
              <w:jc w:val="left"/>
            </w:pPr>
            <w:r/>
            <w:r>
              <w:rPr>
                <w:rFonts w:ascii="Arial" w:hAnsi="Arial" w:eastAsia="Arial"/>
                <w:b w:val="0"/>
                <w:color w:val="263548"/>
                <w:sz w:val="17"/>
              </w:rPr>
              <w:t>Security and privacy: Accounts and personal data shall be protected, paid content access restricted, and sensitive card data not stored by the platform.</w:t>
            </w:r>
          </w:p>
        </w:tc>
      </w:tr>
      <w:tr>
        <w:tc>
          <w:tcPr>
            <w:tcW w:type="dxa" w:w="5112"/>
            <w:vAlign w:val="center"/>
          </w:tcPr>
          <w:p>
            <w:pPr>
              <w:jc w:val="left"/>
            </w:pPr>
            <w:r/>
            <w:r>
              <w:rPr>
                <w:rFonts w:ascii="Arial" w:hAnsi="Arial" w:eastAsia="Arial"/>
                <w:b w:val="0"/>
                <w:color w:val="263548"/>
                <w:sz w:val="17"/>
              </w:rPr>
              <w:t>NFR-05</w:t>
            </w:r>
          </w:p>
        </w:tc>
        <w:tc>
          <w:tcPr>
            <w:tcW w:type="dxa" w:w="5112"/>
            <w:vAlign w:val="center"/>
          </w:tcPr>
          <w:p>
            <w:pPr>
              <w:jc w:val="left"/>
            </w:pPr>
            <w:r/>
            <w:r>
              <w:rPr>
                <w:rFonts w:ascii="Arial" w:hAnsi="Arial" w:eastAsia="Arial"/>
                <w:b w:val="0"/>
                <w:color w:val="263548"/>
                <w:sz w:val="17"/>
              </w:rPr>
              <w:t>Reliability: Student progress, quiz results, and transactions shall be stored accurately and errors handled safely.</w:t>
            </w:r>
          </w:p>
        </w:tc>
      </w:tr>
      <w:tr>
        <w:tc>
          <w:tcPr>
            <w:tcW w:type="dxa" w:w="5112"/>
            <w:vAlign w:val="center"/>
          </w:tcPr>
          <w:p>
            <w:pPr>
              <w:jc w:val="left"/>
            </w:pPr>
            <w:r/>
            <w:r>
              <w:rPr>
                <w:rFonts w:ascii="Arial" w:hAnsi="Arial" w:eastAsia="Arial"/>
                <w:b w:val="0"/>
                <w:color w:val="263548"/>
                <w:sz w:val="17"/>
              </w:rPr>
              <w:t>NFR-06</w:t>
            </w:r>
          </w:p>
        </w:tc>
        <w:tc>
          <w:tcPr>
            <w:tcW w:type="dxa" w:w="5112"/>
            <w:vAlign w:val="center"/>
          </w:tcPr>
          <w:p>
            <w:pPr>
              <w:jc w:val="left"/>
            </w:pPr>
            <w:r/>
            <w:r>
              <w:rPr>
                <w:rFonts w:ascii="Arial" w:hAnsi="Arial" w:eastAsia="Arial"/>
                <w:b w:val="0"/>
                <w:color w:val="263548"/>
                <w:sz w:val="17"/>
              </w:rPr>
              <w:t>Accessibility: The interface should support keyboard navigation, readable contrast, and appropriate control labels.</w:t>
            </w:r>
          </w:p>
        </w:tc>
      </w:tr>
      <w:tr>
        <w:tc>
          <w:tcPr>
            <w:tcW w:type="dxa" w:w="5112"/>
            <w:vAlign w:val="center"/>
          </w:tcPr>
          <w:p>
            <w:pPr>
              <w:jc w:val="left"/>
            </w:pPr>
            <w:r/>
            <w:r>
              <w:rPr>
                <w:rFonts w:ascii="Arial" w:hAnsi="Arial" w:eastAsia="Arial"/>
                <w:b w:val="0"/>
                <w:color w:val="263548"/>
                <w:sz w:val="17"/>
              </w:rPr>
              <w:t>NFR-07</w:t>
            </w:r>
          </w:p>
        </w:tc>
        <w:tc>
          <w:tcPr>
            <w:tcW w:type="dxa" w:w="5112"/>
            <w:vAlign w:val="center"/>
          </w:tcPr>
          <w:p>
            <w:pPr>
              <w:jc w:val="left"/>
            </w:pPr>
            <w:r/>
            <w:r>
              <w:rPr>
                <w:rFonts w:ascii="Arial" w:hAnsi="Arial" w:eastAsia="Arial"/>
                <w:b w:val="0"/>
                <w:color w:val="263548"/>
                <w:sz w:val="17"/>
              </w:rPr>
              <w:t>Maintainability: Presentation shall be separated from business logic and data so that grades and subjects can be extended.</w:t>
            </w:r>
          </w:p>
        </w:tc>
      </w:tr>
      <w:tr>
        <w:tc>
          <w:tcPr>
            <w:tcW w:type="dxa" w:w="5112"/>
            <w:vAlign w:val="center"/>
          </w:tcPr>
          <w:p>
            <w:pPr>
              <w:jc w:val="left"/>
            </w:pPr>
            <w:r/>
            <w:r>
              <w:rPr>
                <w:rFonts w:ascii="Arial" w:hAnsi="Arial" w:eastAsia="Arial"/>
                <w:b w:val="0"/>
                <w:color w:val="263548"/>
                <w:sz w:val="17"/>
              </w:rPr>
              <w:t>NFR-08</w:t>
            </w:r>
          </w:p>
        </w:tc>
        <w:tc>
          <w:tcPr>
            <w:tcW w:type="dxa" w:w="5112"/>
            <w:vAlign w:val="center"/>
          </w:tcPr>
          <w:p>
            <w:pPr>
              <w:jc w:val="left"/>
            </w:pPr>
            <w:r/>
            <w:r>
              <w:rPr>
                <w:rFonts w:ascii="Arial" w:hAnsi="Arial" w:eastAsia="Arial"/>
                <w:b w:val="0"/>
                <w:color w:val="263548"/>
                <w:sz w:val="17"/>
              </w:rPr>
              <w:t>Language support: Arabic and RTL shall be supported, including correct rendering of numbers, dates, and mixed-direction text.</w:t>
            </w:r>
          </w:p>
        </w:tc>
      </w:tr>
    </w:tbl>
    <w:p>
      <w:pPr>
        <w:spacing w:after="0"/>
      </w:pPr>
    </w:p>
    <w:p>
      <w:pPr>
        <w:pStyle w:val="Heading1"/>
        <w:spacing w:before="160" w:after="80"/>
      </w:pPr>
      <w:r>
        <w:t>7. System Modules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058BE"/>
          </w:tcPr>
          <w:p>
            <w:pPr>
              <w:jc w:val="left"/>
            </w:pPr>
            <w:r/>
            <w:r>
              <w:rPr>
                <w:rFonts w:ascii="Arial" w:hAnsi="Arial" w:eastAsia="Arial"/>
                <w:b/>
                <w:color w:val="FFFFFF"/>
                <w:sz w:val="18"/>
              </w:rPr>
              <w:t>Module</w:t>
            </w:r>
          </w:p>
        </w:tc>
        <w:tc>
          <w:tcPr>
            <w:tcW w:type="dxa" w:w="5112"/>
            <w:vAlign w:val="center"/>
            <w:shd w:fill="0058BE"/>
          </w:tcPr>
          <w:p>
            <w:pPr>
              <w:jc w:val="left"/>
            </w:pPr>
            <w:r/>
            <w:r>
              <w:rPr>
                <w:rFonts w:ascii="Arial" w:hAnsi="Arial" w:eastAsia="Arial"/>
                <w:b/>
                <w:color w:val="FFFFFF"/>
                <w:sz w:val="18"/>
              </w:rPr>
              <w:t>Primary responsibility</w:t>
            </w:r>
          </w:p>
        </w:tc>
      </w:tr>
      <w:tr>
        <w:tc>
          <w:tcPr>
            <w:tcW w:type="dxa" w:w="5112"/>
            <w:vAlign w:val="center"/>
          </w:tcPr>
          <w:p>
            <w:pPr>
              <w:jc w:val="left"/>
            </w:pPr>
            <w:r/>
            <w:r>
              <w:rPr>
                <w:rFonts w:ascii="Arial" w:hAnsi="Arial" w:eastAsia="Arial"/>
                <w:b w:val="0"/>
                <w:color w:val="263548"/>
                <w:sz w:val="17"/>
              </w:rPr>
              <w:t>Student dashboard</w:t>
            </w:r>
          </w:p>
        </w:tc>
        <w:tc>
          <w:tcPr>
            <w:tcW w:type="dxa" w:w="5112"/>
            <w:vAlign w:val="center"/>
          </w:tcPr>
          <w:p>
            <w:pPr>
              <w:jc w:val="left"/>
            </w:pPr>
            <w:r/>
            <w:r>
              <w:rPr>
                <w:rFonts w:ascii="Arial" w:hAnsi="Arial" w:eastAsia="Arial"/>
                <w:b w:val="0"/>
                <w:color w:val="263548"/>
                <w:sz w:val="17"/>
              </w:rPr>
              <w:t>Summary of study activity, announcements, schedule, and activity indicators.</w:t>
            </w:r>
          </w:p>
        </w:tc>
      </w:tr>
      <w:tr>
        <w:tc>
          <w:tcPr>
            <w:tcW w:type="dxa" w:w="5112"/>
            <w:vAlign w:val="center"/>
          </w:tcPr>
          <w:p>
            <w:pPr>
              <w:jc w:val="left"/>
            </w:pPr>
            <w:r/>
            <w:r>
              <w:rPr>
                <w:rFonts w:ascii="Arial" w:hAnsi="Arial" w:eastAsia="Arial"/>
                <w:b w:val="0"/>
                <w:color w:val="263548"/>
                <w:sz w:val="17"/>
              </w:rPr>
              <w:t>Subject explorer</w:t>
            </w:r>
          </w:p>
        </w:tc>
        <w:tc>
          <w:tcPr>
            <w:tcW w:type="dxa" w:w="5112"/>
            <w:vAlign w:val="center"/>
          </w:tcPr>
          <w:p>
            <w:pPr>
              <w:jc w:val="left"/>
            </w:pPr>
            <w:r/>
            <w:r>
              <w:rPr>
                <w:rFonts w:ascii="Arial" w:hAnsi="Arial" w:eastAsia="Arial"/>
                <w:b w:val="0"/>
                <w:color w:val="263548"/>
                <w:sz w:val="17"/>
              </w:rPr>
              <w:t>Grade and subject listings, curriculum details, and units.</w:t>
            </w:r>
          </w:p>
        </w:tc>
      </w:tr>
      <w:tr>
        <w:tc>
          <w:tcPr>
            <w:tcW w:type="dxa" w:w="5112"/>
            <w:vAlign w:val="center"/>
          </w:tcPr>
          <w:p>
            <w:pPr>
              <w:jc w:val="left"/>
            </w:pPr>
            <w:r/>
            <w:r>
              <w:rPr>
                <w:rFonts w:ascii="Arial" w:hAnsi="Arial" w:eastAsia="Arial"/>
                <w:b w:val="0"/>
                <w:color w:val="263548"/>
                <w:sz w:val="17"/>
              </w:rPr>
              <w:t>Lesson player</w:t>
            </w:r>
          </w:p>
        </w:tc>
        <w:tc>
          <w:tcPr>
            <w:tcW w:type="dxa" w:w="5112"/>
            <w:vAlign w:val="center"/>
          </w:tcPr>
          <w:p>
            <w:pPr>
              <w:jc w:val="left"/>
            </w:pPr>
            <w:r/>
            <w:r>
              <w:rPr>
                <w:rFonts w:ascii="Arial" w:hAnsi="Arial" w:eastAsia="Arial"/>
                <w:b w:val="0"/>
                <w:color w:val="263548"/>
                <w:sz w:val="17"/>
              </w:rPr>
              <w:t>Lesson presentation, attachments, navigation, and teacher support.</w:t>
            </w:r>
          </w:p>
        </w:tc>
      </w:tr>
      <w:tr>
        <w:tc>
          <w:tcPr>
            <w:tcW w:type="dxa" w:w="5112"/>
            <w:vAlign w:val="center"/>
          </w:tcPr>
          <w:p>
            <w:pPr>
              <w:jc w:val="left"/>
            </w:pPr>
            <w:r/>
            <w:r>
              <w:rPr>
                <w:rFonts w:ascii="Arial" w:hAnsi="Arial" w:eastAsia="Arial"/>
                <w:b w:val="0"/>
                <w:color w:val="263548"/>
                <w:sz w:val="17"/>
              </w:rPr>
              <w:t>Quizzes</w:t>
            </w:r>
          </w:p>
        </w:tc>
        <w:tc>
          <w:tcPr>
            <w:tcW w:type="dxa" w:w="5112"/>
            <w:vAlign w:val="center"/>
          </w:tcPr>
          <w:p>
            <w:pPr>
              <w:jc w:val="left"/>
            </w:pPr>
            <w:r/>
            <w:r>
              <w:rPr>
                <w:rFonts w:ascii="Arial" w:hAnsi="Arial" w:eastAsia="Arial"/>
                <w:b w:val="0"/>
                <w:color w:val="263548"/>
                <w:sz w:val="17"/>
              </w:rPr>
              <w:t>Questions, attempts, timing, grading, and results.</w:t>
            </w:r>
          </w:p>
        </w:tc>
      </w:tr>
      <w:tr>
        <w:tc>
          <w:tcPr>
            <w:tcW w:type="dxa" w:w="5112"/>
            <w:vAlign w:val="center"/>
          </w:tcPr>
          <w:p>
            <w:pPr>
              <w:jc w:val="left"/>
            </w:pPr>
            <w:r/>
            <w:r>
              <w:rPr>
                <w:rFonts w:ascii="Arial" w:hAnsi="Arial" w:eastAsia="Arial"/>
                <w:b w:val="0"/>
                <w:color w:val="263548"/>
                <w:sz w:val="17"/>
              </w:rPr>
              <w:t>Wallet and subscriptions</w:t>
            </w:r>
          </w:p>
        </w:tc>
        <w:tc>
          <w:tcPr>
            <w:tcW w:type="dxa" w:w="5112"/>
            <w:vAlign w:val="center"/>
          </w:tcPr>
          <w:p>
            <w:pPr>
              <w:jc w:val="left"/>
            </w:pPr>
            <w:r/>
            <w:r>
              <w:rPr>
                <w:rFonts w:ascii="Arial" w:hAnsi="Arial" w:eastAsia="Arial"/>
                <w:b w:val="0"/>
                <w:color w:val="263548"/>
                <w:sz w:val="17"/>
              </w:rPr>
              <w:t>Balance, top-up options, transaction history, and subscription status.</w:t>
            </w:r>
          </w:p>
        </w:tc>
      </w:tr>
      <w:tr>
        <w:tc>
          <w:tcPr>
            <w:tcW w:type="dxa" w:w="5112"/>
            <w:vAlign w:val="center"/>
          </w:tcPr>
          <w:p>
            <w:pPr>
              <w:jc w:val="left"/>
            </w:pPr>
            <w:r/>
            <w:r>
              <w:rPr>
                <w:rFonts w:ascii="Arial" w:hAnsi="Arial" w:eastAsia="Arial"/>
                <w:b w:val="0"/>
                <w:color w:val="263548"/>
                <w:sz w:val="17"/>
              </w:rPr>
              <w:t>Notifications and search</w:t>
            </w:r>
          </w:p>
        </w:tc>
        <w:tc>
          <w:tcPr>
            <w:tcW w:type="dxa" w:w="5112"/>
            <w:vAlign w:val="center"/>
          </w:tcPr>
          <w:p>
            <w:pPr>
              <w:jc w:val="left"/>
            </w:pPr>
            <w:r/>
            <w:r>
              <w:rPr>
                <w:rFonts w:ascii="Arial" w:hAnsi="Arial" w:eastAsia="Arial"/>
                <w:b w:val="0"/>
                <w:color w:val="263548"/>
                <w:sz w:val="17"/>
              </w:rPr>
              <w:t>Quick access to content and relevant updates.</w:t>
            </w:r>
          </w:p>
        </w:tc>
      </w:tr>
      <w:tr>
        <w:tc>
          <w:tcPr>
            <w:tcW w:type="dxa" w:w="5112"/>
            <w:vAlign w:val="center"/>
          </w:tcPr>
          <w:p>
            <w:pPr>
              <w:jc w:val="left"/>
            </w:pPr>
            <w:r/>
            <w:r>
              <w:rPr>
                <w:rFonts w:ascii="Arial" w:hAnsi="Arial" w:eastAsia="Arial"/>
                <w:b w:val="0"/>
                <w:color w:val="263548"/>
                <w:sz w:val="17"/>
              </w:rPr>
              <w:t>Content administration (proposed)</w:t>
            </w:r>
          </w:p>
        </w:tc>
        <w:tc>
          <w:tcPr>
            <w:tcW w:type="dxa" w:w="5112"/>
            <w:vAlign w:val="center"/>
          </w:tcPr>
          <w:p>
            <w:pPr>
              <w:jc w:val="left"/>
            </w:pPr>
            <w:r/>
            <w:r>
              <w:rPr>
                <w:rFonts w:ascii="Arial" w:hAnsi="Arial" w:eastAsia="Arial"/>
                <w:b w:val="0"/>
                <w:color w:val="263548"/>
                <w:sz w:val="17"/>
              </w:rPr>
              <w:t>Administrative tools for managing subjects, lessons, files, quizzes, and announcements.</w:t>
            </w:r>
          </w:p>
        </w:tc>
      </w:tr>
      <w:tr>
        <w:tc>
          <w:tcPr>
            <w:tcW w:type="dxa" w:w="5112"/>
            <w:vAlign w:val="center"/>
          </w:tcPr>
          <w:p>
            <w:pPr>
              <w:jc w:val="left"/>
            </w:pPr>
            <w:r/>
            <w:r>
              <w:rPr>
                <w:rFonts w:ascii="Arial" w:hAnsi="Arial" w:eastAsia="Arial"/>
                <w:b w:val="0"/>
                <w:color w:val="263548"/>
                <w:sz w:val="17"/>
              </w:rPr>
              <w:t>Accounts and permissions (proposed)</w:t>
            </w:r>
          </w:p>
        </w:tc>
        <w:tc>
          <w:tcPr>
            <w:tcW w:type="dxa" w:w="5112"/>
            <w:vAlign w:val="center"/>
          </w:tcPr>
          <w:p>
            <w:pPr>
              <w:jc w:val="left"/>
            </w:pPr>
            <w:r/>
            <w:r>
              <w:rPr>
                <w:rFonts w:ascii="Arial" w:hAnsi="Arial" w:eastAsia="Arial"/>
                <w:b w:val="0"/>
                <w:color w:val="263548"/>
                <w:sz w:val="17"/>
              </w:rPr>
              <w:t>Sign-in, user profiles, roles, and access control.</w:t>
            </w:r>
          </w:p>
        </w:tc>
      </w:tr>
    </w:tbl>
    <w:p>
      <w:pPr>
        <w:spacing w:after="0"/>
      </w:pPr>
    </w:p>
    <w:p>
      <w:pPr>
        <w:pStyle w:val="Heading1"/>
        <w:spacing w:before="160" w:after="80"/>
      </w:pPr>
      <w:r>
        <w:t>8. Project Scope</w:t>
      </w:r>
    </w:p>
    <w:p>
      <w:pPr>
        <w:pStyle w:val="Heading2"/>
      </w:pPr>
      <w:r>
        <w:t>In Scope</w:t>
      </w:r>
    </w:p>
    <w:p>
      <w:pPr>
        <w:pStyle w:val="ListBullet"/>
        <w:spacing w:after="40"/>
      </w:pPr>
      <w:r>
        <w:t>Student-facing dashboard and browsing of subjects, units, and lessons.</w:t>
      </w:r>
    </w:p>
    <w:p>
      <w:pPr>
        <w:pStyle w:val="ListBullet"/>
        <w:spacing w:after="40"/>
      </w:pPr>
      <w:r>
        <w:t>Lesson states: completed, current, available, or locked; quizzes and files within the curriculum.</w:t>
      </w:r>
    </w:p>
    <w:p>
      <w:pPr>
        <w:pStyle w:val="ListBullet"/>
        <w:spacing w:after="40"/>
      </w:pPr>
      <w:r>
        <w:t>Schedule, announcements, notifications, progress indicators, and wallet interface.</w:t>
      </w:r>
    </w:p>
    <w:p>
      <w:pPr>
        <w:pStyle w:val="ListBullet"/>
        <w:spacing w:after="40"/>
      </w:pPr>
      <w:r>
        <w:t>Arabic language support, RTL layout, and responsive design.</w:t>
      </w:r>
    </w:p>
    <w:p>
      <w:pPr>
        <w:pStyle w:val="Heading2"/>
      </w:pPr>
      <w:r>
        <w:t>Out of Scope for the Current Version or Requiring Further Implementation</w:t>
      </w:r>
    </w:p>
    <w:p>
      <w:pPr>
        <w:pStyle w:val="ListBullet"/>
        <w:spacing w:after="40"/>
      </w:pPr>
      <w:r>
        <w:t>A production backend and database, including synchronization of student progress across devices.</w:t>
      </w:r>
    </w:p>
    <w:p>
      <w:pPr>
        <w:pStyle w:val="ListBullet"/>
        <w:spacing w:after="40"/>
      </w:pPr>
      <w:r>
        <w:t>Registration, sign-in, account recovery, and permission management.</w:t>
      </w:r>
    </w:p>
    <w:p>
      <w:pPr>
        <w:pStyle w:val="ListBullet"/>
        <w:spacing w:after="40"/>
      </w:pPr>
      <w:r>
        <w:t>Live payment gateways, settlement, invoicing, and refund processing.</w:t>
      </w:r>
    </w:p>
    <w:p>
      <w:pPr>
        <w:pStyle w:val="ListBullet"/>
        <w:spacing w:after="40"/>
      </w:pPr>
      <w:r>
        <w:t>Teacher and content administration, real live streaming, and protected hosting for video and files.</w:t>
      </w:r>
    </w:p>
    <w:p>
      <w:pPr>
        <w:pStyle w:val="ListBullet"/>
        <w:spacing w:after="40"/>
      </w:pPr>
      <w:r>
        <w:t>Push notifications, messaging integrations, and advanced analytics reports.</w:t>
      </w:r>
    </w:p>
    <w:p>
      <w:pPr>
        <w:spacing w:after="80"/>
      </w:pPr>
      <w:r>
        <w:t>Implementation note: The current project is a front-end interface that uses static demonstration data. Account management, data persistence, real payments, live streaming, and reporting are therefore goals for a complete release, not confirmed capabilities of the current running version.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38294"/>
        <w:sz w:val="16"/>
      </w:rPr>
      <w:t xml:space="preserve">Basatahalak | Requirements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635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58B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58B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58B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Basatahalak Platform Requirements Document</dc:title>
  <dc:subject>Version 1 requirements for a secondary-school e-learning platform</dc:subject>
  <dc:creator>Basatahalak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