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مستودع</w:t>
      </w:r>
    </w:p>
    <w:p>
      <w:pPr>
        <w:bidi/>
        <w:spacing w:after="120"/>
        <w:jc w:val="start"/>
      </w:pPr>
      <w:r>
        <w:rPr>
          <w:rFonts w:ascii="Arial" w:cs="Arial" w:eastAsia="Arial" w:hAnsi="Arial"/>
          <w:b w:val="false"/>
          <w:bCs w:val="false"/>
          <w:color w:val="666666"/>
          <w:sz w:val="20"/>
          <w:szCs w:val="20"/>
          <w:rtl/>
        </w:rPr>
        <w:t xml:space="preserve">النسخة V37.46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يستلم التوريدَ ويصرف العهدةَ ويستقبل المرتجَع</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inventory</w:t>
            </w:r>
          </w:p>
        </w:tc>
        <w:tc>
          <w:tcPr>
            <w:tcW w:type="dxa" w:w="6000"/>
          </w:tcPr>
          <w:p>
            <w:pPr>
              <w:bidi/>
              <w:jc w:val="start"/>
            </w:pPr>
            <w:r>
              <w:rPr>
                <w:rFonts w:ascii="Arial" w:cs="Arial" w:eastAsia="Arial" w:hAnsi="Arial"/>
                <w:b w:val="false"/>
                <w:bCs w:val="false"/>
                <w:sz w:val="20"/>
                <w:szCs w:val="20"/>
                <w:rtl/>
              </w:rPr>
              <w:t xml:space="preserve">يحرّك المخزون</w:t>
            </w:r>
          </w:p>
        </w:tc>
      </w:tr>
      <w:tr>
        <w:tc>
          <w:tcPr>
            <w:tcW w:type="dxa" w:w="3000"/>
          </w:tcPr>
          <w:p>
            <w:pPr>
              <w:bidi/>
              <w:jc w:val="start"/>
            </w:pPr>
            <w:r>
              <w:rPr>
                <w:rFonts w:ascii="Arial" w:cs="Arial" w:eastAsia="Arial" w:hAnsi="Arial"/>
                <w:b w:val="false"/>
                <w:bCs w:val="false"/>
                <w:sz w:val="20"/>
                <w:szCs w:val="20"/>
                <w:rtl/>
              </w:rPr>
              <w:t xml:space="preserve">workshop</w:t>
            </w:r>
          </w:p>
        </w:tc>
        <w:tc>
          <w:tcPr>
            <w:tcW w:type="dxa" w:w="6000"/>
          </w:tcPr>
          <w:p>
            <w:pPr>
              <w:bidi/>
              <w:jc w:val="start"/>
            </w:pPr>
            <w:r>
              <w:rPr>
                <w:rFonts w:ascii="Arial" w:cs="Arial" w:eastAsia="Arial" w:hAnsi="Arial"/>
                <w:b w:val="false"/>
                <w:bCs w:val="false"/>
                <w:sz w:val="20"/>
                <w:szCs w:val="20"/>
                <w:rtl/>
              </w:rPr>
              <w:t xml:space="preserve">يعمل في الورشة</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الأرصدة</w:t>
            </w:r>
          </w:p>
        </w:tc>
        <w:tc>
          <w:tcPr>
            <w:tcW w:type="dxa" w:w="6400"/>
          </w:tcPr>
          <w:p>
            <w:pPr>
              <w:bidi/>
              <w:jc w:val="start"/>
            </w:pPr>
            <w:r>
              <w:rPr>
                <w:rFonts w:ascii="Arial" w:cs="Arial" w:eastAsia="Arial" w:hAnsi="Arial"/>
                <w:b w:val="false"/>
                <w:bCs w:val="false"/>
                <w:sz w:val="20"/>
                <w:szCs w:val="20"/>
                <w:rtl/>
              </w:rPr>
              <w:t xml:space="preserve">المخزن والعُهدة والتالف — مشتقّةً من دفتر الحركة لا مكتوبةً بإصبع.</w:t>
            </w:r>
          </w:p>
        </w:tc>
      </w:tr>
      <w:tr>
        <w:tc>
          <w:tcPr>
            <w:tcW w:type="dxa" w:w="2600"/>
          </w:tcPr>
          <w:p>
            <w:pPr>
              <w:bidi/>
              <w:jc w:val="start"/>
            </w:pPr>
            <w:r>
              <w:rPr>
                <w:rFonts w:ascii="Arial" w:cs="Arial" w:eastAsia="Arial" w:hAnsi="Arial"/>
                <w:b w:val="false"/>
                <w:bCs w:val="false"/>
                <w:sz w:val="20"/>
                <w:szCs w:val="20"/>
                <w:rtl/>
              </w:rPr>
              <w:t xml:space="preserve">المخزون ← دفتر الحركة</w:t>
            </w:r>
          </w:p>
        </w:tc>
        <w:tc>
          <w:tcPr>
            <w:tcW w:type="dxa" w:w="6400"/>
          </w:tcPr>
          <w:p>
            <w:pPr>
              <w:bidi/>
              <w:jc w:val="start"/>
            </w:pPr>
            <w:r>
              <w:rPr>
                <w:rFonts w:ascii="Arial" w:cs="Arial" w:eastAsia="Arial" w:hAnsi="Arial"/>
                <w:b w:val="false"/>
                <w:bCs w:val="false"/>
                <w:sz w:val="20"/>
                <w:szCs w:val="20"/>
                <w:rtl/>
              </w:rPr>
              <w:t xml:space="preserve">إلحاقيٌّ لا يُعدَّل — كل تصحيح حركةٌ جديدة تُوازنه.</w:t>
            </w:r>
          </w:p>
        </w:tc>
      </w:tr>
      <w:tr>
        <w:tc>
          <w:tcPr>
            <w:tcW w:type="dxa" w:w="2600"/>
          </w:tcPr>
          <w:p>
            <w:pPr>
              <w:bidi/>
              <w:jc w:val="start"/>
            </w:pPr>
            <w:r>
              <w:rPr>
                <w:rFonts w:ascii="Arial" w:cs="Arial" w:eastAsia="Arial" w:hAnsi="Arial"/>
                <w:b w:val="false"/>
                <w:bCs w:val="false"/>
                <w:sz w:val="20"/>
                <w:szCs w:val="20"/>
                <w:rtl/>
              </w:rPr>
              <w:t xml:space="preserve">المخزون ← الطلبات</w:t>
            </w:r>
          </w:p>
        </w:tc>
        <w:tc>
          <w:tcPr>
            <w:tcW w:type="dxa" w:w="6400"/>
          </w:tcPr>
          <w:p>
            <w:pPr>
              <w:bidi/>
              <w:jc w:val="start"/>
            </w:pPr>
            <w:r>
              <w:rPr>
                <w:rFonts w:ascii="Arial" w:cs="Arial" w:eastAsia="Arial" w:hAnsi="Arial"/>
                <w:b w:val="false"/>
                <w:bCs w:val="false"/>
                <w:sz w:val="20"/>
                <w:szCs w:val="20"/>
                <w:rtl/>
              </w:rPr>
              <w:t xml:space="preserve">طلباتُ التهيئة والتجميع — رقمُها وحالتُها ومن نفَّذها ومتى.</w:t>
            </w:r>
          </w:p>
        </w:tc>
      </w:tr>
      <w:tr>
        <w:tc>
          <w:tcPr>
            <w:tcW w:type="dxa" w:w="2600"/>
          </w:tcPr>
          <w:p>
            <w:pPr>
              <w:bidi/>
              <w:jc w:val="start"/>
            </w:pPr>
            <w:r>
              <w:rPr>
                <w:rFonts w:ascii="Arial" w:cs="Arial" w:eastAsia="Arial" w:hAnsi="Arial"/>
                <w:b w:val="false"/>
                <w:bCs w:val="false"/>
                <w:sz w:val="20"/>
                <w:szCs w:val="20"/>
                <w:rtl/>
              </w:rPr>
              <w:t xml:space="preserve">المخزون ← عُهدة الأجهزة</w:t>
            </w:r>
          </w:p>
        </w:tc>
        <w:tc>
          <w:tcPr>
            <w:tcW w:type="dxa" w:w="6400"/>
          </w:tcPr>
          <w:p>
            <w:pPr>
              <w:bidi/>
              <w:jc w:val="start"/>
            </w:pPr>
            <w:r>
              <w:rPr>
                <w:rFonts w:ascii="Arial" w:cs="Arial" w:eastAsia="Arial" w:hAnsi="Arial"/>
                <w:b w:val="false"/>
                <w:bCs w:val="false"/>
                <w:sz w:val="20"/>
                <w:szCs w:val="20"/>
                <w:rtl/>
              </w:rPr>
              <w:t xml:space="preserve">ما في يد كل منفِّذ الآن — من دفتر الحركة.</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V37.46  ·  ١١ أكتوبر ٢٠٢٦</w:t>
      </w:r>
    </w:p>
    <w:p>
      <w:pPr>
        <w:bidi/>
        <w:spacing w:after="120"/>
        <w:jc w:val="start"/>
      </w:pPr>
      <w:r>
        <w:rPr>
          <w:rFonts w:ascii="Arial" w:cs="Arial" w:eastAsia="Arial" w:hAnsi="Arial"/>
          <w:b w:val="false"/>
          <w:bCs w:val="false"/>
          <w:sz w:val="20"/>
          <w:szCs w:val="20"/>
          <w:rtl/>
        </w:rPr>
        <w:t xml:space="preserve">•  زرار جديد «📋 التقرير التنفيذي» في «متابعة الوزارة» ← شريط التصدير: بيطلّع قالب الوزارة نفسه بالظبط (نفس الأعمدة والقوائم المنسدلة والتذييل)، والتحديات في ٦ مجموعات بالإجراء المطلوب والجهة المسؤولة، بأرقام اللحظة كل ما تضغطه.</w:t>
      </w:r>
    </w:p>
    <w:p>
      <w:pPr>
        <w:bidi/>
        <w:spacing w:after="120"/>
        <w:jc w:val="start"/>
      </w:pPr>
      <w:r>
        <w:rPr>
          <w:rFonts w:ascii="Arial" w:cs="Arial" w:eastAsia="Arial" w:hAnsi="Arial"/>
          <w:b/>
          <w:bCs/>
          <w:sz w:val="22"/>
          <w:szCs w:val="22"/>
          <w:rtl/>
        </w:rPr>
        <w:t xml:space="preserve">V37.45  ·  ١١ أكتوبر ٢٠٢٦</w:t>
      </w:r>
    </w:p>
    <w:p>
      <w:pPr>
        <w:bidi/>
        <w:spacing w:after="120"/>
        <w:jc w:val="start"/>
      </w:pPr>
      <w:r>
        <w:rPr>
          <w:rFonts w:ascii="Arial" w:cs="Arial" w:eastAsia="Arial" w:hAnsi="Arial"/>
          <w:b w:val="false"/>
          <w:bCs w:val="false"/>
          <w:sz w:val="20"/>
          <w:szCs w:val="20"/>
          <w:rtl/>
        </w:rPr>
        <w:t xml:space="preserve">•  لوحة الوزارة الجديدة في كل نوافذ المتابعة: خلاصة مكتوبة تتولّد من الأرقام، ومقارنة بالأسبوع الماضي (▲▼)، وأقدم بند مفتوح والوسيط، والنسبة من نقاط المشعر نفسه، وخريطة صغيرة فيها النقاط دي ملوّنة وباقي النقاط باهتة، ومنحنى التراكم في ٣٠ يوم، وتصفية بالمشعر جوه النافذة (بتنعكس على اللوحة والقائمة والإكسل)، وزرار «طباعة اللوحة»، وسطر المصدر تحت.</w:t>
      </w:r>
    </w:p>
    <w:p>
      <w:pPr>
        <w:bidi/>
        <w:spacing w:after="120"/>
        <w:jc w:val="start"/>
      </w:pPr>
      <w:r>
        <w:rPr>
          <w:rFonts w:ascii="Arial" w:cs="Arial" w:eastAsia="Arial" w:hAnsi="Arial"/>
          <w:b/>
          <w:bCs/>
          <w:sz w:val="22"/>
          <w:szCs w:val="22"/>
          <w:rtl/>
        </w:rPr>
        <w:t xml:space="preserve">V37.44  ·  ١١ أكتوبر ٢٠٢٦</w:t>
      </w:r>
    </w:p>
    <w:p>
      <w:pPr>
        <w:bidi/>
        <w:spacing w:after="120"/>
        <w:jc w:val="start"/>
      </w:pPr>
      <w:r>
        <w:rPr>
          <w:rFonts w:ascii="Arial" w:cs="Arial" w:eastAsia="Arial" w:hAnsi="Arial"/>
          <w:b w:val="false"/>
          <w:bCs w:val="false"/>
          <w:sz w:val="20"/>
          <w:szCs w:val="20"/>
          <w:rtl/>
        </w:rPr>
        <w:t xml:space="preserve">•  «اجعلها نقطة تجربة» بقت مربوطة بصفحة «التجارب»: لو المخيم ليه تجربة مكتوب فيها اسمه بيتربط بيها، ولو ملوش بيتعمل له سطر «تجربة — اسم المخيم». ولو رجّعته نقطة عادية: السطر الفاضي بيتشال، واللي عليه بيانات (ساعات، مصروف، تقرير، أصناف) بيفضل. والتجربة اللي إنت ضفتها يدويًا اتربطت من غير ما تتكرر.</w:t>
      </w:r>
    </w:p>
    <w:p>
      <w:pPr>
        <w:bidi/>
        <w:spacing w:after="120"/>
        <w:jc w:val="start"/>
      </w:pPr>
      <w:r>
        <w:rPr>
          <w:rFonts w:ascii="Arial" w:cs="Arial" w:eastAsia="Arial" w:hAnsi="Arial"/>
          <w:b w:val="false"/>
          <w:bCs w:val="false"/>
          <w:sz w:val="20"/>
          <w:szCs w:val="20"/>
          <w:rtl/>
        </w:rPr>
        <w:t xml:space="preserve">•  في بطاقة كل تجربة مربوطة بقى فيه زرار باسم المخيم يفتحه.</w:t>
      </w:r>
    </w:p>
    <w:p>
      <w:pPr>
        <w:bidi/>
        <w:spacing w:after="120"/>
        <w:jc w:val="start"/>
      </w:pPr>
      <w:r>
        <w:rPr>
          <w:rFonts w:ascii="Arial" w:cs="Arial" w:eastAsia="Arial" w:hAnsi="Arial"/>
          <w:b/>
          <w:bCs/>
          <w:sz w:val="22"/>
          <w:szCs w:val="22"/>
          <w:rtl/>
        </w:rPr>
        <w:t xml:space="preserve">V37.43  ·  ١١ أكتوبر ٢٠٢٦</w:t>
      </w:r>
    </w:p>
    <w:p>
      <w:pPr>
        <w:bidi/>
        <w:spacing w:after="120"/>
        <w:jc w:val="start"/>
      </w:pPr>
      <w:r>
        <w:rPr>
          <w:rFonts w:ascii="Arial" w:cs="Arial" w:eastAsia="Arial" w:hAnsi="Arial"/>
          <w:b w:val="false"/>
          <w:bCs w:val="false"/>
          <w:sz w:val="20"/>
          <w:szCs w:val="20"/>
          <w:rtl/>
        </w:rPr>
        <w:t xml:space="preserve">•  دفتر المشتريات: في «تسجيل عملية شراء» بقت فيه خانة «صورة الفاتورة» — صوّر الفاتورة أو اختارها من المعرض، وتقدر تحذفها قبل الحفظ، وبتترفع لوحدها على الدرايف مع حفظ الشراء. وفي جدول «العمليات» عمود «الفاتورة» فيه «افتح» أول ما تترفع.</w:t>
      </w:r>
    </w:p>
    <w:p>
      <w:pPr>
        <w:bidi/>
        <w:spacing w:after="120"/>
        <w:jc w:val="start"/>
      </w:pPr>
      <w:r>
        <w:rPr>
          <w:rFonts w:ascii="Arial" w:cs="Arial" w:eastAsia="Arial" w:hAnsi="Arial"/>
          <w:b/>
          <w:bCs/>
          <w:sz w:val="22"/>
          <w:szCs w:val="22"/>
          <w:rtl/>
        </w:rPr>
        <w:t xml:space="preserve">V37.42  ·  ١١ أكتوبر ٢٠٢٦</w:t>
      </w:r>
    </w:p>
    <w:p>
      <w:pPr>
        <w:bidi/>
        <w:spacing w:after="120"/>
        <w:jc w:val="start"/>
      </w:pPr>
      <w:r>
        <w:rPr>
          <w:rFonts w:ascii="Arial" w:cs="Arial" w:eastAsia="Arial" w:hAnsi="Arial"/>
          <w:b w:val="false"/>
          <w:bCs w:val="false"/>
          <w:sz w:val="20"/>
          <w:szCs w:val="20"/>
          <w:rtl/>
        </w:rPr>
        <w:t xml:space="preserve">•  اللوحات على الموبايل: أسماء الفئات الطويلة بقت بتظهر على سطرين بدل ما تتقص.</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