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V37.52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0"/>
          <w:szCs w:val="20"/>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0"/>
          <w:szCs w:val="20"/>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0"/>
          <w:szCs w:val="20"/>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12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علامة إخفاء التبويبات كانت في خانة قاعدة الرؤية فوقّعت جرد الشرائح — اتنقلت لخانتها.</w:t>
      </w:r>
    </w:p>
    <w:p>
      <w:pPr>
        <w:bidi/>
        <w:spacing w:after="12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0"/>
          <w:szCs w:val="20"/>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12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0"/>
          <w:szCs w:val="20"/>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0"/>
          <w:szCs w:val="20"/>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12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0"/>
          <w:szCs w:val="20"/>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