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مستودع</w:t>
      </w:r>
    </w:p>
    <w:p>
      <w:pPr>
        <w:bidi/>
        <w:spacing w:after="120"/>
        <w:jc w:val="start"/>
      </w:pPr>
      <w:r>
        <w:rPr>
          <w:rFonts w:ascii="Arial" w:cs="Arial" w:eastAsia="Arial" w:hAnsi="Arial"/>
          <w:b w:val="false"/>
          <w:bCs w:val="false"/>
          <w:color w:val="666666"/>
          <w:sz w:val="20"/>
          <w:szCs w:val="20"/>
          <w:rtl/>
        </w:rPr>
        <w:t xml:space="preserve">النسخة V37.52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يستلم التوريدَ ويصرف العهدةَ ويستقبل المرتجَع</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inventory</w:t>
            </w:r>
          </w:p>
        </w:tc>
        <w:tc>
          <w:tcPr>
            <w:tcW w:type="dxa" w:w="6000"/>
          </w:tcPr>
          <w:p>
            <w:pPr>
              <w:bidi/>
              <w:jc w:val="start"/>
            </w:pPr>
            <w:r>
              <w:rPr>
                <w:rFonts w:ascii="Arial" w:cs="Arial" w:eastAsia="Arial" w:hAnsi="Arial"/>
                <w:b w:val="false"/>
                <w:bCs w:val="false"/>
                <w:sz w:val="20"/>
                <w:szCs w:val="20"/>
                <w:rtl/>
              </w:rPr>
              <w:t xml:space="preserve">يحرّك المخزون</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importAll</w:t>
            </w:r>
          </w:p>
        </w:tc>
        <w:tc>
          <w:tcPr>
            <w:tcW w:type="dxa" w:w="6000"/>
          </w:tcPr>
          <w:p>
            <w:pPr>
              <w:bidi/>
              <w:jc w:val="start"/>
            </w:pPr>
            <w:r>
              <w:rPr>
                <w:rFonts w:ascii="Arial" w:cs="Arial" w:eastAsia="Arial" w:hAnsi="Arial"/>
                <w:b w:val="false"/>
                <w:bCs w:val="false"/>
                <w:sz w:val="20"/>
                <w:szCs w:val="20"/>
                <w:rtl/>
              </w:rPr>
              <w:t xml:space="preserve">يستورد</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11</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الأرصدة</w:t>
            </w:r>
          </w:p>
        </w:tc>
        <w:tc>
          <w:tcPr>
            <w:tcW w:type="dxa" w:w="6400"/>
          </w:tcPr>
          <w:p>
            <w:pPr>
              <w:bidi/>
              <w:jc w:val="start"/>
            </w:pPr>
            <w:r>
              <w:rPr>
                <w:rFonts w:ascii="Arial" w:cs="Arial" w:eastAsia="Arial" w:hAnsi="Arial"/>
                <w:b w:val="false"/>
                <w:bCs w:val="false"/>
                <w:sz w:val="20"/>
                <w:szCs w:val="20"/>
                <w:rtl/>
              </w:rPr>
              <w:t xml:space="preserve">المخزن والعُهدة والتالف — مشتقّةً من دفتر الحركة لا مكتوبةً بإصبع.</w:t>
            </w:r>
          </w:p>
        </w:tc>
      </w:tr>
      <w:tr>
        <w:tc>
          <w:tcPr>
            <w:tcW w:type="dxa" w:w="2600"/>
          </w:tcPr>
          <w:p>
            <w:pPr>
              <w:bidi/>
              <w:jc w:val="start"/>
            </w:pPr>
            <w:r>
              <w:rPr>
                <w:rFonts w:ascii="Arial" w:cs="Arial" w:eastAsia="Arial" w:hAnsi="Arial"/>
                <w:b w:val="false"/>
                <w:bCs w:val="false"/>
                <w:sz w:val="20"/>
                <w:szCs w:val="20"/>
                <w:rtl/>
              </w:rPr>
              <w:t xml:space="preserve">المخزون ← دفتر الحركة</w:t>
            </w:r>
          </w:p>
        </w:tc>
        <w:tc>
          <w:tcPr>
            <w:tcW w:type="dxa" w:w="6400"/>
          </w:tcPr>
          <w:p>
            <w:pPr>
              <w:bidi/>
              <w:jc w:val="start"/>
            </w:pPr>
            <w:r>
              <w:rPr>
                <w:rFonts w:ascii="Arial" w:cs="Arial" w:eastAsia="Arial" w:hAnsi="Arial"/>
                <w:b w:val="false"/>
                <w:bCs w:val="false"/>
                <w:sz w:val="20"/>
                <w:szCs w:val="20"/>
                <w:rtl/>
              </w:rPr>
              <w:t xml:space="preserve">إلحاقيٌّ لا يُعدَّل — كل تصحيح حركةٌ جديدة تُوازنه.</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عُهدة الأجهزة</w:t>
            </w:r>
          </w:p>
        </w:tc>
        <w:tc>
          <w:tcPr>
            <w:tcW w:type="dxa" w:w="6400"/>
          </w:tcPr>
          <w:p>
            <w:pPr>
              <w:bidi/>
              <w:jc w:val="start"/>
            </w:pPr>
            <w:r>
              <w:rPr>
                <w:rFonts w:ascii="Arial" w:cs="Arial" w:eastAsia="Arial" w:hAnsi="Arial"/>
                <w:b w:val="false"/>
                <w:bCs w:val="false"/>
                <w:sz w:val="20"/>
                <w:szCs w:val="20"/>
                <w:rtl/>
              </w:rPr>
              <w:t xml:space="preserve">ما في يد كل منفِّذ الآن — من دفتر الحركة.</w:t>
            </w:r>
          </w:p>
        </w:tc>
      </w:tr>
      <w:tr>
        <w:tc>
          <w:tcPr>
            <w:tcW w:type="dxa" w:w="2600"/>
          </w:tcPr>
          <w:p>
            <w:pPr>
              <w:bidi/>
              <w:jc w:val="start"/>
            </w:pPr>
            <w:r>
              <w:rPr>
                <w:rFonts w:ascii="Arial" w:cs="Arial" w:eastAsia="Arial" w:hAnsi="Arial"/>
                <w:b w:val="false"/>
                <w:bCs w:val="false"/>
                <w:sz w:val="20"/>
                <w:szCs w:val="20"/>
                <w:rtl/>
              </w:rPr>
              <w:t xml:space="preserve">المخزون ← الشحنات والتوريد</w:t>
            </w:r>
          </w:p>
        </w:tc>
        <w:tc>
          <w:tcPr>
            <w:tcW w:type="dxa" w:w="6400"/>
          </w:tcPr>
          <w:p>
            <w:pPr>
              <w:bidi/>
              <w:jc w:val="start"/>
            </w:pPr>
            <w:r>
              <w:rPr>
                <w:rFonts w:ascii="Arial" w:cs="Arial" w:eastAsia="Arial" w:hAnsi="Arial"/>
                <w:b w:val="false"/>
                <w:bCs w:val="false"/>
                <w:sz w:val="20"/>
                <w:szCs w:val="20"/>
                <w:rtl/>
              </w:rPr>
              <w:t xml:space="preserve">ما شُحن ومتى يصل — وما تأخّر عن موعده.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السيارات ← الأسطول</w:t>
            </w:r>
          </w:p>
        </w:tc>
        <w:tc>
          <w:tcPr>
            <w:tcW w:type="dxa" w:w="6400"/>
          </w:tcPr>
          <w:p>
            <w:pPr>
              <w:bidi/>
              <w:jc w:val="start"/>
            </w:pPr>
            <w:r>
              <w:rPr>
                <w:rFonts w:ascii="Arial" w:cs="Arial" w:eastAsia="Arial" w:hAnsi="Arial"/>
                <w:b w:val="false"/>
                <w:bCs w:val="false"/>
                <w:sz w:val="20"/>
                <w:szCs w:val="20"/>
                <w:rtl/>
              </w:rPr>
              <w:t xml:space="preserve">أسطولُ المشروع — لوحاتُه ورخصُه وتكلفتُه.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V37.52  ·  ١٢ أكتوبر ٢٠٢٦</w:t>
      </w:r>
    </w:p>
    <w:p>
      <w:pPr>
        <w:bidi/>
        <w:spacing w:after="120"/>
        <w:jc w:val="start"/>
      </w:pPr>
      <w:r>
        <w:rPr>
          <w:rFonts w:ascii="Arial" w:cs="Arial" w:eastAsia="Arial" w:hAnsi="Arial"/>
          <w:b w:val="false"/>
          <w:bCs w:val="false"/>
          <w:sz w:val="20"/>
          <w:szCs w:val="20"/>
          <w:rtl/>
        </w:rPr>
        <w:t xml:space="preserve">•  الخريطة: فلتر «تحتاج زيارة تقنية» بقى موجود بعدده (كان بيتلوّن ومش بيتصفّى)، وفلترين جداد: «التقرير التنفيذي» بتصنيفاته و«المجموعات الأربع» بأعدادها.</w:t>
      </w:r>
    </w:p>
    <w:p>
      <w:pPr>
        <w:bidi/>
        <w:spacing w:after="120"/>
        <w:jc w:val="start"/>
      </w:pPr>
      <w:r>
        <w:rPr>
          <w:rFonts w:ascii="Arial" w:cs="Arial" w:eastAsia="Arial" w:hAnsi="Arial"/>
          <w:b w:val="false"/>
          <w:bCs w:val="false"/>
          <w:sz w:val="20"/>
          <w:szCs w:val="20"/>
          <w:rtl/>
        </w:rPr>
        <w:t xml:space="preserve">•  نافذة النقطة (للمهندس): «تصنيف التقرير التنفيذي» تلقائي أو بيد المهندس، بيتحفظ في السحابة ويوصل كل الأجهزة ويظهر في الملف. وزرار «تمت الزيارة التقنية» بيحوّل النقطة من برتقالي لأزرق، ويرجّعها لو احتجت.</w:t>
      </w:r>
    </w:p>
    <w:p>
      <w:pPr>
        <w:bidi/>
        <w:spacing w:after="120"/>
        <w:jc w:val="start"/>
      </w:pPr>
      <w:r>
        <w:rPr>
          <w:rFonts w:ascii="Arial" w:cs="Arial" w:eastAsia="Arial" w:hAnsi="Arial"/>
          <w:b w:val="false"/>
          <w:bCs w:val="false"/>
          <w:sz w:val="20"/>
          <w:szCs w:val="20"/>
          <w:rtl/>
        </w:rPr>
        <w:t xml:space="preserve">•  من ورقة التحديد: «تمت الزيارة التقنية» للمحدَّد كله دفعة واحدة، و«صنّف» المحدَّد في التقرير التنفيذي. والنقاط اللي اتركّبت بتنتقل لوحدها لصف «تم التركيب» في التقرير.</w:t>
      </w:r>
    </w:p>
    <w:p>
      <w:pPr>
        <w:bidi/>
        <w:spacing w:after="120"/>
        <w:jc w:val="start"/>
      </w:pPr>
      <w:r>
        <w:rPr>
          <w:rFonts w:ascii="Arial" w:cs="Arial" w:eastAsia="Arial" w:hAnsi="Arial"/>
          <w:b/>
          <w:bCs/>
          <w:sz w:val="22"/>
          <w:szCs w:val="22"/>
          <w:rtl/>
        </w:rPr>
        <w:t xml:space="preserve">V37.51  ·  ١١ أكتوبر ٢٠٢٦</w:t>
      </w:r>
    </w:p>
    <w:p>
      <w:pPr>
        <w:bidi/>
        <w:spacing w:after="120"/>
        <w:jc w:val="start"/>
      </w:pPr>
      <w:r>
        <w:rPr>
          <w:rFonts w:ascii="Arial" w:cs="Arial" w:eastAsia="Arial" w:hAnsi="Arial"/>
          <w:b w:val="false"/>
          <w:bCs w:val="false"/>
          <w:sz w:val="20"/>
          <w:szCs w:val="20"/>
          <w:rtl/>
        </w:rPr>
        <w:t xml:space="preserve">•  تصحيح لفحص التوثيق على الأصل: علامة إخفاء التبويبات كانت في خانة قاعدة الرؤية فوقّعت جرد الشرائح — اتنقلت لخانتها.</w:t>
      </w:r>
    </w:p>
    <w:p>
      <w:pPr>
        <w:bidi/>
        <w:spacing w:after="120"/>
        <w:jc w:val="start"/>
      </w:pPr>
      <w:r>
        <w:rPr>
          <w:rFonts w:ascii="Arial" w:cs="Arial" w:eastAsia="Arial" w:hAnsi="Arial"/>
          <w:b/>
          <w:bCs/>
          <w:sz w:val="22"/>
          <w:szCs w:val="22"/>
          <w:rtl/>
        </w:rPr>
        <w:t xml:space="preserve">V37.50  ·  ١١ أكتوبر ٢٠٢٦</w:t>
      </w:r>
    </w:p>
    <w:p>
      <w:pPr>
        <w:bidi/>
        <w:spacing w:after="120"/>
        <w:jc w:val="start"/>
      </w:pPr>
      <w:r>
        <w:rPr>
          <w:rFonts w:ascii="Arial" w:cs="Arial" w:eastAsia="Arial" w:hAnsi="Arial"/>
          <w:b w:val="false"/>
          <w:bCs w:val="false"/>
          <w:sz w:val="20"/>
          <w:szCs w:val="20"/>
          <w:rtl/>
        </w:rPr>
        <w:t xml:space="preserve">•  متابعة الوزارة: تبويبا «المسح الميداني» و«طلبات الوزارة» اتشالوا من الشريط، وشاشة «النقاط بعوائق وبدونها» بكل نوع (الإجمالي والمخيمات والممرات والمحطات والكاميرات…) بقت في الملخص نفسه، وكل رقم فيها بيفتح لوحته.</w:t>
      </w:r>
    </w:p>
    <w:p>
      <w:pPr>
        <w:bidi/>
        <w:spacing w:after="120"/>
        <w:jc w:val="start"/>
      </w:pPr>
      <w:r>
        <w:rPr>
          <w:rFonts w:ascii="Arial" w:cs="Arial" w:eastAsia="Arial" w:hAnsi="Arial"/>
          <w:b/>
          <w:bCs/>
          <w:sz w:val="22"/>
          <w:szCs w:val="22"/>
          <w:rtl/>
        </w:rPr>
        <w:t xml:space="preserve">V37.49  ·  ١١ أكتوبر ٢٠٢٦</w:t>
      </w:r>
    </w:p>
    <w:p>
      <w:pPr>
        <w:bidi/>
        <w:spacing w:after="120"/>
        <w:jc w:val="start"/>
      </w:pPr>
      <w:r>
        <w:rPr>
          <w:rFonts w:ascii="Arial" w:cs="Arial" w:eastAsia="Arial" w:hAnsi="Arial"/>
          <w:b w:val="false"/>
          <w:bCs w:val="false"/>
          <w:sz w:val="20"/>
          <w:szCs w:val="20"/>
          <w:rtl/>
        </w:rPr>
        <w:t xml:space="preserve">•  متابعة الوزارة بقت صفحة واحدة بوضعين: «📊 متابعة» للاجتماع، و«🖥 عرض القاعة» نفس الصفحة بملء الشاشة وبتلف لوحدها كل ١٥ ثانية. تبويب «شاشة القاعة» المنفصل اتشال، واللي كان فيه بس (الخلاصة، والمشاعر كم أُنجز وكم بقي، والتوقّع، وشغل الميدان آخر ٢٤ ساعة) بقى في الملخص.</w:t>
      </w:r>
    </w:p>
    <w:p>
      <w:pPr>
        <w:bidi/>
        <w:spacing w:after="120"/>
        <w:jc w:val="start"/>
      </w:pPr>
      <w:r>
        <w:rPr>
          <w:rFonts w:ascii="Arial" w:cs="Arial" w:eastAsia="Arial" w:hAnsi="Arial"/>
          <w:b w:val="false"/>
          <w:bCs w:val="false"/>
          <w:sz w:val="20"/>
          <w:szCs w:val="20"/>
          <w:rtl/>
        </w:rPr>
        <w:t xml:space="preserve">•  كل رقم في الملخص بيتضغط: المشاعر بتفتح لوحة المشعر مصفّاة بالإكسل، وشغل اليوم بيفتح لوحته، والخلاصة بتفتح الزيارة. والضغط في وضع القاعة بيوقّف التنقّل التلقائي. والنوافذ والبطاقات بقت أنعم في الظهور.</w:t>
      </w:r>
    </w:p>
    <w:p>
      <w:pPr>
        <w:bidi/>
        <w:spacing w:after="120"/>
        <w:jc w:val="start"/>
      </w:pPr>
      <w:r>
        <w:rPr>
          <w:rFonts w:ascii="Arial" w:cs="Arial" w:eastAsia="Arial" w:hAnsi="Arial"/>
          <w:b/>
          <w:bCs/>
          <w:sz w:val="22"/>
          <w:szCs w:val="22"/>
          <w:rtl/>
        </w:rPr>
        <w:t xml:space="preserve">V37.48  ·  ١١ أكتوبر ٢٠٢٦</w:t>
      </w:r>
    </w:p>
    <w:p>
      <w:pPr>
        <w:bidi/>
        <w:spacing w:after="120"/>
        <w:jc w:val="start"/>
      </w:pPr>
      <w:r>
        <w:rPr>
          <w:rFonts w:ascii="Arial" w:cs="Arial" w:eastAsia="Arial" w:hAnsi="Arial"/>
          <w:b w:val="false"/>
          <w:bCs w:val="false"/>
          <w:sz w:val="20"/>
          <w:szCs w:val="20"/>
          <w:rtl/>
        </w:rPr>
        <w:t xml:space="preserve">•  التقرير التنفيذي بقراراتك: ممرات مسجد نمرة اتشالت، والهجرة ٢ = مركز الجموم للتفويج (وأي نقطة تفويج اسمها مش واضح بتتبع أقرب مركز بموقعها)، والمخيم اللي شاخصه «1-3-5/56» بيتعدّ ٣ مخيمات (منى بقت ٦٩٨ زي رقمك، وعرفات بنفس القاعدة).</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