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تحديث الحساسات</w:t>
            </w:r>
          </w:p>
        </w:tc>
        <w:tc>
          <w:tcPr>
            <w:tcW w:type="dxa" w:w="6400"/>
          </w:tcPr>
          <w:p>
            <w:pPr>
              <w:bidi/>
              <w:jc w:val="start"/>
            </w:pPr>
            <w:r>
              <w:rPr>
                <w:rFonts w:ascii="Arial" w:cs="Arial" w:eastAsia="Arial" w:hAnsi="Arial"/>
                <w:b w:val="false"/>
                <w:bCs w:val="false"/>
                <w:sz w:val="20"/>
                <w:szCs w:val="20"/>
                <w:rtl/>
              </w:rPr>
              <w:t xml:space="preserve">كلُّ جهازٍ وحساس: محدَّثٌ أم لا، باسم النقطة والسيريال — بالفلاتر والبحث والتصدير.</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