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النقاط يُنشر في القاعدة ويُخزَّن على كل جهاز قبل أن يخرج من ملف التطبيق، وبلاغ النشر لا يكذب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ضغطة تصدير أثناء تحميل محرّك الإكسل تُقال فورًا — كانت تضيع وتوقف السلسلة بزرٍّ مختلف كل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التصدير يقول فورًا إن الملف يُجهَّز — كان يبدو ميتًا على الخط البطيء ويوقف السلسلة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العرض تتحدّث وحدها، وسلسلة النشر لا يوقفها التزام النسخة الاحتياطية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يقرأ القاعدة بالاسم، ونقل الصور بلا هدر، وسجل الصفحات الصحيح، وصور لوح التعديل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