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النقاط يُنشر في القاعدة ويُخزَّن على كل جهاز قبل أن يخرج من ملف التطبيق، وبلاغ النشر لا يكذب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ضغطة تصدير أثناء تحميل محرّك الإكسل تُقال فورًا — كانت تضيع وتوقف السلسلة بزرٍّ مختلف كل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التصدير يقول فورًا إن الملف يُجهَّز — كان يبدو ميتًا على الخط البطيء ويوقف السلسلة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V38.85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العرض تتحدّث وحدها، وسلسلة النشر لا يوقفها التزام النسخة الاحتياطية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 يقرأ القاعدة بالاسم، ونقل الصور بلا هدر، وسجل الصفحات الصحيح، وصور لوح التعديل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