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bidi/>
        <w:spacing w:after="160" w:before="2100"/>
        <w:jc w:val="center"/>
      </w:pPr>
      <w:r>
        <w:rPr>
          <w:rFonts w:ascii="Tahoma" w:cs="Tahoma" w:eastAsia="Tahoma" w:hAnsi="Tahoma"/>
          <w:b/>
          <w:bCs/>
          <w:color w:val="8C6D1F"/>
          <w:sz w:val="52"/>
          <w:szCs w:val="52"/>
          <w:rtl/>
        </w:rPr>
        <w:t xml:space="preserve">نُسُك Survey</w:t>
      </w:r>
    </w:p>
    <w:p>
      <w:pPr>
        <w:bidi/>
        <w:spacing w:after="120"/>
        <w:jc w:val="center"/>
      </w:pPr>
      <w:r>
        <w:rPr>
          <w:rFonts w:ascii="Tahoma" w:cs="Tahoma" w:eastAsia="Tahoma" w:hAnsi="Tahoma"/>
          <w:b/>
          <w:bCs/>
          <w:color w:val="1F2328"/>
          <w:sz w:val="30"/>
          <w:szCs w:val="30"/>
          <w:rtl/>
        </w:rPr>
        <w:t>وثيقة النظام الكاملة — V14.84</w:t>
      </w:r>
    </w:p>
    <w:p>
      <w:pPr>
        <w:bidi/>
        <w:spacing w:after="110"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20"/>
          <w:szCs w:val="20"/>
          <w:rtl/>
        </w:rPr>
        <w:t xml:space="preserve">المرجع التقني الشامل: المعمارية، البيانات، المزامنة، الأمن، الأنظمة الفرعية، الملفات، والحوكمة</w:t>
      </w:r>
    </w:p>
    <w:p>
      <w:pPr>
        <w:bidi/>
        <w:spacing w:after="2300"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18"/>
          <w:szCs w:val="18"/>
          <w:rtl/>
        </w:rPr>
        <w:t xml:space="preserve">متابعة المشروع ١٤٤٨هـ · أفاقي · أغسطس ٢٠٢٦ · إعداد: محمد صفوت</w:t>
      </w:r>
    </w:p>
    <w:p>
      <w:r>
        <w:br w:type="page"/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المحتويات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١.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الهوية والمهمة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٢.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المعمارية العامة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٣.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نموذج البيانات — المجموعات الثماني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٤.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محرك المزامنة — محلي أولًا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٥.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مسار الإسناد والجدولة — من قرار المهندس إلى تنفيذ الفني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٦.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نموذج الأمن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٧.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محرك اللغات الثلاث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٨.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الرسم والأداء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٩.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النظام الفرعي: صحة الأجهزة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١٠.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النظام الفرعي: الفك بعد الموسم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١١.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اللوحة والتصديرات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١٢.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ملفات المستودع — خريطة كاملة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١٣.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الحوكمة الآلية ودورة الإصدار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١٤.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القيود والمقايضات — معلنة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</w:t>
      </w:r>
    </w:p>
    <w:p>
      <w:pPr>
        <w:bidi/>
        <w:spacing w:after="95" w:line="285"/>
        <w:jc w:val="start"/>
      </w:pPr>
      <w:r>
        <w:rPr>
          <w:rFonts w:ascii="Tahoma" w:cs="Tahoma" w:eastAsia="Tahoma" w:hAnsi="Tahoma"/>
          <w:b/>
          <w:bCs/>
          <w:color w:val="1F2328"/>
          <w:sz w:val="20"/>
          <w:szCs w:val="20"/>
          <w:rtl/>
        </w:rPr>
        <w:t xml:space="preserve">الأشكال: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١ دورة حياة النقطة · ٢ مسارات الإسناد والجدولة · ٣ رحلة الإدخال والمزامنة · ٤ سلسلة المراقبة الصحية · ٥ آلة حالات الفك</w:t>
      </w:r>
    </w:p>
    <w:p>
      <w:r>
        <w:br w:type="page"/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١. الهوية والمهمة</w:t>
      </w:r>
    </w:p>
    <w:p>
      <w:pPr>
        <w:bidi/>
        <w:spacing w:after="95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نظام ميداني لإدارة تركيب وتشغيل وفكّ </w:t>
      </w:r>
      <w:r>
        <w:rPr>
          <w:rFonts w:ascii="Tahoma" w:cs="Tahoma" w:eastAsia="Tahoma" w:hAnsi="Tahoma"/>
          <w:b/>
          <w:bCs/>
          <w:color w:val="1F2328"/>
          <w:sz w:val="20"/>
          <w:szCs w:val="20"/>
          <w:rtl/>
        </w:rPr>
        <w:t xml:space="preserve">١٬٧٨٧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نقطة قارئ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RFID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في المشاعر (منى ٩٤٦ · عرفات ٨٠٥ · مزدلفة ٣٦) لموسم حج ١٤٤٨هـ، بأربعة أدوار: مشرف ميداني، مهندس (أدمن)، مدير مكتب، وجهة وزارية للقراءة.</w:t>
      </w:r>
    </w:p>
    <w:tbl>
      <w:tblPr>
        <w:bidiVisual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50"/>
        <w:gridCol w:w="6910"/>
      </w:tblGrid>
      <w:tr>
        <w:tc>
          <w:tcPr>
            <w:tcW w:type="dxa" w:w="245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7"/>
                <w:szCs w:val="17"/>
                <w:rtl/>
              </w:rPr>
              <w:t xml:space="preserve">البند</w:t>
            </w:r>
          </w:p>
        </w:tc>
        <w:tc>
          <w:tcPr>
            <w:tcW w:type="dxa" w:w="691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7"/>
                <w:szCs w:val="17"/>
                <w:rtl/>
              </w:rPr>
              <w:t xml:space="preserve">القيمة</w:t>
            </w:r>
          </w:p>
        </w:tc>
      </w:tr>
      <w:tr>
        <w:tc>
          <w:tcPr>
            <w:tcW w:type="dxa" w:w="2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المستودع والاستضافة</w:t>
            </w:r>
          </w:p>
        </w:tc>
        <w:tc>
          <w:tcPr>
            <w:tcW w:type="dxa" w:w="6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github.com/mhmdsfwt371/-Project-survey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 ← صفحات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GitHub Pages</w:t>
            </w:r>
          </w:p>
        </w:tc>
      </w:tr>
      <w:tr>
        <w:tc>
          <w:tcPr>
            <w:tcW w:type="dxa" w:w="2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الواجهة الخلفية</w:t>
            </w:r>
          </w:p>
        </w:tc>
        <w:tc>
          <w:tcPr>
            <w:tcW w:type="dxa" w:w="6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Firebase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— مشروع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project-survey-60600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: مصادقة بريد/كلمة +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Cloud Firestore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(خطة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Spark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)</w:t>
            </w:r>
          </w:p>
        </w:tc>
      </w:tr>
      <w:tr>
        <w:tc>
          <w:tcPr>
            <w:tcW w:type="dxa" w:w="2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بنية التطبيق</w:t>
            </w:r>
          </w:p>
        </w:tc>
        <w:tc>
          <w:tcPr>
            <w:tcW w:type="dxa" w:w="6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index.html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واحد (~2.5MB) +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sw.js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+ أداة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tools/prober.html</w:t>
            </w:r>
          </w:p>
        </w:tc>
      </w:tr>
      <w:tr>
        <w:tc>
          <w:tcPr>
            <w:tcW w:type="dxa" w:w="2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أندرويد</w:t>
            </w:r>
          </w:p>
        </w:tc>
        <w:tc>
          <w:tcPr>
            <w:tcW w:type="dxa" w:w="6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حزمة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TWA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عبر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Bubblewrap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و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GitHub Actions</w:t>
            </w:r>
          </w:p>
        </w:tc>
      </w:tr>
    </w:tbl>
    <w:tbl>
      <w:tblPr>
        <w:bidiVisual/>
        <w:tblW w:type="dxa" w:w="920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600"/>
        <w:gridCol w:w="300"/>
        <w:gridCol w:w="1600"/>
        <w:gridCol w:w="300"/>
        <w:gridCol w:w="1600"/>
        <w:gridCol w:w="300"/>
        <w:gridCol w:w="1600"/>
        <w:gridCol w:w="300"/>
        <w:gridCol w:w="1600"/>
      </w:tblGrid>
      <w:tr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لم يُزر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تمت الزيارة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مجدول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قيد التركيب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مُركّب</w:t>
            </w:r>
          </w:p>
        </w:tc>
      </w:tr>
    </w:tbl>
    <w:tbl>
      <w:tblPr>
        <w:bidiVisual/>
        <w:tblW w:type="dxa" w:w="920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600"/>
        <w:gridCol w:w="300"/>
        <w:gridCol w:w="1600"/>
        <w:gridCol w:w="300"/>
        <w:gridCol w:w="1600"/>
        <w:gridCol w:w="300"/>
        <w:gridCol w:w="1600"/>
        <w:gridCol w:w="300"/>
        <w:gridCol w:w="1600"/>
      </w:tblGrid>
      <w:tr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مُركّب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تشغيل ومراقبة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فك مجدول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تم الفك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إرجاع العُهدة</w:t>
            </w:r>
          </w:p>
        </w:tc>
      </w:tr>
    </w:tbl>
    <w:p>
      <w:pPr>
        <w:bidi/>
        <w:spacing w:after="170" w:before="70"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16"/>
          <w:szCs w:val="16"/>
          <w:rtl/>
        </w:rPr>
        <w:t xml:space="preserve">شكل ١ — دورة حياة النقطة الواحدة من المسح حتى إرجاع العُهدة (تُقرأ من اليمين إلى اليسار)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٢. المعمارية العامة</w:t>
      </w:r>
    </w:p>
    <w:p>
      <w:pPr>
        <w:bidi/>
        <w:spacing w:after="95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قرار الملف الواحد قرارٌ هندسي: نشرٌ ذري (نسخة كاملة بطلب واحد — لا تجزئة قد تختلط في كاش ميداني رديء)، وقشرة أوفلاين مكتملة، وترقيم موحّد يفرضه حارس آلي. الكلفة المعلومة (الحجم وتعارضات الدمج) مُدارة بانضباط كتل السكربت وحارس النطاقات.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كتل تنفيذ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classic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متعددة (النواة والواجهات واللوحة وجدولي واللغات والحسابات) وكتلة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ES Module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واحدة لمحرك المزامنة — العبور بين الكتل عبر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window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حصرًا، ويمنع الحارسُ أي مرجعٍ عابرٍ مباشر.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عامل الخدمة: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network-first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بمهلة ثم الكاش، وكاشٌ باسم النسخة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nusuk-survey-vX.Y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يتبدل مع كل إصدار فيتجدد التطبيق ذاتيًا؛ ورقم النسخة في الترويسة زرُّ فحصٍ فوري لكل الأدوار.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الخرائط: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Leaflet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براسم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Canvas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(لا عناصر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DOM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لكل نقطة)، بخريطتي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CARTO Positron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وقمرٍ صناعي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Esri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٣. نموذج البيانات — المجموعات الثماني</w:t>
      </w:r>
    </w:p>
    <w:p>
      <w:pPr>
        <w:bidi/>
        <w:spacing w:after="95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معرّف النقطة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NSK-&lt;ZONE&gt;-&lt;TYPE&gt;-&lt;N&gt;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، والشاخص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/^\d+\/\d+$/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حصرًا، والشركة من قائمة معتمدة.</w:t>
      </w:r>
    </w:p>
    <w:tbl>
      <w:tblPr>
        <w:bidiVisual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50"/>
        <w:gridCol w:w="7610"/>
      </w:tblGrid>
      <w:tr>
        <w:tc>
          <w:tcPr>
            <w:tcW w:type="dxa" w:w="175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7"/>
                <w:szCs w:val="17"/>
                <w:rtl/>
              </w:rPr>
              <w:t xml:space="preserve">المجموعة</w:t>
            </w:r>
          </w:p>
        </w:tc>
        <w:tc>
          <w:tcPr>
            <w:tcW w:type="dxa" w:w="761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7"/>
                <w:szCs w:val="17"/>
                <w:rtl/>
              </w:rPr>
              <w:t xml:space="preserve">الشكل والدلالة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recs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سجل المسح: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fstat∈{done,draft,blocked}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قياسات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v{}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تصويبات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fix{}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تحديات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chal[]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سجل مراجعات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log[]/rev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صور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photos{k:dataURL}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inss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التركيب والتشغيل: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status∈{مجدول،قيد التركيب،مُركّب}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team,sched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عناوين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net{router,reader,camera}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كيان الفك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dis{st,team,sched,cond,doneBy,doneAt}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props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مقترحات الميدان بمسار اعتماد المهندس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photos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وثيقة لكل لقطة (فُصلت لتجاوز حد الوثيقة) بحارس حجم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≤980KB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colist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قائمة الشركات المعتمدة + طلبات الإضافة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st:'req'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settings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target · teams{list,leads} · contacts · cotel · hbcmd · applock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events / hbev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سجلان إلحاقيان: أحداث النظام وانتقالات الصحة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{from,to,ts}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— إنشاء فقط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hb / users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hb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: آخر حالة لكل جهاز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site__kind→{st,ts,since}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users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: الدور والتفعيل</w:t>
            </w:r>
          </w:p>
        </w:tc>
      </w:tr>
    </w:tbl>
    <w:p>
      <w:pPr>
        <w:bidi/>
        <w:spacing w:after="95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حقول دفتر المزامنة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synced/syncAt/syncErr/syncTry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محليةٌ قطعًا وتُجرَّد بالاتجاهين عبر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strip()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— تسرّبها سبّب حلقة إعادة رفع أُغلقت جذريًا.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٤. محرك المزامنة — محلي أولًا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NSKCORE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ذاكرة الحالة ومخزن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IndexedDB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بمفاتيح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rec:/ins:/prp: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— كل كتابة تثبت محليًا قبل أي شبكة.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NSKSYNC.push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قمع الرفع الوحيد: يفصل الصور لوثائقها، يختم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_up=serverTimestamp,_by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، وفيه خطاف إشعارات الجدولة؛ ودافع دوري كل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30s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لغير المؤكد.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applySnap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: تخطي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hasPendingWrites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← تجريد ← مقارنة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eq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فلا كتابة بلا فرق ← صيانة صور أحدث محليًا عبر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PHBUF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وبصمة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len+tail24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تمنع إعادة رفع المؤكد ← ومعالج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removed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يمحو الذاكرة والمخزن معًا.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اشتراكات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onSnapshot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بغلاف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live()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يعيد الاشتراك بتراجع أُسّي حتى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60s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؛ والتعارض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last-write-wins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، ودمج نسخ الزملاء: الأحدث يكسب مع الاحتفاظ بسجلّ وصور الطرفين.</w:t>
      </w:r>
    </w:p>
    <w:tbl>
      <w:tblPr>
        <w:bidiVisual/>
        <w:tblW w:type="dxa" w:w="920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600"/>
        <w:gridCol w:w="300"/>
        <w:gridCol w:w="1600"/>
        <w:gridCol w:w="300"/>
        <w:gridCol w:w="1600"/>
        <w:gridCol w:w="300"/>
        <w:gridCol w:w="1600"/>
        <w:gridCol w:w="300"/>
        <w:gridCol w:w="1600"/>
      </w:tblGrid>
      <w:tr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إدخال الفني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حفظ محلي فوري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طابور الرفع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دفعٌ للخادم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بثٌّ للأجهزة</w:t>
            </w:r>
          </w:p>
        </w:tc>
      </w:tr>
    </w:tbl>
    <w:p>
      <w:pPr>
        <w:bidi/>
        <w:spacing w:after="170" w:before="70"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16"/>
          <w:szCs w:val="16"/>
          <w:rtl/>
        </w:rPr>
        <w:t xml:space="preserve">شكل ٣ — رحلة أي إدخال: يُثبَّت على الجهاز أولًا ثم يُرفع ويُبثّ — فلا يضيع عمل بانقطاع الشبكة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٥. مسار الإسناد والجدولة — من قرار المهندس إلى تنفيذ الفني</w:t>
      </w:r>
    </w:p>
    <w:p>
      <w:pPr>
        <w:bidi/>
        <w:spacing w:after="95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هذا المسار عمود التشغيل: كل نقطة تُنجَز لأنها أُسندت لفريقٍ بتاريخ، ووصلت الفني في هاتفه، وعاد أثرها إلى اللوحة. الرسم التالي يبيّن الفاعلين الثلاثة وما يجري عند كلٍّ منهم.</w:t>
      </w:r>
    </w:p>
    <w:tbl>
      <w:tblPr>
        <w:bidiVisual/>
        <w:tblW w:type="dxa" w:w="937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50"/>
        <w:gridCol w:w="2640"/>
        <w:gridCol w:w="2640"/>
        <w:gridCol w:w="2640"/>
      </w:tblGrid>
      <w:tr>
        <w:tc>
          <w:tcPr>
            <w:tcW w:type="dxa" w:w="1450"/>
            <w:shd w:fill="F2ECDD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الفاعل</w:t>
            </w:r>
          </w:p>
        </w:tc>
        <w:tc>
          <w:tcPr>
            <w:tcW w:type="dxa" w:w="2640"/>
            <w:shd w:fill="F2ECDD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الخطوة الأولى</w:t>
            </w:r>
          </w:p>
        </w:tc>
        <w:tc>
          <w:tcPr>
            <w:tcW w:type="dxa" w:w="2640"/>
            <w:shd w:fill="F2ECDD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ثم</w:t>
            </w:r>
          </w:p>
        </w:tc>
        <w:tc>
          <w:tcPr>
            <w:tcW w:type="dxa" w:w="2640"/>
            <w:shd w:fill="F2ECDD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ثم</w:t>
            </w:r>
          </w:p>
        </w:tc>
      </w:tr>
      <w:tr>
        <w:tc>
          <w:tcPr>
            <w:tcW w:type="dxa" w:w="1450"/>
            <w:shd w:fill="FAF6EC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المهندس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يختار النقاط: مفردةً من نافذتها أو دفعةً بالمربع والفريق، ويحدّد الفريق والتاريخ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يراجع «التوزيع والإسناد» فيرى حِمل كل فريق قبل التثبيت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يرسل إشعار واتساب من شارة «إشعارات الجدولة» بضغطة</w:t>
            </w:r>
          </w:p>
        </w:tc>
      </w:tr>
      <w:tr>
        <w:tc>
          <w:tcPr>
            <w:tcW w:type="dxa" w:w="1450"/>
            <w:shd w:fill="FAF6EC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النظام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يكتب على النقطة: الفريق والتاريخ والحالة «مجدول»، ويثبّتها محليًا ثم يرفعها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يوزّعها على «جدولي» عند كل فنيّي الفريق ويلوّنها على الخريطة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يسجّل الحدث في سجل التدقيق ويحدّث عدادات اللوحة لحظيًا</w:t>
            </w:r>
          </w:p>
        </w:tc>
      </w:tr>
      <w:tr>
        <w:tc>
          <w:tcPr>
            <w:tcW w:type="dxa" w:w="1450"/>
            <w:shd w:fill="FAF6EC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المشرف / الفني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تظهر المهمة في «جدولي» — وله تصديرها إكسل ككشف يومه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ينفّذ التركيب ويوسم النقطة «تم التركيب» مع صورة ما بعد التركيب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يسجّل «عناوين الأجهزة» فتدخل النقطة تحت المراقبة الصحية</w:t>
            </w:r>
          </w:p>
        </w:tc>
      </w:tr>
    </w:tbl>
    <w:p>
      <w:pPr>
        <w:bidi/>
        <w:spacing w:after="170" w:before="70"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16"/>
          <w:szCs w:val="16"/>
          <w:rtl/>
        </w:rPr>
        <w:t xml:space="preserve">شكل ٢ — مسارات الإسناد الثلاثة: قرار الإدارة ثم معالجة النظام ثم تنفيذ الميدان</w:t>
      </w:r>
    </w:p>
    <w:p>
      <w:pPr>
        <w:pStyle w:val="Heading2"/>
        <w:bidi/>
        <w:spacing w:after="85" w:before="160"/>
        <w:jc w:val="start"/>
      </w:pPr>
      <w:r>
        <w:rPr>
          <w:rFonts w:ascii="Tahoma" w:cs="Tahoma" w:eastAsia="Tahoma" w:hAnsi="Tahoma"/>
          <w:b/>
          <w:bCs/>
          <w:color w:val="1F2328"/>
          <w:sz w:val="22"/>
          <w:szCs w:val="22"/>
          <w:rtl/>
        </w:rPr>
        <w:t xml:space="preserve">٥.١ ما يضمن سلامة المسار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ربط قائد الفريق بحسابه يتم </w:t>
      </w:r>
      <w:r>
        <w:rPr>
          <w:rFonts w:ascii="Tahoma" w:cs="Tahoma" w:eastAsia="Tahoma" w:hAnsi="Tahoma"/>
          <w:b/>
          <w:bCs/>
          <w:color w:val="1F2328"/>
          <w:sz w:val="20"/>
          <w:szCs w:val="20"/>
          <w:rtl/>
        </w:rPr>
        <w:t xml:space="preserve">بالمعرّف لا بتطابق الاسم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— فتغيير اسم العرض لا يقطع وصول المهام.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«سلامة خط الإنتاج» في تبويب التخطيط يكشف الاختراقات: نقطة مجدولة بلا مسح سابق، أو ممسوحة نُسيت بلا جدولة.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رسائل واتساب تُبنى من بيانات الجدولة نفسها (شواخص ومربعات ومواعيد) وتُفتح معبّأةً عبر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wa.me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— بلا إرسال خادمي، والأرقام تُدار في محرري «أرقام المكتب» و«أرقام شركات الخدمة».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الفك يسير في المسار نفسه: جدولةٌ من المهندس ثم «جدولي» بوسم 🔧 ثم تأكيد الفني بحالة الجهاز — فالفني يتعلّم واجهةً واحدة لمرحلتين.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٦. نموذج الأمن</w:t>
      </w:r>
    </w:p>
    <w:p>
      <w:pPr>
        <w:bidi/>
        <w:spacing w:after="95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حدُّ الأمان قواعد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Firestore Rules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المنشورة آليًا مع كل دفعة — لا منطق العميل. الدور من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users/{uid}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مع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active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، وحسابٌ جذري بالبريد فوق الجميع.</w:t>
      </w:r>
    </w:p>
    <w:tbl>
      <w:tblPr>
        <w:bidiVisual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2300"/>
        <w:gridCol w:w="3200"/>
        <w:gridCol w:w="1560"/>
      </w:tblGrid>
      <w:tr>
        <w:tc>
          <w:tcPr>
            <w:tcW w:type="dxa" w:w="230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المجموعة</w:t>
            </w:r>
          </w:p>
        </w:tc>
        <w:tc>
          <w:tcPr>
            <w:tcW w:type="dxa" w:w="230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قراءة</w:t>
            </w:r>
          </w:p>
        </w:tc>
        <w:tc>
          <w:tcPr>
            <w:tcW w:type="dxa" w:w="320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إنشاء/تعديل</w:t>
            </w:r>
          </w:p>
        </w:tc>
        <w:tc>
          <w:tcPr>
            <w:tcW w:type="dxa" w:w="156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حذف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recs/inss/props/photos</w:t>
            </w:r>
          </w:p>
        </w:tc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ok()</w:t>
            </w:r>
          </w:p>
        </w:tc>
        <w:tc>
          <w:tcPr>
            <w:tcW w:type="dxa" w:w="32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canW()</w:t>
            </w:r>
          </w:p>
        </w:tc>
        <w:tc>
          <w:tcPr>
            <w:tcW w:type="dxa" w:w="15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mgr()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colist</w:t>
            </w:r>
          </w:p>
        </w:tc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ok()</w:t>
            </w:r>
          </w:p>
        </w:tc>
        <w:tc>
          <w:tcPr>
            <w:tcW w:type="dxa" w:w="32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اعتماد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mgr()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طلبات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canW()</w:t>
            </w:r>
          </w:p>
        </w:tc>
        <w:tc>
          <w:tcPr>
            <w:tcW w:type="dxa" w:w="15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mgr()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settings</w:t>
            </w:r>
          </w:p>
        </w:tc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عام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ok()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— و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contacts/cotel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قراءتها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canW()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(تُحجب عن الوزارة)</w:t>
            </w:r>
          </w:p>
        </w:tc>
        <w:tc>
          <w:tcPr>
            <w:tcW w:type="dxa" w:w="32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mgr()</w:t>
            </w:r>
          </w:p>
        </w:tc>
        <w:tc>
          <w:tcPr>
            <w:tcW w:type="dxa" w:w="15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mgr()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events/hbev</w:t>
            </w:r>
          </w:p>
        </w:tc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ok()</w:t>
            </w:r>
          </w:p>
        </w:tc>
        <w:tc>
          <w:tcPr>
            <w:tcW w:type="dxa" w:w="32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إنشاء فقط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canW()</w:t>
            </w:r>
          </w:p>
        </w:tc>
        <w:tc>
          <w:tcPr>
            <w:tcW w:type="dxa" w:w="15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false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hb</w:t>
            </w:r>
          </w:p>
        </w:tc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ok()</w:t>
            </w:r>
          </w:p>
        </w:tc>
        <w:tc>
          <w:tcPr>
            <w:tcW w:type="dxa" w:w="32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canW()</w:t>
            </w:r>
          </w:p>
        </w:tc>
        <w:tc>
          <w:tcPr>
            <w:tcW w:type="dxa" w:w="15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canW()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users</w:t>
            </w:r>
          </w:p>
        </w:tc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صاحبها أو الإدارة</w:t>
            </w:r>
          </w:p>
        </w:tc>
        <w:tc>
          <w:tcPr>
            <w:tcW w:type="dxa" w:w="32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mgr()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— المهندس أدمن كامل</w:t>
            </w:r>
          </w:p>
        </w:tc>
        <w:tc>
          <w:tcPr>
            <w:tcW w:type="dxa" w:w="15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false</w:t>
            </w:r>
          </w:p>
        </w:tc>
      </w:tr>
    </w:tbl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انضباط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XSS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: كل نص حرّ عبر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esc()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؛ روابط خارجية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noopener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؛ قفل التطبيق طبقة تشغيل لا حدَّ أمان؛ مفتاح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apiKey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ظاهر بتصميم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Firebase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؛ مفاتيح توقيع أندرويد خارج المستودع ويُعدّ تاريخها مكشوفًا — التدوير إجراء مفتوح.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٧. محرك اللغات الثلاث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قاموس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ar→{en,ur}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(٧٠٠+ مدخل) وتحويل أرقام؛ المطابقة على نص العقدة كاملًا بسلسلة: حرفية ← طيّ فراغات ← تجريد زخارف الحواف ← فهرس مُطبَّع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NFC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بتجريد التشكيل والتطويل ← </w:t>
      </w:r>
      <w:r>
        <w:rPr>
          <w:rFonts w:ascii="Tahoma" w:cs="Tahoma" w:eastAsia="Tahoma" w:hAnsi="Tahoma"/>
          <w:b/>
          <w:bCs/>
          <w:color w:val="1F2328"/>
          <w:sz w:val="20"/>
          <w:szCs w:val="20"/>
          <w:rtl/>
        </w:rPr>
        <w:t xml:space="preserve">بادئات الرسائل المركّبة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(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PREFIXES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) تترجم البادئة وتُبقي المتغيّر.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استثناءات مقصودة: خيارات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&lt;select&gt;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(نصها هو القيمة)، طبقات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Leaflet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عدا نافذة النقطة، وأسماء الميدان. وعزل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MutationObserver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أثناء التمريرة أنهى حلقة إيقاظ ذاتي.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خط الحوكمة: واجهات الميدان والمشترك تُترجم بالكامل، ومحررات الإدارة وحواراتها وعبارة التأكيد الأمنية عربيةٌ بقرار.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٨. الرسم والأداء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بثٌّ موجّه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_nskViews→_nskFlush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يرسم الوجهة الظاهرة فقط ويستدرك المؤجل عند فتحها؛ دوائر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Canvas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للنقاط كلها؛ قصّ خارج الإطار عند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z≥15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؛ نوافذ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bindPopup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كسولة؛ بحث بمهلة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180ms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٩. النظام الفرعي: صحة الأجهزة</w:t>
      </w:r>
    </w:p>
    <w:p>
      <w:pPr>
        <w:bidi/>
        <w:spacing w:after="95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التدفق: سجلّ العناوين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inss.net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← الفاحص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tools/prober.html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← آخر حالة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hb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وانتقالات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hbev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← مستمعو التطبيق والجرس ← تحليلات اللوحة.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التزويد: قالب إكسل بكل النقاط الـ١٧٨٧ جاهزةً واستيرادٌ ذكيٌّ يقبل المعرّف أو الشاخص ويتعرف الأعمدة بأسمائها — أو تسجيل فردي من نافذة النقطة بمنع تكرار العنوان داخلها وتحذيرٍ عبر النقاط.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الفاحص: كشف وضع ذاتي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CAN_PROBE = protocol !== 'https:'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— من الرابط عرضٌ حي فقط (منع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Mixed Content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)، وللفحص يُنزَّل ويُفتح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file://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على جهاز الشبكة. النبضة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fetch(no-cors, 3.5s)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: أي استجابة = متصل؛ ستّ عمال متوازية؛ كل عنوان مرة واحدة وتعميم نتيجته؛ جولة كل ٥ دقائق وأمرٌ فوري عبر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settings/hbcmd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حارس العاصفة: كل العناوين ساقطة برفضٍ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&lt;150ms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= الفاحص خارج الشبكة ← لا كتابة ولا إنذارات. عدا ذلك تُكتب الحقيقة ولو كانت ١٠٠٪ غير متصلة.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الإنذار: فاصل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≥10min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← حدث جرسٍ مرة لكل انقطاع + إشعار عودة. التحليلات: خمس بطاقات، قائمة زيارة مجمّعة بالنقطة مع تصدير، متذبذب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≥3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/اليوم، وهستوجرام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24h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بذروة مميزة.</w:t>
      </w:r>
    </w:p>
    <w:tbl>
      <w:tblPr>
        <w:bidiVisual/>
        <w:tblW w:type="dxa" w:w="920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600"/>
        <w:gridCol w:w="300"/>
        <w:gridCol w:w="1600"/>
        <w:gridCol w:w="300"/>
        <w:gridCol w:w="1600"/>
        <w:gridCol w:w="300"/>
        <w:gridCol w:w="1600"/>
        <w:gridCol w:w="300"/>
        <w:gridCol w:w="1600"/>
      </w:tblGrid>
      <w:tr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تسجيل العناوين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فحص كل ٥ دقائق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كتابة النبضة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إنذار ≥١٠ دقائق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قائمة زيارة</w:t>
            </w:r>
          </w:p>
        </w:tc>
      </w:tr>
    </w:tbl>
    <w:p>
      <w:pPr>
        <w:bidi/>
        <w:spacing w:after="170" w:before="70"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16"/>
          <w:szCs w:val="16"/>
          <w:rtl/>
        </w:rPr>
        <w:t xml:space="preserve">شكل ٤ — سلسلة المراقبة الصحية من العنوان المسجّل إلى أمر الزيارة الميدانية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١٠. النظام الفرعي: الفك بعد الموسم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البوابة: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recs.fstat==='blocked' || inss.status==='مُركّب'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— وما جُدول يبقى. آلة الحالات على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inss.dis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: (غياب) ← مجدول ← تم، مع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cond∈{سليم،تالف}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. الجدولة والإلغاء للإدارة، والتأكيد للميدان والإدارة، والوزارة نصٌّ بلا أفعال.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الإظهار: نافذة النقطة، لونا الخريطة (برتقالي مجدول / بنفسجي تم)، «جدولي» بوسم 🔧، قسم وزاري بشريط «فُكّ من المُركّب» وسجلٌّ يُصدَّر بعشرة أعمدة — وكل خطوة حدثٌ إلحاقي.</w:t>
      </w:r>
    </w:p>
    <w:tbl>
      <w:tblPr>
        <w:bidiVisual/>
        <w:tblW w:type="dxa" w:w="920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600"/>
        <w:gridCol w:w="300"/>
        <w:gridCol w:w="1600"/>
        <w:gridCol w:w="300"/>
        <w:gridCol w:w="1600"/>
        <w:gridCol w:w="300"/>
        <w:gridCol w:w="1600"/>
        <w:gridCol w:w="300"/>
        <w:gridCol w:w="1600"/>
      </w:tblGrid>
      <w:tr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مُركّب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فك مجدول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تنفيذ ميداني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سليم أو تالف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سجل الفك</w:t>
            </w:r>
          </w:p>
        </w:tc>
      </w:tr>
    </w:tbl>
    <w:p>
      <w:pPr>
        <w:bidi/>
        <w:spacing w:after="170" w:before="70"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16"/>
          <w:szCs w:val="16"/>
          <w:rtl/>
        </w:rPr>
        <w:t xml:space="preserve">شكل ٥ — آلة حالات الفك: لا جدولةَ إلا لنقطة مُركّبة، ولا يُغلق سجلٌّ بلا حالة جهاز موثقة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١١. اللوحة والتصديرات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اللوحة ٢٣ قسمًا في أربعة تبويبات تُرشَّح بالدور عبر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tabsFor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: الوزارة والمشرف «متابعة» فقط، والإدارة كاملة. كل العدادات تمر بعين واحدة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vst()/st()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— فلا تناقض بين شاشتين.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التصديرات بنية موحدة: صفوف تُجمع وقت الرسم ←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aoa_to_sheet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← ملف باسمٍ عربي — أربعة عشر تصديرًا موزّعة كما في دليل النظام، أبرزها للإدارة: أداء المشرفين وسجل الفك وحركة العُهدة، وللوزارة الملخص التنفيذي، وللمشرف جدولي.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١٢. ملفات المستودع — خريطة كاملة</w:t>
      </w:r>
    </w:p>
    <w:tbl>
      <w:tblPr>
        <w:bidiVisual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50"/>
        <w:gridCol w:w="5910"/>
      </w:tblGrid>
      <w:tr>
        <w:tc>
          <w:tcPr>
            <w:tcW w:type="dxa" w:w="345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الملف</w:t>
            </w:r>
          </w:p>
        </w:tc>
        <w:tc>
          <w:tcPr>
            <w:tcW w:type="dxa" w:w="591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دوره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index.html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التطبيق كاملًا: واجهات، لوحة، محرك لغات، محرك مزامنة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sw.js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قشرة الأوفلاين والتحديث الذاتي بكاش باسم النسخة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firestore.rules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حدّ الأمان لكل مجموعة — تُنشر آليًا مع الدفع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tools/prober.html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أداة الصحة بوضعيها (عرض/فحص) وتصديرها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scripts/check-version.mjs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الحارس: تطابق نسخ الملفات، توازن أقسام اللوحة وتغطيتها، صيغة كل كتل الكود والأداة، ومنع المراجع العابرة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.github/workflows/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فحص التوثيق مع كل دفعة · نشر القواعد · النسخ الليلي (يتطلب سرّ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BACKUP_KEY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)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docs/system.md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سجل الإصدارات صفًّا لكل نسخة بجذر كل عطل وقراره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docs/nusuk-system-Vx.y.docx/.pdf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هذه الوثيقة — باسم النسخة، تُعاد توليدًا بالمحتوى مع كل موجة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docs/nusuk-user-manual.docx/.pdf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دليل الاستخدام الصرف بفصلٍ لكل دور — بلا تفاصيل بناء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docs/nusuk-tech-spec.docx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مستخرجٌ مكثف سبق تسليمه لفريق التطوير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docs/product.md · nusuk-product-owner.docx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الرؤية والخارطة · وثيقة الأعمال للإدارة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docs/api-schema.json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مخطط الواجهات للتكامل بسجل نسخ آلي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docs/afaqy-api.md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مرجع أفاقي الحي — يُقرأ ويُحدَّث قبل أي تكامل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tools/claude-skill/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مهارات العمل الخمس (الدستور والأدوار الأربعة)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.gitignore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منع ملفات توقيع أندرويد والحزم من المستودع العام</w:t>
            </w:r>
          </w:p>
        </w:tc>
      </w:tr>
    </w:tbl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١٣. الحوكمة الآلية ودورة الإصدار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قيد الملفات الموحّد بكل دفعة: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index.html · sw.js · api-schema.json · system.md · nusuk-system-V*.docx · nusuk-user-manual.docx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برقمٍ واحد — واسم وثيقة النظام نفسه يحمل الرقم ويُطابقه الحارس.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دورة الإصدار: سحبٌ ← استطلاع بمراسٍ حية ← ترقيع جراحي بتأكيد التفرد ← فحص صيغة كل كتلة ← ختم النسخة أول ظهور ← مزامنة الملفات ← الحارس ظاهر المخرجات ← دفعٌ بوصفٍ عربي يشرح السبب. الرقم يرتفع مع كل تغيير ولو تجميليًا.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قواعد مؤسسية: الأزرار الحساسة مقفولة افتراضيًا في الهيكل والدور يكشفها · الأزرار تُربط في التهيئة لا داخل الرسم · وثائق المحتوى تُعاد توليدًا لا ختمًا · كل صفحة تُفتح في تبويب لها ✕ ورجوع.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١٤. القيود والمقايضات — معلنة</w:t>
      </w:r>
    </w:p>
    <w:tbl>
      <w:tblPr>
        <w:bidiVisual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3400"/>
        <w:gridCol w:w="3660"/>
      </w:tblGrid>
      <w:tr>
        <w:tc>
          <w:tcPr>
            <w:tcW w:type="dxa" w:w="230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القيد</w:t>
            </w:r>
          </w:p>
        </w:tc>
        <w:tc>
          <w:tcPr>
            <w:tcW w:type="dxa" w:w="340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السبب/الأثر</w:t>
            </w:r>
          </w:p>
        </w:tc>
        <w:tc>
          <w:tcPr>
            <w:tcW w:type="dxa" w:w="366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الإدارة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حصص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Spark</w:t>
            </w:r>
          </w:p>
        </w:tc>
        <w:tc>
          <w:tcPr>
            <w:tcW w:type="dxa" w:w="34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سقف يومي للقراءة والكتابة</w:t>
            </w:r>
          </w:p>
        </w:tc>
        <w:tc>
          <w:tcPr>
            <w:tcW w:type="dxa" w:w="36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معمارية خفيفة الكتابة؛ الترقية قرار دقيقة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صور داخل الوثائق</w:t>
            </w:r>
          </w:p>
        </w:tc>
        <w:tc>
          <w:tcPr>
            <w:tcW w:type="dxa" w:w="34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نموّ حجم السجلات</w:t>
            </w:r>
          </w:p>
        </w:tc>
        <w:tc>
          <w:tcPr>
            <w:tcW w:type="dxa" w:w="36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حارس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980KB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ووثيقة لكل لقطة؛ التحميل عند الطلب بند خارطة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واتساب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wa.me</w:t>
            </w:r>
          </w:p>
        </w:tc>
        <w:tc>
          <w:tcPr>
            <w:tcW w:type="dxa" w:w="34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فتح مُعبّأ لا إرسال خادمي</w:t>
            </w:r>
          </w:p>
        </w:tc>
        <w:tc>
          <w:tcPr>
            <w:tcW w:type="dxa" w:w="36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Business API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بند مخطط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الفحص يتطلب جهاز شبكة</w:t>
            </w:r>
          </w:p>
        </w:tc>
        <w:tc>
          <w:tcPr>
            <w:tcW w:type="dxa" w:w="34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Mixed Content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يمنع الفحص من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https</w:t>
            </w:r>
          </w:p>
        </w:tc>
        <w:tc>
          <w:tcPr>
            <w:tcW w:type="dxa" w:w="36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كشف وضع ذاتي + تنزيل محلي + حارس عاصفة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سرّ النسخ الليلي</w:t>
            </w:r>
          </w:p>
        </w:tc>
        <w:tc>
          <w:tcPr>
            <w:tcW w:type="dxa" w:w="34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بدونه تُحفظ أعدادٌ بلا بيانات</w:t>
            </w:r>
          </w:p>
        </w:tc>
        <w:tc>
          <w:tcPr>
            <w:tcW w:type="dxa" w:w="36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ضبط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BACKUP_KEY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يدويًا في إعدادات المستودع — بند مفتوح</w:t>
            </w:r>
          </w:p>
        </w:tc>
      </w:tr>
    </w:tbl>
    <w:p>
      <w:pPr>
        <w:bidi/>
        <w:spacing w:after="170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</w:t>
      </w:r>
    </w:p>
    <w:p>
      <w:pPr>
        <w:bidi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16"/>
          <w:szCs w:val="16"/>
          <w:rtl/>
        </w:rPr>
        <w:t xml:space="preserve">— سجل الإصدارات التفصيلي بجذور الأعطال: docs/system.md —</w:t>
      </w:r>
    </w:p>
    <w:sectPr>
      <w:pgSz w:w="11906" w:h="16838" w:orient="portrait"/>
      <w:pgMar w:top="950" w:right="950" w:bottom="950" w:left="95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start"/>
      <w:pPr>
        <w:ind w:left="320" w:hanging="175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ahoma" w:cs="Tahoma" w:eastAsia="Tahoma" w:hAnsi="Tahoma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2026-08-19T10:22:02.405Z</dcterms:created>
  <dcterms:modified xsi:type="dcterms:W3CDTF">2026-08-19T10:22:02.406Z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