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V37.33  ·  ١١ أكتوبر ٢٠٢٦</w:t>
      </w:r>
    </w:p>
    <w:p>
      <w:pPr>
        <w:bidi/>
        <w:spacing w:after="120"/>
        <w:jc w:val="start"/>
      </w:pPr>
      <w:r>
        <w:rPr>
          <w:rFonts w:ascii="Arial" w:cs="Arial" w:eastAsia="Arial" w:hAnsi="Arial"/>
          <w:b w:val="false"/>
          <w:bCs w:val="false"/>
          <w:sz w:val="20"/>
          <w:szCs w:val="20"/>
          <w:rtl/>
        </w:rPr>
        <w:t xml:space="preserve">•  مظهران إضافيان تختار منهم من القائمة الجانبية (على جهازك بس): «غرفة تحكم» (كحلي وأرقام مضيئة — مناسب لشاشة القاعة والعرض) و«هوية أفاقي» (أزرق وبرتقالي وزوايا ناعمة). والشكل الافتراضي زي ما هو.</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