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وزارة</w:t>
      </w:r>
    </w:p>
    <w:p>
      <w:pPr>
        <w:bidi/>
        <w:spacing w:after="120"/>
        <w:jc w:val="start"/>
      </w:pPr>
      <w:r>
        <w:rPr>
          <w:rFonts w:ascii="Arial" w:cs="Arial" w:eastAsia="Arial" w:hAnsi="Arial"/>
          <w:b w:val="false"/>
          <w:bCs w:val="false"/>
          <w:color w:val="666666"/>
          <w:sz w:val="20"/>
          <w:szCs w:val="20"/>
          <w:rtl/>
        </w:rPr>
        <w:t xml:space="preserve">النسخة V43.3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متابعةٌ وتصدير — لا تكتب حرفًا، والهواتف محجوبة حتى في القواعد</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propose</w:t>
            </w:r>
          </w:p>
        </w:tc>
        <w:tc>
          <w:tcPr>
            <w:tcW w:type="dxa" w:w="6000"/>
          </w:tcPr>
          <w:p>
            <w:pPr>
              <w:bidi/>
              <w:jc w:val="start"/>
            </w:pPr>
            <w:r>
              <w:rPr>
                <w:rFonts w:ascii="Arial" w:cs="Arial" w:eastAsia="Arial" w:hAnsi="Arial"/>
                <w:b w:val="false"/>
                <w:bCs w:val="false"/>
                <w:sz w:val="20"/>
                <w:szCs w:val="20"/>
                <w:rtl/>
              </w:rPr>
              <w:t xml:space="preserve">يقترح نقاطًا جديدة</w:t>
            </w:r>
          </w:p>
        </w:tc>
      </w:tr>
      <w:tr>
        <w:tc>
          <w:tcPr>
            <w:tcW w:type="dxa" w:w="3000"/>
          </w:tcPr>
          <w:p>
            <w:pPr>
              <w:bidi/>
              <w:jc w:val="start"/>
            </w:pPr>
            <w:r>
              <w:rPr>
                <w:rFonts w:ascii="Arial" w:cs="Arial" w:eastAsia="Arial" w:hAnsi="Arial"/>
                <w:b w:val="false"/>
                <w:bCs w:val="false"/>
                <w:sz w:val="20"/>
                <w:szCs w:val="20"/>
                <w:rtl/>
              </w:rPr>
              <w:t xml:space="preserve">exportAll</w:t>
            </w:r>
          </w:p>
        </w:tc>
        <w:tc>
          <w:tcPr>
            <w:tcW w:type="dxa" w:w="6000"/>
          </w:tcPr>
          <w:p>
            <w:pPr>
              <w:bidi/>
              <w:jc w:val="start"/>
            </w:pPr>
            <w:r>
              <w:rPr>
                <w:rFonts w:ascii="Arial" w:cs="Arial" w:eastAsia="Arial" w:hAnsi="Arial"/>
                <w:b w:val="false"/>
                <w:bCs w:val="false"/>
                <w:sz w:val="20"/>
                <w:szCs w:val="20"/>
                <w:rtl/>
              </w:rPr>
              <w:t xml:space="preserve">يصدّر الكل</w:t>
            </w:r>
          </w:p>
        </w:tc>
      </w:tr>
      <w:tr>
        <w:tc>
          <w:tcPr>
            <w:tcW w:type="dxa" w:w="3000"/>
          </w:tcPr>
          <w:p>
            <w:pPr>
              <w:bidi/>
              <w:jc w:val="start"/>
            </w:pPr>
            <w:r>
              <w:rPr>
                <w:rFonts w:ascii="Arial" w:cs="Arial" w:eastAsia="Arial" w:hAnsi="Arial"/>
                <w:b w:val="false"/>
                <w:bCs w:val="false"/>
                <w:sz w:val="20"/>
                <w:szCs w:val="20"/>
                <w:rtl/>
              </w:rPr>
              <w:t xml:space="preserve">minapprove</w:t>
            </w:r>
          </w:p>
        </w:tc>
        <w:tc>
          <w:tcPr>
            <w:tcW w:type="dxa" w:w="6000"/>
          </w:tcPr>
          <w:p>
            <w:pPr>
              <w:bidi/>
              <w:jc w:val="start"/>
            </w:pPr>
            <w:r>
              <w:rPr>
                <w:rFonts w:ascii="Arial" w:cs="Arial" w:eastAsia="Arial" w:hAnsi="Arial"/>
                <w:b w:val="false"/>
                <w:bCs w:val="false"/>
                <w:sz w:val="20"/>
                <w:szCs w:val="20"/>
                <w:rtl/>
              </w:rPr>
              <w:t xml:space="preserve">يعتمد للوزارة</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31</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تفاصيل الموقع</w:t>
            </w:r>
          </w:p>
        </w:tc>
        <w:tc>
          <w:tcPr>
            <w:tcW w:type="dxa" w:w="6400"/>
          </w:tcPr>
          <w:p>
            <w:pPr>
              <w:bidi/>
              <w:jc w:val="start"/>
            </w:pPr>
            <w:r>
              <w:rPr>
                <w:rFonts w:ascii="Arial" w:cs="Arial" w:eastAsia="Arial" w:hAnsi="Arial"/>
                <w:b w:val="false"/>
                <w:bCs w:val="false"/>
                <w:sz w:val="20"/>
                <w:szCs w:val="20"/>
                <w:rtl/>
              </w:rPr>
              <w:t xml:space="preserve">كلُّ ما عن نقطةٍ واحدة: بيانُها وزيارتُها وتركيبُها وصورُها وسجلُّها — تُفتَح من الخريطة أو من القوائم.</w:t>
            </w:r>
          </w:p>
        </w:tc>
      </w:tr>
      <w:tr>
        <w:tc>
          <w:tcPr>
            <w:tcW w:type="dxa" w:w="2600"/>
          </w:tcPr>
          <w:p>
            <w:pPr>
              <w:bidi/>
              <w:jc w:val="start"/>
            </w:pPr>
            <w:r>
              <w:rPr>
                <w:rFonts w:ascii="Arial" w:cs="Arial" w:eastAsia="Arial" w:hAnsi="Arial"/>
                <w:b w:val="false"/>
                <w:bCs w:val="false"/>
                <w:sz w:val="20"/>
                <w:szCs w:val="20"/>
                <w:rtl/>
              </w:rPr>
              <w:t xml:space="preserve">النماذج الميدانية ← موقع جديد</w:t>
            </w:r>
          </w:p>
        </w:tc>
        <w:tc>
          <w:tcPr>
            <w:tcW w:type="dxa" w:w="6400"/>
          </w:tcPr>
          <w:p>
            <w:pPr>
              <w:bidi/>
              <w:jc w:val="start"/>
            </w:pPr>
            <w:r>
              <w:rPr>
                <w:rFonts w:ascii="Arial" w:cs="Arial" w:eastAsia="Arial" w:hAnsi="Arial"/>
                <w:b w:val="false"/>
                <w:bCs w:val="false"/>
                <w:sz w:val="20"/>
                <w:szCs w:val="20"/>
                <w:rtl/>
              </w:rPr>
              <w:t xml:space="preserve">ما لم يكن في القاعدة — يُسجَّل بموضعك ويُعتمَد لاحقًا.</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المسح الميداني</w:t>
            </w:r>
          </w:p>
        </w:tc>
        <w:tc>
          <w:tcPr>
            <w:tcW w:type="dxa" w:w="6400"/>
          </w:tcPr>
          <w:p>
            <w:pPr>
              <w:bidi/>
              <w:jc w:val="start"/>
            </w:pPr>
            <w:r>
              <w:rPr>
                <w:rFonts w:ascii="Arial" w:cs="Arial" w:eastAsia="Arial" w:hAnsi="Arial"/>
                <w:b w:val="false"/>
                <w:bCs w:val="false"/>
                <w:sz w:val="20"/>
                <w:szCs w:val="20"/>
                <w:rtl/>
              </w:rPr>
              <w:t xml:space="preserve">ما مُسح ومن مسحه ومتى — وإعادةُ تصنيف ما تعذّر منه لزيارةٍ ثانية.</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اعتماد الوزارة</w:t>
            </w:r>
          </w:p>
        </w:tc>
        <w:tc>
          <w:tcPr>
            <w:tcW w:type="dxa" w:w="6400"/>
          </w:tcPr>
          <w:p>
            <w:pPr>
              <w:bidi/>
              <w:jc w:val="start"/>
            </w:pPr>
            <w:r>
              <w:rPr>
                <w:rFonts w:ascii="Arial" w:cs="Arial" w:eastAsia="Arial" w:hAnsi="Arial"/>
                <w:b w:val="false"/>
                <w:bCs w:val="false"/>
                <w:sz w:val="20"/>
                <w:szCs w:val="20"/>
                <w:rtl/>
              </w:rPr>
              <w:t xml:space="preserve">ما اعتُمد تقنيًّا وينتظر اعتمادَ الوزارة لإعداد التركيب — تعتمده أو تُعيده بملاحظة.</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المتعذّر</w:t>
            </w:r>
          </w:p>
        </w:tc>
        <w:tc>
          <w:tcPr>
            <w:tcW w:type="dxa" w:w="6400"/>
          </w:tcPr>
          <w:p>
            <w:pPr>
              <w:bidi/>
              <w:jc w:val="start"/>
            </w:pPr>
            <w:r>
              <w:rPr>
                <w:rFonts w:ascii="Arial" w:cs="Arial" w:eastAsia="Arial" w:hAnsi="Arial"/>
                <w:b w:val="false"/>
                <w:bCs w:val="false"/>
                <w:sz w:val="20"/>
                <w:szCs w:val="20"/>
                <w:rtl/>
              </w:rPr>
              <w:t xml:space="preserve">ما لم يصل إليه الميدانُ — بسببه وقراره.</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التحديات والمعوقات</w:t>
            </w:r>
          </w:p>
        </w:tc>
        <w:tc>
          <w:tcPr>
            <w:tcW w:type="dxa" w:w="6400"/>
          </w:tcPr>
          <w:p>
            <w:pPr>
              <w:bidi/>
              <w:jc w:val="start"/>
            </w:pPr>
            <w:r>
              <w:rPr>
                <w:rFonts w:ascii="Arial" w:cs="Arial" w:eastAsia="Arial" w:hAnsi="Arial"/>
                <w:b w:val="false"/>
                <w:bCs w:val="false"/>
                <w:sz w:val="20"/>
                <w:szCs w:val="20"/>
                <w:rtl/>
              </w:rPr>
              <w:t xml:space="preserve">كلُّ معوقٍ بفلتر المشعر والنوع — واضغط التحدي ترى نقاطه. تُغلق تلقائيًّا عند التركيب.</w:t>
            </w:r>
          </w:p>
        </w:tc>
      </w:tr>
      <w:tr>
        <w:tc>
          <w:tcPr>
            <w:tcW w:type="dxa" w:w="2600"/>
          </w:tcPr>
          <w:p>
            <w:pPr>
              <w:bidi/>
              <w:jc w:val="start"/>
            </w:pPr>
            <w:r>
              <w:rPr>
                <w:rFonts w:ascii="Arial" w:cs="Arial" w:eastAsia="Arial" w:hAnsi="Arial"/>
                <w:b w:val="false"/>
                <w:bCs w:val="false"/>
                <w:sz w:val="20"/>
                <w:szCs w:val="20"/>
                <w:rtl/>
              </w:rPr>
              <w:t xml:space="preserve">متابعة العمل الميداني ← عدم المطابقة</w:t>
            </w:r>
          </w:p>
        </w:tc>
        <w:tc>
          <w:tcPr>
            <w:tcW w:type="dxa" w:w="6400"/>
          </w:tcPr>
          <w:p>
            <w:pPr>
              <w:bidi/>
              <w:jc w:val="start"/>
            </w:pPr>
            <w:r>
              <w:rPr>
                <w:rFonts w:ascii="Arial" w:cs="Arial" w:eastAsia="Arial" w:hAnsi="Arial"/>
                <w:b w:val="false"/>
                <w:bCs w:val="false"/>
                <w:sz w:val="20"/>
                <w:szCs w:val="20"/>
                <w:rtl/>
              </w:rPr>
              <w:t xml:space="preserve">ما خالف المواصفة — وإجراؤه التصحيحي حتى الإغلاق.</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المتابعة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متابعة الوزارة ← الملخص</w:t>
            </w:r>
          </w:p>
        </w:tc>
        <w:tc>
          <w:tcPr>
            <w:tcW w:type="dxa" w:w="6400"/>
          </w:tcPr>
          <w:p>
            <w:pPr>
              <w:bidi/>
              <w:jc w:val="start"/>
            </w:pPr>
            <w:r>
              <w:rPr>
                <w:rFonts w:ascii="Arial" w:cs="Arial" w:eastAsia="Arial" w:hAnsi="Arial"/>
                <w:b w:val="false"/>
                <w:bCs w:val="false"/>
                <w:sz w:val="20"/>
                <w:szCs w:val="20"/>
                <w:rtl/>
              </w:rPr>
              <w:t xml:space="preserve">الأرقامُ التي يُفتتح بها الاجتماع — ومقارنتُها بالأسبوع الماضي.</w:t>
            </w:r>
          </w:p>
        </w:tc>
      </w:tr>
      <w:tr>
        <w:tc>
          <w:tcPr>
            <w:tcW w:type="dxa" w:w="2600"/>
          </w:tcPr>
          <w:p>
            <w:pPr>
              <w:bidi/>
              <w:jc w:val="start"/>
            </w:pPr>
            <w:r>
              <w:rPr>
                <w:rFonts w:ascii="Arial" w:cs="Arial" w:eastAsia="Arial" w:hAnsi="Arial"/>
                <w:b w:val="false"/>
                <w:bCs w:val="false"/>
                <w:sz w:val="20"/>
                <w:szCs w:val="20"/>
                <w:rtl/>
              </w:rPr>
              <w:t xml:space="preserve">متابعة الوزارة ← المهام الأسبوعية</w:t>
            </w:r>
          </w:p>
        </w:tc>
        <w:tc>
          <w:tcPr>
            <w:tcW w:type="dxa" w:w="6400"/>
          </w:tcPr>
          <w:p>
            <w:pPr>
              <w:bidi/>
              <w:jc w:val="start"/>
            </w:pPr>
            <w:r>
              <w:rPr>
                <w:rFonts w:ascii="Arial" w:cs="Arial" w:eastAsia="Arial" w:hAnsi="Arial"/>
                <w:b w:val="false"/>
                <w:bCs w:val="false"/>
                <w:sz w:val="20"/>
                <w:szCs w:val="20"/>
                <w:rtl/>
              </w:rPr>
              <w:t xml:space="preserve">مهامُّ الاجتماع كاملةً — تُحدَّث من هنا، وما يعالج تحدّيًا يُعرَف به.</w:t>
            </w:r>
          </w:p>
        </w:tc>
      </w:tr>
      <w:tr>
        <w:tc>
          <w:tcPr>
            <w:tcW w:type="dxa" w:w="2600"/>
          </w:tcPr>
          <w:p>
            <w:pPr>
              <w:bidi/>
              <w:jc w:val="start"/>
            </w:pPr>
            <w:r>
              <w:rPr>
                <w:rFonts w:ascii="Arial" w:cs="Arial" w:eastAsia="Arial" w:hAnsi="Arial"/>
                <w:b w:val="false"/>
                <w:bCs w:val="false"/>
                <w:sz w:val="20"/>
                <w:szCs w:val="20"/>
                <w:rtl/>
              </w:rPr>
              <w:t xml:space="preserve">متابعة الوزارة ← المسح الميداني</w:t>
            </w:r>
          </w:p>
        </w:tc>
        <w:tc>
          <w:tcPr>
            <w:tcW w:type="dxa" w:w="6400"/>
          </w:tcPr>
          <w:p>
            <w:pPr>
              <w:bidi/>
              <w:jc w:val="start"/>
            </w:pPr>
            <w:r>
              <w:rPr>
                <w:rFonts w:ascii="Arial" w:cs="Arial" w:eastAsia="Arial" w:hAnsi="Arial"/>
                <w:b w:val="false"/>
                <w:bCs w:val="false"/>
                <w:sz w:val="20"/>
                <w:szCs w:val="20"/>
                <w:rtl/>
              </w:rPr>
              <w:t xml:space="preserve">نسبةُ المسح (ما تمت زيارتُه) وما تبقّى، والنقاطُ بعوائق وبدونها — بالمشعر والنوع، وتأكيدُ نقاط منشأة الجمرات بالأدوار.</w:t>
            </w:r>
          </w:p>
        </w:tc>
      </w:tr>
      <w:tr>
        <w:tc>
          <w:tcPr>
            <w:tcW w:type="dxa" w:w="2600"/>
          </w:tcPr>
          <w:p>
            <w:pPr>
              <w:bidi/>
              <w:jc w:val="start"/>
            </w:pPr>
            <w:r>
              <w:rPr>
                <w:rFonts w:ascii="Arial" w:cs="Arial" w:eastAsia="Arial" w:hAnsi="Arial"/>
                <w:b w:val="false"/>
                <w:bCs w:val="false"/>
                <w:sz w:val="20"/>
                <w:szCs w:val="20"/>
                <w:rtl/>
              </w:rPr>
              <w:t xml:space="preserve">متابعة الوزارة ← حالة التركيبات</w:t>
            </w:r>
          </w:p>
        </w:tc>
        <w:tc>
          <w:tcPr>
            <w:tcW w:type="dxa" w:w="6400"/>
          </w:tcPr>
          <w:p>
            <w:pPr>
              <w:bidi/>
              <w:jc w:val="start"/>
            </w:pPr>
            <w:r>
              <w:rPr>
                <w:rFonts w:ascii="Arial" w:cs="Arial" w:eastAsia="Arial" w:hAnsi="Arial"/>
                <w:b w:val="false"/>
                <w:bCs w:val="false"/>
                <w:sz w:val="20"/>
                <w:szCs w:val="20"/>
                <w:rtl/>
              </w:rPr>
              <w:t xml:space="preserve">المخيماتُ والممراتُ وكلُّ نوعٍ بنسبة تركيبه في كلِّ مشعر.</w:t>
            </w:r>
          </w:p>
        </w:tc>
      </w:tr>
      <w:tr>
        <w:tc>
          <w:tcPr>
            <w:tcW w:type="dxa" w:w="2600"/>
          </w:tcPr>
          <w:p>
            <w:pPr>
              <w:bidi/>
              <w:jc w:val="start"/>
            </w:pPr>
            <w:r>
              <w:rPr>
                <w:rFonts w:ascii="Arial" w:cs="Arial" w:eastAsia="Arial" w:hAnsi="Arial"/>
                <w:b w:val="false"/>
                <w:bCs w:val="false"/>
                <w:sz w:val="20"/>
                <w:szCs w:val="20"/>
                <w:rtl/>
              </w:rPr>
              <w:t xml:space="preserve">متابعة الوزارة ← شركات الخدمة</w:t>
            </w:r>
          </w:p>
        </w:tc>
        <w:tc>
          <w:tcPr>
            <w:tcW w:type="dxa" w:w="6400"/>
          </w:tcPr>
          <w:p>
            <w:pPr>
              <w:bidi/>
              <w:jc w:val="start"/>
            </w:pPr>
            <w:r>
              <w:rPr>
                <w:rFonts w:ascii="Arial" w:cs="Arial" w:eastAsia="Arial" w:hAnsi="Arial"/>
                <w:b w:val="false"/>
                <w:bCs w:val="false"/>
                <w:sz w:val="20"/>
                <w:szCs w:val="20"/>
                <w:rtl/>
              </w:rPr>
              <w:t xml:space="preserve">لكلِّ شركةٍ مخيماتُها وما تمت زيارتُه منها والتحديات — وفي التركيب ما رُكّب ومستواه.</w:t>
            </w:r>
          </w:p>
        </w:tc>
      </w:tr>
      <w:tr>
        <w:tc>
          <w:tcPr>
            <w:tcW w:type="dxa" w:w="2600"/>
          </w:tcPr>
          <w:p>
            <w:pPr>
              <w:bidi/>
              <w:jc w:val="start"/>
            </w:pPr>
            <w:r>
              <w:rPr>
                <w:rFonts w:ascii="Arial" w:cs="Arial" w:eastAsia="Arial" w:hAnsi="Arial"/>
                <w:b w:val="false"/>
                <w:bCs w:val="false"/>
                <w:sz w:val="20"/>
                <w:szCs w:val="20"/>
                <w:rtl/>
              </w:rPr>
              <w:t xml:space="preserve">متابعة الوزارة ← التحديات والمعوقات</w:t>
            </w:r>
          </w:p>
        </w:tc>
        <w:tc>
          <w:tcPr>
            <w:tcW w:type="dxa" w:w="6400"/>
          </w:tcPr>
          <w:p>
            <w:pPr>
              <w:bidi/>
              <w:jc w:val="start"/>
            </w:pPr>
            <w:r>
              <w:rPr>
                <w:rFonts w:ascii="Arial" w:cs="Arial" w:eastAsia="Arial" w:hAnsi="Arial"/>
                <w:b w:val="false"/>
                <w:bCs w:val="false"/>
                <w:sz w:val="20"/>
                <w:szCs w:val="20"/>
                <w:rtl/>
              </w:rPr>
              <w:t xml:space="preserve">كلُّ عائقٍ بفئته وجهته وآلية معالجته ومسؤوله وحالته — بفلتر المشعر والنوع.</w:t>
            </w:r>
          </w:p>
        </w:tc>
      </w:tr>
      <w:tr>
        <w:tc>
          <w:tcPr>
            <w:tcW w:type="dxa" w:w="2600"/>
          </w:tcPr>
          <w:p>
            <w:pPr>
              <w:bidi/>
              <w:jc w:val="start"/>
            </w:pPr>
            <w:r>
              <w:rPr>
                <w:rFonts w:ascii="Arial" w:cs="Arial" w:eastAsia="Arial" w:hAnsi="Arial"/>
                <w:b w:val="false"/>
                <w:bCs w:val="false"/>
                <w:sz w:val="20"/>
                <w:szCs w:val="20"/>
                <w:rtl/>
              </w:rPr>
              <w:t xml:space="preserve">متابعة الوزارة ← طلبات الوزارة</w:t>
            </w:r>
          </w:p>
        </w:tc>
        <w:tc>
          <w:tcPr>
            <w:tcW w:type="dxa" w:w="6400"/>
          </w:tcPr>
          <w:p>
            <w:pPr>
              <w:bidi/>
              <w:jc w:val="start"/>
            </w:pPr>
            <w:r>
              <w:rPr>
                <w:rFonts w:ascii="Arial" w:cs="Arial" w:eastAsia="Arial" w:hAnsi="Arial"/>
                <w:b w:val="false"/>
                <w:bCs w:val="false"/>
                <w:sz w:val="20"/>
                <w:szCs w:val="20"/>
                <w:rtl/>
              </w:rPr>
              <w:t xml:space="preserve">ما طلبته الوزارةُ وآخرُ إفادةٍ فيه والدعمُ المطلوب.</w:t>
            </w:r>
          </w:p>
        </w:tc>
      </w:tr>
      <w:tr>
        <w:tc>
          <w:tcPr>
            <w:tcW w:type="dxa" w:w="2600"/>
          </w:tcPr>
          <w:p>
            <w:pPr>
              <w:bidi/>
              <w:jc w:val="start"/>
            </w:pPr>
            <w:r>
              <w:rPr>
                <w:rFonts w:ascii="Arial" w:cs="Arial" w:eastAsia="Arial" w:hAnsi="Arial"/>
                <w:b w:val="false"/>
                <w:bCs w:val="false"/>
                <w:sz w:val="20"/>
                <w:szCs w:val="20"/>
                <w:rtl/>
              </w:rPr>
              <w:t xml:space="preserve">متابعة الوزارة ← ملخص العمل اليومي</w:t>
            </w:r>
          </w:p>
        </w:tc>
        <w:tc>
          <w:tcPr>
            <w:tcW w:type="dxa" w:w="6400"/>
          </w:tcPr>
          <w:p>
            <w:pPr>
              <w:bidi/>
              <w:jc w:val="start"/>
            </w:pPr>
            <w:r>
              <w:rPr>
                <w:rFonts w:ascii="Arial" w:cs="Arial" w:eastAsia="Arial" w:hAnsi="Arial"/>
                <w:b w:val="false"/>
                <w:bCs w:val="false"/>
                <w:sz w:val="20"/>
                <w:szCs w:val="20"/>
                <w:rtl/>
              </w:rPr>
              <w:t xml:space="preserve">الزياراتُ والتركيبُ والفكُّ وما تحتاج زيارةً أخرى تقنيًا — يومًا بيوم.</w:t>
            </w:r>
          </w:p>
        </w:tc>
      </w:tr>
      <w:tr>
        <w:tc>
          <w:tcPr>
            <w:tcW w:type="dxa" w:w="2600"/>
          </w:tcPr>
          <w:p>
            <w:pPr>
              <w:bidi/>
              <w:jc w:val="start"/>
            </w:pPr>
            <w:r>
              <w:rPr>
                <w:rFonts w:ascii="Arial" w:cs="Arial" w:eastAsia="Arial" w:hAnsi="Arial"/>
                <w:b w:val="false"/>
                <w:bCs w:val="false"/>
                <w:sz w:val="20"/>
                <w:szCs w:val="20"/>
                <w:rtl/>
              </w:rPr>
              <w:t xml:space="preserve">متابعة الوزارة ← شاشةُ القاعة</w:t>
            </w:r>
          </w:p>
        </w:tc>
        <w:tc>
          <w:tcPr>
            <w:tcW w:type="dxa" w:w="6400"/>
          </w:tcPr>
          <w:p>
            <w:pPr>
              <w:bidi/>
              <w:jc w:val="start"/>
            </w:pPr>
            <w:r>
              <w:rPr>
                <w:rFonts w:ascii="Arial" w:cs="Arial" w:eastAsia="Arial" w:hAnsi="Arial"/>
                <w:b w:val="false"/>
                <w:bCs w:val="false"/>
                <w:sz w:val="20"/>
                <w:szCs w:val="20"/>
                <w:rtl/>
              </w:rPr>
              <w:t xml:space="preserve">عرضٌ كبيرٌ يُقرأ من آخر القاعة ويتجدّد وحدَه كلَّ دقيقة — وفيه النقاطُ بعوائق وبدونها للإجمالي ولكلِّ نوع.</w:t>
            </w:r>
          </w:p>
        </w:tc>
      </w:tr>
      <w:tr>
        <w:tc>
          <w:tcPr>
            <w:tcW w:type="dxa" w:w="2600"/>
          </w:tcPr>
          <w:p>
            <w:pPr>
              <w:bidi/>
              <w:jc w:val="start"/>
            </w:pPr>
            <w:r>
              <w:rPr>
                <w:rFonts w:ascii="Arial" w:cs="Arial" w:eastAsia="Arial" w:hAnsi="Arial"/>
                <w:b w:val="false"/>
                <w:bCs w:val="false"/>
                <w:sz w:val="20"/>
                <w:szCs w:val="20"/>
                <w:rtl/>
              </w:rPr>
              <w:t xml:space="preserve">نظرة عامة ← الصورة العامة</w:t>
            </w:r>
          </w:p>
        </w:tc>
        <w:tc>
          <w:tcPr>
            <w:tcW w:type="dxa" w:w="6400"/>
          </w:tcPr>
          <w:p>
            <w:pPr>
              <w:bidi/>
              <w:jc w:val="start"/>
            </w:pPr>
            <w:r>
              <w:rPr>
                <w:rFonts w:ascii="Arial" w:cs="Arial" w:eastAsia="Arial" w:hAnsi="Arial"/>
                <w:b w:val="false"/>
                <w:bCs w:val="false"/>
                <w:sz w:val="20"/>
                <w:szCs w:val="20"/>
                <w:rtl/>
              </w:rPr>
              <w:t xml:space="preserve">الصورة التنفيذية لحظيًّا — تُحدَّث مع كل عملية ميدانية.</w:t>
            </w:r>
          </w:p>
        </w:tc>
      </w:tr>
      <w:tr>
        <w:tc>
          <w:tcPr>
            <w:tcW w:type="dxa" w:w="2600"/>
          </w:tcPr>
          <w:p>
            <w:pPr>
              <w:bidi/>
              <w:jc w:val="start"/>
            </w:pPr>
            <w:r>
              <w:rPr>
                <w:rFonts w:ascii="Arial" w:cs="Arial" w:eastAsia="Arial" w:hAnsi="Arial"/>
                <w:b w:val="false"/>
                <w:bCs w:val="false"/>
                <w:sz w:val="20"/>
                <w:szCs w:val="20"/>
                <w:rtl/>
              </w:rPr>
              <w:t xml:space="preserve">متابعة المهام الأسبوعية</w:t>
            </w:r>
          </w:p>
        </w:tc>
        <w:tc>
          <w:tcPr>
            <w:tcW w:type="dxa" w:w="6400"/>
          </w:tcPr>
          <w:p>
            <w:pPr>
              <w:bidi/>
              <w:jc w:val="start"/>
            </w:pPr>
            <w:r>
              <w:rPr>
                <w:rFonts w:ascii="Arial" w:cs="Arial" w:eastAsia="Arial" w:hAnsi="Arial"/>
                <w:b w:val="false"/>
                <w:bCs w:val="false"/>
                <w:sz w:val="20"/>
                <w:szCs w:val="20"/>
                <w:rtl/>
              </w:rPr>
              <w:t xml:space="preserve">مهامُّ الاجتماع — كلُّ مهمةٍ بطاقةٌ تقول ماذا ومن ومتى وأين وقفت؛ اضغطها لتحدّث حالتَها أو تكتب ما الجديد. يعدّلها المهندسُ فما فوق والوزارة.</w:t>
            </w:r>
          </w:p>
        </w:tc>
      </w:tr>
      <w:tr>
        <w:tc>
          <w:tcPr>
            <w:tcW w:type="dxa" w:w="2600"/>
          </w:tcPr>
          <w:p>
            <w:pPr>
              <w:bidi/>
              <w:jc w:val="start"/>
            </w:pPr>
            <w:r>
              <w:rPr>
                <w:rFonts w:ascii="Arial" w:cs="Arial" w:eastAsia="Arial" w:hAnsi="Arial"/>
                <w:b w:val="false"/>
                <w:bCs w:val="false"/>
                <w:sz w:val="20"/>
                <w:szCs w:val="20"/>
                <w:rtl/>
              </w:rPr>
              <w:t xml:space="preserve">نظرة عامة ← أمس · الآن · غدًا</w:t>
            </w:r>
          </w:p>
        </w:tc>
        <w:tc>
          <w:tcPr>
            <w:tcW w:type="dxa" w:w="6400"/>
          </w:tcPr>
          <w:p>
            <w:pPr>
              <w:bidi/>
              <w:jc w:val="start"/>
            </w:pPr>
            <w:r>
              <w:rPr>
                <w:rFonts w:ascii="Arial" w:cs="Arial" w:eastAsia="Arial" w:hAnsi="Arial"/>
                <w:b w:val="false"/>
                <w:bCs w:val="false"/>
                <w:sz w:val="20"/>
                <w:szCs w:val="20"/>
                <w:rtl/>
              </w:rPr>
              <w:t xml:space="preserve">ما انتهى، وما يجري الآن ومن يفعله وأين، وما هو مجدولٌ لغد.</w:t>
            </w:r>
          </w:p>
        </w:tc>
      </w:tr>
      <w:tr>
        <w:tc>
          <w:tcPr>
            <w:tcW w:type="dxa" w:w="2600"/>
          </w:tcPr>
          <w:p>
            <w:pPr>
              <w:bidi/>
              <w:jc w:val="start"/>
            </w:pPr>
            <w:r>
              <w:rPr>
                <w:rFonts w:ascii="Arial" w:cs="Arial" w:eastAsia="Arial" w:hAnsi="Arial"/>
                <w:b w:val="false"/>
                <w:bCs w:val="false"/>
                <w:sz w:val="20"/>
                <w:szCs w:val="20"/>
                <w:rtl/>
              </w:rPr>
              <w:t xml:space="preserve">التقارير التنفيذية ← يوميات المشروع</w:t>
            </w:r>
          </w:p>
        </w:tc>
        <w:tc>
          <w:tcPr>
            <w:tcW w:type="dxa" w:w="6400"/>
          </w:tcPr>
          <w:p>
            <w:pPr>
              <w:bidi/>
              <w:jc w:val="start"/>
            </w:pPr>
            <w:r>
              <w:rPr>
                <w:rFonts w:ascii="Arial" w:cs="Arial" w:eastAsia="Arial" w:hAnsi="Arial"/>
                <w:b w:val="false"/>
                <w:bCs w:val="false"/>
                <w:sz w:val="20"/>
                <w:szCs w:val="20"/>
                <w:rtl/>
              </w:rPr>
              <w:t xml:space="preserve">كلُّ يومٍ منذ أوّل يومِ عمل: كم مُسح ورُكّب وفُكّ واعتُمد، ومن عمل — والتراكميُّ إلى اليوم.</w:t>
            </w:r>
          </w:p>
        </w:tc>
      </w:tr>
      <w:tr>
        <w:tc>
          <w:tcPr>
            <w:tcW w:type="dxa" w:w="2600"/>
          </w:tcPr>
          <w:p>
            <w:pPr>
              <w:bidi/>
              <w:jc w:val="start"/>
            </w:pPr>
            <w:r>
              <w:rPr>
                <w:rFonts w:ascii="Arial" w:cs="Arial" w:eastAsia="Arial" w:hAnsi="Arial"/>
                <w:b w:val="false"/>
                <w:bCs w:val="false"/>
                <w:sz w:val="20"/>
                <w:szCs w:val="20"/>
                <w:rtl/>
              </w:rPr>
              <w:t xml:space="preserve">نظرة عامة ← حسب المشعر والنوع</w:t>
            </w:r>
          </w:p>
        </w:tc>
        <w:tc>
          <w:tcPr>
            <w:tcW w:type="dxa" w:w="6400"/>
          </w:tcPr>
          <w:p>
            <w:pPr>
              <w:bidi/>
              <w:jc w:val="start"/>
            </w:pPr>
            <w:r>
              <w:rPr>
                <w:rFonts w:ascii="Arial" w:cs="Arial" w:eastAsia="Arial" w:hAnsi="Arial"/>
                <w:b w:val="false"/>
                <w:bCs w:val="false"/>
                <w:sz w:val="20"/>
                <w:szCs w:val="20"/>
                <w:rtl/>
              </w:rPr>
              <w:t xml:space="preserve">التوزيع الكامل بالنسب.</w:t>
            </w:r>
          </w:p>
        </w:tc>
      </w:tr>
      <w:tr>
        <w:tc>
          <w:tcPr>
            <w:tcW w:type="dxa" w:w="2600"/>
          </w:tcPr>
          <w:p>
            <w:pPr>
              <w:bidi/>
              <w:jc w:val="start"/>
            </w:pPr>
            <w:r>
              <w:rPr>
                <w:rFonts w:ascii="Arial" w:cs="Arial" w:eastAsia="Arial" w:hAnsi="Arial"/>
                <w:b w:val="false"/>
                <w:bCs w:val="false"/>
                <w:sz w:val="20"/>
                <w:szCs w:val="20"/>
                <w:rtl/>
              </w:rPr>
              <w:t xml:space="preserve">الشركات ← حسب شركة الخدمة</w:t>
            </w:r>
          </w:p>
        </w:tc>
        <w:tc>
          <w:tcPr>
            <w:tcW w:type="dxa" w:w="6400"/>
          </w:tcPr>
          <w:p>
            <w:pPr>
              <w:bidi/>
              <w:jc w:val="start"/>
            </w:pPr>
            <w:r>
              <w:rPr>
                <w:rFonts w:ascii="Arial" w:cs="Arial" w:eastAsia="Arial" w:hAnsi="Arial"/>
                <w:b w:val="false"/>
                <w:bCs w:val="false"/>
                <w:sz w:val="20"/>
                <w:szCs w:val="20"/>
                <w:rtl/>
              </w:rPr>
              <w:t xml:space="preserve">لكلِّ شركةٍ مخيّماتُها — تُضاف وتُعدَّل وتُحذَف.</w:t>
            </w:r>
          </w:p>
        </w:tc>
      </w:tr>
      <w:tr>
        <w:tc>
          <w:tcPr>
            <w:tcW w:type="dxa" w:w="2600"/>
          </w:tcPr>
          <w:p>
            <w:pPr>
              <w:bidi/>
              <w:jc w:val="start"/>
            </w:pPr>
            <w:r>
              <w:rPr>
                <w:rFonts w:ascii="Arial" w:cs="Arial" w:eastAsia="Arial" w:hAnsi="Arial"/>
                <w:b w:val="false"/>
                <w:bCs w:val="false"/>
                <w:sz w:val="20"/>
                <w:szCs w:val="20"/>
                <w:rtl/>
              </w:rPr>
              <w:t xml:space="preserve">الفك والمراحل ← الفك بعد الموسم</w:t>
            </w:r>
          </w:p>
        </w:tc>
        <w:tc>
          <w:tcPr>
            <w:tcW w:type="dxa" w:w="6400"/>
          </w:tcPr>
          <w:p>
            <w:pPr>
              <w:bidi/>
              <w:jc w:val="start"/>
            </w:pPr>
            <w:r>
              <w:rPr>
                <w:rFonts w:ascii="Arial" w:cs="Arial" w:eastAsia="Arial" w:hAnsi="Arial"/>
                <w:b w:val="false"/>
                <w:bCs w:val="false"/>
                <w:sz w:val="20"/>
                <w:szCs w:val="20"/>
                <w:rtl/>
              </w:rPr>
              <w:t xml:space="preserve">جدولة الفك وإرجاع العُهدة بحالة كل صنف.</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التخطيط</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متابعة الخطة التفصيلية</w:t>
            </w:r>
          </w:p>
        </w:tc>
        <w:tc>
          <w:tcPr>
            <w:tcW w:type="dxa" w:w="6400"/>
          </w:tcPr>
          <w:p>
            <w:pPr>
              <w:bidi/>
              <w:jc w:val="start"/>
            </w:pPr>
            <w:r>
              <w:rPr>
                <w:rFonts w:ascii="Arial" w:cs="Arial" w:eastAsia="Arial" w:hAnsi="Arial"/>
                <w:b w:val="false"/>
                <w:bCs w:val="false"/>
                <w:sz w:val="20"/>
                <w:szCs w:val="20"/>
                <w:rtl/>
              </w:rPr>
              <w:t xml:space="preserve">بنودُ المشروع كلُّها — من يعمل عليها ومتى تنتهي وأين وقفت؛ تُحدَّث من المكتب ويراها الجميع.</w:t>
            </w:r>
          </w:p>
        </w:tc>
      </w:tr>
      <w:tr>
        <w:tc>
          <w:tcPr>
            <w:tcW w:type="dxa" w:w="2600"/>
          </w:tcPr>
          <w:p>
            <w:pPr>
              <w:bidi/>
              <w:jc w:val="start"/>
            </w:pPr>
            <w:r>
              <w:rPr>
                <w:rFonts w:ascii="Arial" w:cs="Arial" w:eastAsia="Arial" w:hAnsi="Arial"/>
                <w:b w:val="false"/>
                <w:bCs w:val="false"/>
                <w:sz w:val="20"/>
                <w:szCs w:val="20"/>
                <w:rtl/>
              </w:rPr>
              <w:t xml:space="preserve">التخطيط والمخاطر ← المعالم والتسليم</w:t>
            </w:r>
          </w:p>
        </w:tc>
        <w:tc>
          <w:tcPr>
            <w:tcW w:type="dxa" w:w="6400"/>
          </w:tcPr>
          <w:p>
            <w:pPr>
              <w:bidi/>
              <w:jc w:val="start"/>
            </w:pPr>
            <w:r>
              <w:rPr>
                <w:rFonts w:ascii="Arial" w:cs="Arial" w:eastAsia="Arial" w:hAnsi="Arial"/>
                <w:b w:val="false"/>
                <w:bCs w:val="false"/>
                <w:sz w:val="20"/>
                <w:szCs w:val="20"/>
                <w:rtl/>
              </w:rPr>
              <w:t xml:space="preserve">محطّاتُ المشروع وأوزانُها وما اعتمد عليه كلٌّ منها.</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الأدوات</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التصدير والتقارير ← مركز التقارير</w:t>
            </w:r>
          </w:p>
        </w:tc>
        <w:tc>
          <w:tcPr>
            <w:tcW w:type="dxa" w:w="6400"/>
          </w:tcPr>
          <w:p>
            <w:pPr>
              <w:bidi/>
              <w:jc w:val="start"/>
            </w:pPr>
            <w:r>
              <w:rPr>
                <w:rFonts w:ascii="Arial" w:cs="Arial" w:eastAsia="Arial" w:hAnsi="Arial"/>
                <w:b w:val="false"/>
                <w:bCs w:val="false"/>
                <w:sz w:val="20"/>
                <w:szCs w:val="20"/>
                <w:rtl/>
              </w:rPr>
              <w:t xml:space="preserve">قوائمُ التقارير ودورياتُها وحزمُها.</w:t>
            </w:r>
          </w:p>
        </w:tc>
      </w:tr>
      <w:tr>
        <w:tc>
          <w:tcPr>
            <w:tcW w:type="dxa" w:w="2600"/>
          </w:tcPr>
          <w:p>
            <w:pPr>
              <w:bidi/>
              <w:jc w:val="start"/>
            </w:pPr>
            <w:r>
              <w:rPr>
                <w:rFonts w:ascii="Arial" w:cs="Arial" w:eastAsia="Arial" w:hAnsi="Arial"/>
                <w:b w:val="false"/>
                <w:bCs w:val="false"/>
                <w:sz w:val="20"/>
                <w:szCs w:val="20"/>
                <w:rtl/>
              </w:rPr>
              <w:t xml:space="preserve">التصدير والتقارير ← التصدير والاستيراد</w:t>
            </w:r>
          </w:p>
        </w:tc>
        <w:tc>
          <w:tcPr>
            <w:tcW w:type="dxa" w:w="6400"/>
          </w:tcPr>
          <w:p>
            <w:pPr>
              <w:bidi/>
              <w:jc w:val="start"/>
            </w:pPr>
            <w:r>
              <w:rPr>
                <w:rFonts w:ascii="Arial" w:cs="Arial" w:eastAsia="Arial" w:hAnsi="Arial"/>
                <w:b w:val="false"/>
                <w:bCs w:val="false"/>
                <w:sz w:val="20"/>
                <w:szCs w:val="20"/>
                <w:rtl/>
              </w:rPr>
              <w:t xml:space="preserve">ما يخرج من النظام وما يدخل إليه.</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الإعدادات</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المستخدمون والأدوار ← الحسابات</w:t>
            </w:r>
          </w:p>
        </w:tc>
        <w:tc>
          <w:tcPr>
            <w:tcW w:type="dxa" w:w="6400"/>
          </w:tcPr>
          <w:p>
            <w:pPr>
              <w:bidi/>
              <w:jc w:val="start"/>
            </w:pPr>
            <w:r>
              <w:rPr>
                <w:rFonts w:ascii="Arial" w:cs="Arial" w:eastAsia="Arial" w:hAnsi="Arial"/>
                <w:b w:val="false"/>
                <w:bCs w:val="false"/>
                <w:sz w:val="20"/>
                <w:szCs w:val="20"/>
                <w:rtl/>
              </w:rPr>
              <w:t xml:space="preserve">كل حساب ودوره في مكانٍ واحد — إنشاءً وبحثًا وتصفيةً بالنوع.</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دوراتُ عملك — 1</w:t>
      </w:r>
    </w:p>
    <w:p>
      <w:pPr>
        <w:bidi/>
        <w:spacing w:after="120"/>
        <w:jc w:val="start"/>
      </w:pPr>
      <w:r>
        <w:rPr>
          <w:rFonts w:ascii="Arial" w:cs="Arial" w:eastAsia="Arial" w:hAnsi="Arial"/>
          <w:b/>
          <w:bCs/>
          <w:sz w:val="24"/>
          <w:szCs w:val="24"/>
          <w:rtl/>
        </w:rPr>
        <w:t xml:space="preserve">خلاصة النقطة: تمام · تحدٍّ · ملاحظة</w:t>
      </w:r>
    </w:p>
    <w:p>
      <w:pPr>
        <w:bidi/>
        <w:spacing w:after="120"/>
        <w:jc w:val="start"/>
      </w:pPr>
      <w:r>
        <w:rPr>
          <w:rFonts w:ascii="Arial" w:cs="Arial" w:eastAsia="Arial" w:hAnsi="Arial"/>
          <w:b w:val="false"/>
          <w:bCs w:val="false"/>
          <w:color w:val="666666"/>
          <w:sz w:val="20"/>
          <w:szCs w:val="20"/>
          <w:rtl/>
        </w:rPr>
        <w:t xml:space="preserve">ما يبدؤها: زيارةٌ أو تركيبٌ أو فكٌّ تمَّ على النقطة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يفتح النقطةَ في طبقتها فيجد «خلاصة الزيارة» أو «خلاصة التركيب» أو «خلاصة الفك» في أعلى النافذة</w:t>
            </w:r>
          </w:p>
        </w:tc>
        <w:tc>
          <w:tcPr>
            <w:tcW w:type="dxa" w:w="2400"/>
          </w:tcPr>
          <w:p>
            <w:pPr>
              <w:bidi/>
              <w:jc w:val="start"/>
            </w:pPr>
            <w:r>
              <w:rPr>
                <w:rFonts w:ascii="Arial" w:cs="Arial" w:eastAsia="Arial" w:hAnsi="Arial"/>
                <w:b w:val="false"/>
                <w:bCs w:val="false"/>
                <w:sz w:val="20"/>
                <w:szCs w:val="20"/>
                <w:rtl/>
              </w:rPr>
              <w:t xml:space="preserve">نافذة النقطة</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يختار الحكم ويكتب سطرًا واحدًا: ما الذي وقع هنا</w:t>
            </w:r>
          </w:p>
        </w:tc>
        <w:tc>
          <w:tcPr>
            <w:tcW w:type="dxa" w:w="2400"/>
          </w:tcPr>
          <w:p>
            <w:pPr>
              <w:bidi/>
              <w:jc w:val="start"/>
            </w:pPr>
            <w:r>
              <w:rPr>
                <w:rFonts w:ascii="Arial" w:cs="Arial" w:eastAsia="Arial" w:hAnsi="Arial"/>
                <w:b w:val="false"/>
                <w:bCs w:val="false"/>
                <w:sz w:val="20"/>
                <w:szCs w:val="20"/>
                <w:rtl/>
              </w:rPr>
              <w:t xml:space="preserve">نافذة النقطة</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الوزارة</w:t>
            </w:r>
          </w:p>
        </w:tc>
        <w:tc>
          <w:tcPr>
            <w:tcW w:type="dxa" w:w="4400"/>
          </w:tcPr>
          <w:p>
            <w:pPr>
              <w:bidi/>
              <w:jc w:val="start"/>
            </w:pPr>
            <w:r>
              <w:rPr>
                <w:rFonts w:ascii="Arial" w:cs="Arial" w:eastAsia="Arial" w:hAnsi="Arial"/>
                <w:b w:val="false"/>
                <w:bCs w:val="false"/>
                <w:sz w:val="20"/>
                <w:szCs w:val="20"/>
                <w:rtl/>
              </w:rPr>
              <w:t xml:space="preserve">تكتب خلاصتها على السجلّ نفسِه — حقولُ الخلاصة وحدها</w:t>
            </w:r>
          </w:p>
        </w:tc>
        <w:tc>
          <w:tcPr>
            <w:tcW w:type="dxa" w:w="2400"/>
          </w:tcPr>
          <w:p>
            <w:pPr>
              <w:bidi/>
              <w:jc w:val="start"/>
            </w:pPr>
            <w:r>
              <w:rPr>
                <w:rFonts w:ascii="Arial" w:cs="Arial" w:eastAsia="Arial" w:hAnsi="Arial"/>
                <w:b w:val="false"/>
                <w:bCs w:val="false"/>
                <w:sz w:val="20"/>
                <w:szCs w:val="20"/>
                <w:rtl/>
              </w:rPr>
              <w:t xml:space="preserve">نافذة النقطة</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يلوّن إطارَ النقطة بالحكم ويعدّه في الأسطورة</w:t>
            </w:r>
          </w:p>
        </w:tc>
        <w:tc>
          <w:tcPr>
            <w:tcW w:type="dxa" w:w="2400"/>
          </w:tcPr>
          <w:p>
            <w:pPr>
              <w:bidi/>
              <w:jc w:val="start"/>
            </w:pPr>
            <w:r>
              <w:rPr>
                <w:rFonts w:ascii="Arial" w:cs="Arial" w:eastAsia="Arial" w:hAnsi="Arial"/>
                <w:b w:val="false"/>
                <w:bCs w:val="false"/>
                <w:sz w:val="20"/>
                <w:szCs w:val="20"/>
                <w:rtl/>
              </w:rPr>
              <w:t xml:space="preserve">الخريطة</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الإدارةُ العليا تقرأ ولا تكتب</w:t>
      </w:r>
    </w:p>
    <w:p>
      <w:pPr>
        <w:bidi/>
        <w:spacing w:after="120"/>
        <w:jc w:val="start"/>
      </w:pPr>
      <w:r>
        <w:rPr>
          <w:rFonts w:ascii="Arial" w:cs="Arial" w:eastAsia="Arial" w:hAnsi="Arial"/>
          <w:b w:val="false"/>
          <w:bCs w:val="false"/>
          <w:sz w:val="20"/>
          <w:szCs w:val="20"/>
          <w:rtl/>
        </w:rPr>
        <w:t xml:space="preserve">⚠ الخلاصةُ على سجلّ طبقتها — خلاصةُ الزيارة لا تظهر في طبقة التركيب</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V43.3  ·  2026-10-29</w:t>
      </w:r>
    </w:p>
    <w:p>
      <w:pPr>
        <w:bidi/>
        <w:spacing w:after="120"/>
        <w:jc w:val="start"/>
      </w:pPr>
      <w:r>
        <w:rPr>
          <w:rFonts w:ascii="Arial" w:cs="Arial" w:eastAsia="Arial" w:hAnsi="Arial"/>
          <w:b w:val="false"/>
          <w:bCs w:val="false"/>
          <w:sz w:val="20"/>
          <w:szCs w:val="20"/>
          <w:rtl/>
        </w:rPr>
        <w:t xml:space="preserve">•  مراجعة من ٣٥ لحد دلوقتي — من بيانات الإنتاج نفسها (قراءة فقط): ٢٬٦٤١ حدث في آخر ٧ أيام، فيهم ٧ بس بكلمة خطأ. اللي اتصلّح منهم: (١) زرار «تصدير» الصفحة كان بيقع لو ورقتين في الملف باسم واحد يفرق في حالة الحرف بس («daily» و«Daily») — بقى يفرّد الأسماء. (٢) ١٨ تسجيلة «عطل في متصفح الجهاز» كانت كلها «تعذّر تحديث عامل الخدمة» لجهاز واحد وقت ما النت راح لحظة الفحص — دي مش مشكلة، بقت تتسجل على الجهاز بس ومش في سجل الأحداث المشترك. وكمان: قراءة صحة جديدة للإنتاج (مين على أي إصدار، البلاغات المفتوحة، أخطاء الأسبوع، الطابور، أحجام البيانات) تتشغل من السحابة ومن غير ما تكتب حاجة</w:t>
      </w:r>
    </w:p>
    <w:p>
      <w:pPr>
        <w:bidi/>
        <w:spacing w:after="120"/>
        <w:jc w:val="start"/>
      </w:pPr>
      <w:r>
        <w:rPr>
          <w:rFonts w:ascii="Arial" w:cs="Arial" w:eastAsia="Arial" w:hAnsi="Arial"/>
          <w:b/>
          <w:bCs/>
          <w:sz w:val="22"/>
          <w:szCs w:val="22"/>
          <w:rtl/>
        </w:rPr>
        <w:t xml:space="preserve">V43.2  ·  2026-10-29</w:t>
      </w:r>
    </w:p>
    <w:p>
      <w:pPr>
        <w:bidi/>
        <w:spacing w:after="120"/>
        <w:jc w:val="start"/>
      </w:pPr>
      <w:r>
        <w:rPr>
          <w:rFonts w:ascii="Arial" w:cs="Arial" w:eastAsia="Arial" w:hAnsi="Arial"/>
          <w:b w:val="false"/>
          <w:bCs w:val="false"/>
          <w:sz w:val="20"/>
          <w:szCs w:val="20"/>
          <w:rtl/>
        </w:rPr>
        <w:t xml:space="preserve">•  «الحساسات والجيت واي» بقى فيها لوحة مش بس قايمة: زرار «📊 اللوحة / ☰ القائمة» فوق. اللوحة فيها: صحة كل الأجهزة (محدّث، متأخر، منقطع، على المنصة بلا قراءة، السيريال مش على المنصة، بلا سيريال) بمربعات وشريط ملوّن؛ وحسب المنطقة (منى، عرفات) كل منطقة بشريطها وعدد مخيماتها؛ وإشارة الحساسات (أخضر/أصفر/أحمر بألوان لورا SF12)؛ وبطارية الحساسات (٥٠٪+، ٢٠–٥٠٪، ٢٠٪ أو أقل)؛ والجيت واي (محدّث، متأخر أو منقطع، بلا سيريال، بطارية خارجية ضعيفة أقل من ١١٫٥ فولت)؛ وأكتر ٨ مخيمات محتاجة تدخّل. أي مربع تضغطه يفتح قايمته بالفلتر نفسه. بتترسم في مللي ثواني مع ٨ آلاف جهاز. وكمان خانة «الحساسات المحدّثة» في جدول المخيمات بقت «٠ من ١٢» بدل «٠ / ١٢» لأن الشرطة كانت بتلخبط ترتيب الأرقام على الشاشة</w:t>
      </w:r>
    </w:p>
    <w:p>
      <w:pPr>
        <w:bidi/>
        <w:spacing w:after="120"/>
        <w:jc w:val="start"/>
      </w:pPr>
      <w:r>
        <w:rPr>
          <w:rFonts w:ascii="Arial" w:cs="Arial" w:eastAsia="Arial" w:hAnsi="Arial"/>
          <w:b/>
          <w:bCs/>
          <w:sz w:val="22"/>
          <w:szCs w:val="22"/>
          <w:rtl/>
        </w:rPr>
        <w:t xml:space="preserve">V43.1  ·  2026-10-29</w:t>
      </w:r>
    </w:p>
    <w:p>
      <w:pPr>
        <w:bidi/>
        <w:spacing w:after="120"/>
        <w:jc w:val="start"/>
      </w:pPr>
      <w:r>
        <w:rPr>
          <w:rFonts w:ascii="Arial" w:cs="Arial" w:eastAsia="Arial" w:hAnsi="Arial"/>
          <w:b w:val="false"/>
          <w:bCs w:val="false"/>
          <w:sz w:val="20"/>
          <w:szCs w:val="20"/>
          <w:rtl/>
        </w:rPr>
        <w:t xml:space="preserve">•  مراجعة الأردو — آخر جزء: ملاحظات الإصدارات في «ما الجديد» (١٧٧ ملاحظة) اتفحصت على كل الأغلاط اللي اتلقطت في الشاشات قبل كده، وطلع فيها غلطتين بس اتصلحوا: «الشاخص» كان «علامة» في ملاحظة، و«الفك» كان «إزالة» في ملاحظة تانية. والملاحظات اللي فيها «خيام» مترجمة صح لأن العربي نفسه بيقول خيام. بكده مراجعة الأردو خلصت كلها: الشاشات وملاحظات الإصدارات</w:t>
      </w:r>
    </w:p>
    <w:p>
      <w:pPr>
        <w:bidi/>
        <w:spacing w:after="120"/>
        <w:jc w:val="start"/>
      </w:pPr>
      <w:r>
        <w:rPr>
          <w:rFonts w:ascii="Arial" w:cs="Arial" w:eastAsia="Arial" w:hAnsi="Arial"/>
          <w:b/>
          <w:bCs/>
          <w:sz w:val="22"/>
          <w:szCs w:val="22"/>
          <w:rtl/>
        </w:rPr>
        <w:t xml:space="preserve">V43.0  ·  2026-10-29</w:t>
      </w:r>
    </w:p>
    <w:p>
      <w:pPr>
        <w:bidi/>
        <w:spacing w:after="120"/>
        <w:jc w:val="start"/>
      </w:pPr>
      <w:r>
        <w:rPr>
          <w:rFonts w:ascii="Arial" w:cs="Arial" w:eastAsia="Arial" w:hAnsi="Arial"/>
          <w:b w:val="false"/>
          <w:bCs w:val="false"/>
          <w:sz w:val="20"/>
          <w:szCs w:val="20"/>
          <w:rtl/>
        </w:rPr>
        <w:t xml:space="preserve">•  عرفات في «متابعة الوزارة» زي ما طلبت: تضغط «المسح» ← تختار «عرفات» ← بعد الأرقام في الآخر بتلاقي «نوع المخيم — عرفات» بتلات مربعات: 🚧 مخيمات ترددي (وتحته مجموع بوابات التفويج)، ⛺ مخيمات عادي، ❔ لم يُحدَّد نوعها بعد. تضغط «ترددي» تدخل جوّاها: المجموع فوق، وجدول بكل مخيم فيه كام بوابة تفويج ومين سجّلها، واللي لسه من غير عدد بالأحمر، وحالتهم، والإكسل فيه نوع المخيم وعدد البوابات. وشلت الإضافات اللي كانت في «نظرة عامة» (كارت عرفات، والأربع بطاقات، وتبويب بوابات التفويج) عشان تبقى في مكان واحد</w:t>
      </w:r>
    </w:p>
    <w:p>
      <w:pPr>
        <w:bidi/>
        <w:spacing w:after="120"/>
        <w:jc w:val="start"/>
      </w:pPr>
      <w:r>
        <w:rPr>
          <w:rFonts w:ascii="Arial" w:cs="Arial" w:eastAsia="Arial" w:hAnsi="Arial"/>
          <w:b/>
          <w:bCs/>
          <w:sz w:val="22"/>
          <w:szCs w:val="22"/>
          <w:rtl/>
        </w:rPr>
        <w:t xml:space="preserve">V42.9  ·  2026-10-29</w:t>
      </w:r>
    </w:p>
    <w:p>
      <w:pPr>
        <w:bidi/>
        <w:spacing w:after="120"/>
        <w:jc w:val="start"/>
      </w:pPr>
      <w:r>
        <w:rPr>
          <w:rFonts w:ascii="Arial" w:cs="Arial" w:eastAsia="Arial" w:hAnsi="Arial"/>
          <w:b w:val="false"/>
          <w:bCs w:val="false"/>
          <w:sz w:val="20"/>
          <w:szCs w:val="20"/>
          <w:rtl/>
        </w:rPr>
        <w:t xml:space="preserve">•  عرفات — المخيمات الترددي وبوابات التفويج: (١) «المتابعة» ← «نظرة عامة» ← «حسب المشعر والنوع» فيها كارت «عرفات — نوع المخيم» بتلات أرقام: مخيمات ترددي (ومعاها مجموع بوابات التفويج)، ومخيمات عادي، ولم يُحدَّد نوعها بعد. تضغط «ترددي» تفتح قايمة بكل مخيم فيه كام بوابة تفويج، والمجموع، ومين سجّلها، والمخيمات اللي لسه من غير عدد بالأحمر، وزرار «على الخريطة» وExcel؛ وتضغط «عادي» أو «لم يُحدَّد» تفتح قايمتهم. (٢) «تفاصيل المسح» فيها ٤ بطاقات لعرفات: ترددي من إجمالي مخيمات عرفات، ومجموع «الحاجز التنظيمي للتفويج — العدد»، وترددي بلا عدد بعد، وعادي. والأرقام كلها من اللي الفني أو المشرف اختاره في نموذج المسح</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20"/>
    </w:pPr>
  </w:style>
  <w:style w:type="paragraph" w:styleId="TOC3">
    <w:name w:val="toc 3"/>
    <w:basedOn w:val="Normal"/>
    <w:next w:val="Normal"/>
    <w:uiPriority w:val="39"/>
    <w:semiHidden/>
    <w:unhideWhenUsed/>
    <w:pPr>
      <w:spacing w:after="100"/>
      <w:ind w:left="440"/>
    </w:pPr>
  </w:style>
  <w:style w:type="paragraph" w:styleId="TOC4">
    <w:name w:val="toc 4"/>
    <w:basedOn w:val="Normal"/>
    <w:next w:val="Normal"/>
    <w:uiPriority w:val="39"/>
    <w:semiHidden/>
    <w:unhideWhenUsed/>
    <w:pPr>
      <w:spacing w:after="100"/>
      <w:ind w:left="660"/>
    </w:pPr>
  </w:style>
  <w:style w:type="paragraph" w:styleId="TOC5">
    <w:name w:val="toc 5"/>
    <w:basedOn w:val="Normal"/>
    <w:next w:val="Normal"/>
    <w:uiPriority w:val="39"/>
    <w:semiHidden/>
    <w:unhideWhenUsed/>
    <w:pPr>
      <w:spacing w:after="100"/>
      <w:ind w:left="880"/>
    </w:pPr>
  </w:style>
  <w:style w:type="paragraph" w:styleId="TOC6">
    <w:name w:val="toc 6"/>
    <w:basedOn w:val="Normal"/>
    <w:next w:val="Normal"/>
    <w:uiPriority w:val="39"/>
    <w:semiHidden/>
    <w:unhideWhenUsed/>
    <w:pPr>
      <w:spacing w:after="100"/>
      <w:ind w:left="1100"/>
    </w:pPr>
  </w:style>
  <w:style w:type="paragraph" w:styleId="TOC7">
    <w:name w:val="toc 7"/>
    <w:basedOn w:val="Normal"/>
    <w:next w:val="Normal"/>
    <w:uiPriority w:val="39"/>
    <w:semiHidden/>
    <w:unhideWhenUsed/>
    <w:pPr>
      <w:spacing w:after="100"/>
      <w:ind w:left="1320"/>
    </w:pPr>
  </w:style>
  <w:style w:type="paragraph" w:styleId="TOC8">
    <w:name w:val="toc 8"/>
    <w:basedOn w:val="Normal"/>
    <w:next w:val="Normal"/>
    <w:uiPriority w:val="39"/>
    <w:semiHidden/>
    <w:unhideWhenUsed/>
    <w:pPr>
      <w:spacing w:after="100"/>
      <w:ind w:left="1540"/>
    </w:pPr>
  </w:style>
  <w:style w:type="paragraph" w:styleId="TOC9">
    <w:name w:val="toc 9"/>
    <w:basedOn w:val="Normal"/>
    <w:next w:val="Normal"/>
    <w:uiPriority w:val="39"/>
    <w:semiHidden/>
    <w:unhideWhenUsed/>
    <w:pPr>
      <w:spacing w:after="100"/>
      <w:ind w:left="176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