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V39.3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القائمة أبسط: كل مجموعة فيها الشاشات المستخدمة فعلًا، والباقي تحت «المزيد» — ولا شاشة اتشالت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V39.2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رقم الطلب لا يتكرر بين جهازين: يُحجز في القاعدة حجزًا ذريًّا، وأوفلاين ينتظر الحجز ثم يتأكد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شاشات المتابعة أسرع: «التفاصيل الكاملة» تُرسم حين تُفتح، و«شغلي» ثلاثون لكل مشرف ثم «اعرض المزيد»، والتخزين الدائم يُطلب من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V39.0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الاسم الواحد رقم واحد في كل شاشة: «تحتاج زيارة أخرى» و«أعادها المهندس» بأسماء متابعة الوزارة، وجرد جديد يحرس ذلك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V38.99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لا بلاغ «الإصدار وقف» كاذب حين تُلغي قائمةُ التزامٍ أحدث قائمةَ الأقدم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