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بوابات التفويج</w:t>
            </w:r>
          </w:p>
        </w:tc>
        <w:tc>
          <w:tcPr>
            <w:tcW w:type="dxa" w:w="6400"/>
          </w:tcPr>
          <w:p>
            <w:pPr>
              <w:bidi/>
              <w:jc w:val="start"/>
            </w:pPr>
            <w:r>
              <w:rPr>
                <w:rFonts w:ascii="Arial" w:cs="Arial" w:eastAsia="Arial" w:hAnsi="Arial"/>
                <w:b w:val="false"/>
                <w:bCs w:val="false"/>
                <w:sz w:val="20"/>
                <w:szCs w:val="20"/>
                <w:rtl/>
              </w:rPr>
              <w:t xml:space="preserve">حصرُ بوابات تنظيم التفويج من المسح الميداني: كم بوابة، وفي أيِّ مخيم، وأين — ومن سجّلها؛ وكلُّ سطرٍ يطير إلى مخيمه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