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V38.30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— تركيبًا وتوثيقًا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V38.30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ما ينتظر الرفع: مهلة تجاهل يحددها المالك، وملف انتظار يُصدَّر من الجهاز ويُستورد عند المكتب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V38.29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التطبيق لا يكتب عنوانه بيد — تمهيدًا للدومين الخاص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V38.28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المصدر مجلّدات بالمجال — ٩٤ ملفًا بدل ١٧، بلا تغيير بايت واحد في الناتج، وخريطة كود مولَّدة وسقف ١٥٠٠ سطر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V38.27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التقارير بالكلام تفهم «موقع النقطة»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V38.26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«موقع النقطة» تحدٍّ بنفسه — كل ما ليس على مظلة — لكل النقاط عدا المخيمات ومراكز التفويج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