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V38.30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ما ينتظر الرفع: مهلة تجاهل يحددها المالك، وملف انتظار يُصدَّر من الجهاز ويُستورد عند 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V38.29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التطبيق لا يكتب عنوانه بيد — تمهيدًا للدومين الخاص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V38.28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المصدر مجلّدات بالمجال — ٩٤ ملفًا بدل ١٧، بلا تغيير بايت واحد في الناتج، وخريطة كود مولَّدة وسقف ١٥٠٠ سطر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V38.27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بالكلام تفهم «موقع النقطة»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V38.26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«موقع النقطة» تحدٍّ بنفسه — كل ما ليس على مظلة — لكل النقاط عدا المخيمات ومراكز التفويج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