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V38.30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يسجّل الزيارةَ على أيِّ نقطة، ويعدّل بياناتِ النقطة الأساسية، ويردّ زيارةَ فريقه للتصحيح، ويُنشئ فنيّيه — والاعتمادُ والتصنيفُ للمهندس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V38.30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ما ينتظر الرفع: مهلة تجاهل يحددها المالك، وملف انتظار يُصدَّر من الجهاز ويُستورد عند 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V38.29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التطبيق لا يكتب عنوانه بيد — تمهيدًا للدومين الخاص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V38.28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المصدر مجلّدات بالمجال — ٩٤ ملفًا بدل ١٧، بلا تغيير بايت واحد في الناتج، وخريطة كود مولَّدة وسقف ١٥٠٠ سطر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V38.27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التقارير بالكلام تفهم «موقع النقطة»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V38.26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«موقع النقطة» تحدٍّ بنفسه — كل ما ليس على مظلة — لكل النقاط عدا المخيمات ومراكز التفويج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