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V37.55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2"/>
          <w:szCs w:val="22"/>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4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2"/>
          <w:szCs w:val="22"/>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4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2"/>
          <w:szCs w:val="22"/>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4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2"/>
          <w:szCs w:val="22"/>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2"/>
          <w:szCs w:val="22"/>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2"/>
          <w:szCs w:val="22"/>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4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علامة إخفاء التبويبات كانت في خانة قاعدة الرؤية فوقّعت جرد الشرائح — اتنقلت لخانتها.</w:t>
      </w:r>
    </w:p>
    <w:p>
      <w:pPr>
        <w:bidi/>
        <w:spacing w:after="4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2"/>
          <w:szCs w:val="22"/>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4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2"/>
          <w:szCs w:val="22"/>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2"/>
          <w:szCs w:val="22"/>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4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2"/>
          <w:szCs w:val="22"/>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2026-10-11T21:32:56.147Z</dcterms:created>
  <dcterms:modified xsi:type="dcterms:W3CDTF">2026-10-11T21:32:56.147Z</dcterms:modified>
</cp:coreProperties>
</file>

<file path=docProps/custom.xml><?xml version="1.0" encoding="utf-8"?>
<Properties xmlns="http://schemas.openxmlformats.org/officeDocument/2006/custom-properties" xmlns:vt="http://schemas.openxmlformats.org/officeDocument/2006/docPropsVTypes"/>
</file>