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0"/>
          <w:szCs w:val="20"/>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start"/>
      </w:pPr>
      <w:r>
        <w:rPr>
          <w:rFonts w:ascii="Arial" w:cs="Arial" w:eastAsia="Arial" w:hAnsi="Arial"/>
          <w:b/>
          <w:bCs/>
          <w:sz w:val="22"/>
          <w:szCs w:val="22"/>
          <w:rtl/>
        </w:rPr>
        <w:t xml:space="preserve">V37.4  ·  ٨ أكتوبر ٢٠٢٦</w:t>
      </w:r>
    </w:p>
    <w:p>
      <w:pPr>
        <w:bidi/>
        <w:spacing w:after="120"/>
        <w:jc w:val="start"/>
      </w:pPr>
      <w:r>
        <w:rPr>
          <w:rFonts w:ascii="Arial" w:cs="Arial" w:eastAsia="Arial" w:hAnsi="Arial"/>
          <w:b w:val="false"/>
          <w:bCs w:val="false"/>
          <w:sz w:val="20"/>
          <w:szCs w:val="20"/>
          <w:rtl/>
        </w:rPr>
        <w:t xml:space="preserve">•  تقدر تعدّل مسميات أسباب عدم المسح وتحديات التركيب، وجهة الحل لكل واحد، وصورة الإثبات، وتشيل أي بند من قائمة الميدان أو تضيف بند جديد. الزرار «✎ تعديل المسميات والجهات» موجود جنب عنوان الكارتين في ملخص الوزارة (للمهندس وما فوق)، أو من الإعدادات.</w:t>
      </w:r>
    </w:p>
    <w:p>
      <w:pPr>
        <w:bidi/>
        <w:spacing w:after="120"/>
        <w:jc w:val="start"/>
      </w:pPr>
      <w:r>
        <w:rPr>
          <w:rFonts w:ascii="Arial" w:cs="Arial" w:eastAsia="Arial" w:hAnsi="Arial"/>
          <w:b w:val="false"/>
          <w:bCs w:val="false"/>
          <w:sz w:val="20"/>
          <w:szCs w:val="20"/>
          <w:rtl/>
        </w:rPr>
        <w:t xml:space="preserve">•  التعديل بيوصل كل الأجهزة مع المزامنة، والسجلات القديمة بتتقري بالاسم الجديد على طول. ولو مسحت الاسم بيرجع للأصلي.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