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الإدارة العليا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V38.72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الموقفُ التنفيذيُّ والمخاطرُ والقرار — قراءةً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V38.72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قطع الصيانة تصل دفتر المخزن في المكتب، وحارس يمنع أي حركة مخزن محلية بلا كتابتها في الدفتر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V38.71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حالة التركيب بإملاء واحد: «مركب» و«مُركّب» تُعدّ واحدًا في كل الشاشات (الوزارة والمتابعة واللوحة)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V38.70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نقل زيارة حُفظت على نقطة خطأ إلى نقطتها الصحيحة (بصورها)، وصور التركيب الملغى لا تُعرض صورًا للنقطة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V38.69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دفتر المخزن يصل المكتب فعلًا (كل حركة تركيب وفك وثيقتها) + تسوية بضغطة، ولا «أول نقطة» بديلًا في النافذة وصفحة النقطة والفرق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V38.68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إصلاح عاجل: النموذج بلا نقطة كان يحفظ على أول نقطة في السجل (مخيم عرفات ٠٠٠١) — وأداة إلغاء التركيب المسجّل خطأً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