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الإدارة العليا</w:t>
      </w:r>
    </w:p>
    <w:p>
      <w:pPr>
        <w:bidi/>
        <w:spacing w:after="120"/>
        <w:jc w:val="start"/>
      </w:pPr>
      <w:r>
        <w:rPr>
          <w:rFonts w:ascii="Arial" w:cs="Arial" w:eastAsia="Arial" w:hAnsi="Arial"/>
          <w:b w:val="false"/>
          <w:bCs w:val="false"/>
          <w:color w:val="666666"/>
          <w:sz w:val="20"/>
          <w:szCs w:val="20"/>
          <w:rtl/>
        </w:rPr>
        <w:t xml:space="preserve">النسخة V39.51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الموقفُ التنفيذيُّ والمخاطرُ والقرار — قراءةً</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يفعّل الحسابات الجديدة</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38</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التقارير التنفيذية ← مطابقة المنهجية</w:t>
            </w:r>
          </w:p>
        </w:tc>
        <w:tc>
          <w:tcPr>
            <w:tcW w:type="dxa" w:w="6400"/>
          </w:tcPr>
          <w:p>
            <w:pPr>
              <w:bidi/>
              <w:jc w:val="start"/>
            </w:pPr>
            <w:r>
              <w:rPr>
                <w:rFonts w:ascii="Arial" w:cs="Arial" w:eastAsia="Arial" w:hAnsi="Arial"/>
                <w:b w:val="false"/>
                <w:bCs w:val="false"/>
                <w:sz w:val="20"/>
                <w:szCs w:val="20"/>
                <w:rtl/>
              </w:rPr>
              <w:t xml:space="preserve">كلُّ بندٍ من دليل المعرفة والمنهج الرشيق ومنهج الذكاء الاصطناعي بدليله في النظام وحالته — تُحسَب من البيانات.</w:t>
            </w:r>
          </w:p>
        </w:tc>
      </w:tr>
      <w:tr>
        <w:tc>
          <w:tcPr>
            <w:tcW w:type="dxa" w:w="2600"/>
          </w:tcPr>
          <w:p>
            <w:pPr>
              <w:bidi/>
              <w:jc w:val="start"/>
            </w:pPr>
            <w:r>
              <w:rPr>
                <w:rFonts w:ascii="Arial" w:cs="Arial" w:eastAsia="Arial" w:hAnsi="Arial"/>
                <w:b w:val="false"/>
                <w:bCs w:val="false"/>
                <w:sz w:val="20"/>
                <w:szCs w:val="20"/>
                <w:rtl/>
              </w:rPr>
              <w:t xml:space="preserve">التقارير التنفيذية ← الدروس والمراجعات</w:t>
            </w:r>
          </w:p>
        </w:tc>
        <w:tc>
          <w:tcPr>
            <w:tcW w:type="dxa" w:w="6400"/>
          </w:tcPr>
          <w:p>
            <w:pPr>
              <w:bidi/>
              <w:jc w:val="start"/>
            </w:pPr>
            <w:r>
              <w:rPr>
                <w:rFonts w:ascii="Arial" w:cs="Arial" w:eastAsia="Arial" w:hAnsi="Arial"/>
                <w:b w:val="false"/>
                <w:bCs w:val="false"/>
                <w:sz w:val="20"/>
                <w:szCs w:val="20"/>
                <w:rtl/>
              </w:rPr>
              <w:t xml:space="preserve">الدروسُ المستفادةُ والمراجعاتُ الدورية: ما حدث، ولماذا، وما الإجراء، ومن يملكه.</w:t>
            </w:r>
          </w:p>
        </w:tc>
      </w:tr>
      <w:tr>
        <w:tc>
          <w:tcPr>
            <w:tcW w:type="dxa" w:w="2600"/>
          </w:tcPr>
          <w:p>
            <w:pPr>
              <w:bidi/>
              <w:jc w:val="start"/>
            </w:pPr>
            <w:r>
              <w:rPr>
                <w:rFonts w:ascii="Arial" w:cs="Arial" w:eastAsia="Arial" w:hAnsi="Arial"/>
                <w:b w:val="false"/>
                <w:bCs w:val="false"/>
                <w:sz w:val="20"/>
                <w:szCs w:val="20"/>
                <w:rtl/>
              </w:rPr>
              <w:t xml:space="preserve">التقارير التنفيذية ← أصحاب المصلحة</w:t>
            </w:r>
          </w:p>
        </w:tc>
        <w:tc>
          <w:tcPr>
            <w:tcW w:type="dxa" w:w="6400"/>
          </w:tcPr>
          <w:p>
            <w:pPr>
              <w:bidi/>
              <w:jc w:val="start"/>
            </w:pPr>
            <w:r>
              <w:rPr>
                <w:rFonts w:ascii="Arial" w:cs="Arial" w:eastAsia="Arial" w:hAnsi="Arial"/>
                <w:b w:val="false"/>
                <w:bCs w:val="false"/>
                <w:sz w:val="20"/>
                <w:szCs w:val="20"/>
                <w:rtl/>
              </w:rPr>
              <w:t xml:space="preserve">سجلُّ أصحاب المصلحة: التأثيرُ والاهتمام، والانخراطُ الحاليُّ والمطلوب، والخطة.</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التخطيط والمخاطر ← خطة الأسبوع</w:t>
            </w:r>
          </w:p>
        </w:tc>
        <w:tc>
          <w:tcPr>
            <w:tcW w:type="dxa" w:w="6400"/>
          </w:tcPr>
          <w:p>
            <w:pPr>
              <w:bidi/>
              <w:jc w:val="start"/>
            </w:pPr>
            <w:r>
              <w:rPr>
                <w:rFonts w:ascii="Arial" w:cs="Arial" w:eastAsia="Arial" w:hAnsi="Arial"/>
                <w:b w:val="false"/>
                <w:bCs w:val="false"/>
                <w:sz w:val="20"/>
                <w:szCs w:val="20"/>
                <w:rtl/>
              </w:rPr>
              <w:t xml:space="preserve">خطةُ المهندس للأسبوع: نقاطٌ بتفاصيلها وخطواتها ومتطلباتها ونتائجها — كلُّ نقطةٍ تُتمّ بنتيجة أو تُحدَّث أو تُغلَق. يراها المهندسون ومن فوقهم.</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r>
        <w:tc>
          <w:tcPr>
            <w:tcW w:type="dxa" w:w="2600"/>
          </w:tcPr>
          <w:p>
            <w:pPr>
              <w:bidi/>
              <w:jc w:val="start"/>
            </w:pPr>
            <w:r>
              <w:rPr>
                <w:rFonts w:ascii="Arial" w:cs="Arial" w:eastAsia="Arial" w:hAnsi="Arial"/>
                <w:b w:val="false"/>
                <w:bCs w:val="false"/>
                <w:sz w:val="20"/>
                <w:szCs w:val="20"/>
                <w:rtl/>
              </w:rPr>
              <w:t xml:space="preserve">التخطيط والمخاطر ← سجل المخاطر</w:t>
            </w:r>
          </w:p>
        </w:tc>
        <w:tc>
          <w:tcPr>
            <w:tcW w:type="dxa" w:w="6400"/>
          </w:tcPr>
          <w:p>
            <w:pPr>
              <w:bidi/>
              <w:jc w:val="start"/>
            </w:pPr>
            <w:r>
              <w:rPr>
                <w:rFonts w:ascii="Arial" w:cs="Arial" w:eastAsia="Arial" w:hAnsi="Arial"/>
                <w:b w:val="false"/>
                <w:bCs w:val="false"/>
                <w:sz w:val="20"/>
                <w:szCs w:val="20"/>
                <w:rtl/>
              </w:rPr>
              <w:t xml:space="preserve">ما قد يقع، واحتمالُه وأثرُه، ومن يملك الردَّ عليه.</w:t>
            </w:r>
          </w:p>
        </w:tc>
      </w:tr>
      <w:tr>
        <w:tc>
          <w:tcPr>
            <w:tcW w:type="dxa" w:w="2600"/>
          </w:tcPr>
          <w:p>
            <w:pPr>
              <w:bidi/>
              <w:jc w:val="start"/>
            </w:pPr>
            <w:r>
              <w:rPr>
                <w:rFonts w:ascii="Arial" w:cs="Arial" w:eastAsia="Arial" w:hAnsi="Arial"/>
                <w:b w:val="false"/>
                <w:bCs w:val="false"/>
                <w:sz w:val="20"/>
                <w:szCs w:val="20"/>
                <w:rtl/>
              </w:rPr>
              <w:t xml:space="preserve">التخطيط والمخاطر ← ضبط التغيير</w:t>
            </w:r>
          </w:p>
        </w:tc>
        <w:tc>
          <w:tcPr>
            <w:tcW w:type="dxa" w:w="6400"/>
          </w:tcPr>
          <w:p>
            <w:pPr>
              <w:bidi/>
              <w:jc w:val="start"/>
            </w:pPr>
            <w:r>
              <w:rPr>
                <w:rFonts w:ascii="Arial" w:cs="Arial" w:eastAsia="Arial" w:hAnsi="Arial"/>
                <w:b w:val="false"/>
                <w:bCs w:val="false"/>
                <w:sz w:val="20"/>
                <w:szCs w:val="20"/>
                <w:rtl/>
              </w:rPr>
              <w:t xml:space="preserve">لا يُمسّ خطُّ الأساس إلا بطلبٍ يُوثَّق ويُقيَّم ويُعتمَد.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V39.51  ·  2026-10-25</w:t>
      </w:r>
    </w:p>
    <w:p>
      <w:pPr>
        <w:bidi/>
        <w:spacing w:after="120"/>
        <w:jc w:val="start"/>
      </w:pPr>
      <w:r>
        <w:rPr>
          <w:rFonts w:ascii="Arial" w:cs="Arial" w:eastAsia="Arial" w:hAnsi="Arial"/>
          <w:b w:val="false"/>
          <w:bCs w:val="false"/>
          <w:sz w:val="20"/>
          <w:szCs w:val="20"/>
          <w:rtl/>
        </w:rPr>
        <w:t xml:space="preserve">•  لما تقف بالماوس على أي حساس في المجسّم (الدبوس أو الحساس جوّه الخيمة) تظهر الحرارة والرطوبة بخط كبير، ومن قد إيه، بنقطة لونها حسب حداثة القراءة — ونفس القيمتين في بطاقة الحساس</w:t>
      </w:r>
    </w:p>
    <w:p>
      <w:pPr>
        <w:bidi/>
        <w:spacing w:after="120"/>
        <w:jc w:val="start"/>
      </w:pPr>
      <w:r>
        <w:rPr>
          <w:rFonts w:ascii="Arial" w:cs="Arial" w:eastAsia="Arial" w:hAnsi="Arial"/>
          <w:b w:val="false"/>
          <w:bCs w:val="false"/>
          <w:sz w:val="20"/>
          <w:szCs w:val="20"/>
          <w:rtl/>
        </w:rPr>
        <w:t xml:space="preserve">•  ولو مفيش قراءة لسه، المكانين موجودين بشرطة ومكتوب السبب: «بانتظار الجسر» لو السيريال متسجّل، أو «سجّل سيريال الحساس ليُربط بأفاقي برو» لو مش متسجّل — من غير أي رقم مخترع</w:t>
      </w:r>
    </w:p>
    <w:p>
      <w:pPr>
        <w:bidi/>
        <w:spacing w:after="120"/>
        <w:jc w:val="start"/>
      </w:pPr>
      <w:r>
        <w:rPr>
          <w:rFonts w:ascii="Arial" w:cs="Arial" w:eastAsia="Arial" w:hAnsi="Arial"/>
          <w:b/>
          <w:bCs/>
          <w:sz w:val="22"/>
          <w:szCs w:val="22"/>
          <w:rtl/>
        </w:rPr>
        <w:t xml:space="preserve">V39.50  ·  2026-10-25</w:t>
      </w:r>
    </w:p>
    <w:p>
      <w:pPr>
        <w:bidi/>
        <w:spacing w:after="120"/>
        <w:jc w:val="start"/>
      </w:pPr>
      <w:r>
        <w:rPr>
          <w:rFonts w:ascii="Arial" w:cs="Arial" w:eastAsia="Arial" w:hAnsi="Arial"/>
          <w:b w:val="false"/>
          <w:bCs w:val="false"/>
          <w:sz w:val="20"/>
          <w:szCs w:val="20"/>
          <w:rtl/>
        </w:rPr>
        <w:t xml:space="preserve">•  مدخل المخيم في المجسّم بقى عليه الأربعة بس: الكاميرا والقارئ والجيت واي والراوتر — الهوائي واللوح الشمسي اتشالوا — ومتباعدين في صف كل جهاز عن التاني ٢٫٤ م</w:t>
      </w:r>
    </w:p>
    <w:p>
      <w:pPr>
        <w:bidi/>
        <w:spacing w:after="120"/>
        <w:jc w:val="start"/>
      </w:pPr>
      <w:r>
        <w:rPr>
          <w:rFonts w:ascii="Arial" w:cs="Arial" w:eastAsia="Arial" w:hAnsi="Arial"/>
          <w:b w:val="false"/>
          <w:bCs w:val="false"/>
          <w:sz w:val="20"/>
          <w:szCs w:val="20"/>
          <w:rtl/>
        </w:rPr>
        <w:t xml:space="preserve">•  وفوق كل مدخل صف أيقونات صغير (📷 📡 📶 🌐) ثابت المقاس فبيبان في أي زوم؛ تقف على أي واحد يظهر اسمه وعنوان الـIP بتاعه والسيريال، وتضغط يفتح بطاقته هو بس — والعنوان بقى في بطاقة كل جهاز وفي تلميحه، وخانة لعنوان الجيت واي في تعديل الموقع</w:t>
      </w:r>
    </w:p>
    <w:p>
      <w:pPr>
        <w:bidi/>
        <w:spacing w:after="120"/>
        <w:jc w:val="start"/>
      </w:pPr>
      <w:r>
        <w:rPr>
          <w:rFonts w:ascii="Arial" w:cs="Arial" w:eastAsia="Arial" w:hAnsi="Arial"/>
          <w:b w:val="false"/>
          <w:bCs w:val="false"/>
          <w:sz w:val="20"/>
          <w:szCs w:val="20"/>
          <w:rtl/>
        </w:rPr>
        <w:t xml:space="preserve">•  والضغط في المجسّم بقى يفتح الحاجة اللي ضغطت عليها بس: الحساس لوحده من غير ما المخيم (أو مخيم جنبه) يفتح معاه</w:t>
      </w:r>
    </w:p>
    <w:p>
      <w:pPr>
        <w:bidi/>
        <w:spacing w:after="120"/>
        <w:jc w:val="start"/>
      </w:pPr>
      <w:r>
        <w:rPr>
          <w:rFonts w:ascii="Arial" w:cs="Arial" w:eastAsia="Arial" w:hAnsi="Arial"/>
          <w:b/>
          <w:bCs/>
          <w:sz w:val="22"/>
          <w:szCs w:val="22"/>
          <w:rtl/>
        </w:rPr>
        <w:t xml:space="preserve">V39.49  ·  2026-10-25</w:t>
      </w:r>
    </w:p>
    <w:p>
      <w:pPr>
        <w:bidi/>
        <w:spacing w:after="120"/>
        <w:jc w:val="start"/>
      </w:pPr>
      <w:r>
        <w:rPr>
          <w:rFonts w:ascii="Arial" w:cs="Arial" w:eastAsia="Arial" w:hAnsi="Arial"/>
          <w:b w:val="false"/>
          <w:bCs w:val="false"/>
          <w:sz w:val="20"/>
          <w:szCs w:val="20"/>
          <w:rtl/>
        </w:rPr>
        <w:t xml:space="preserve">•  لوحة حية واحدة في نافذة كل نقطة: القارئ (من نظام البطاقات) متصل ولا لأ وآخر قراءة، والكاميرا بعددها وبصراحة «لا مصدر لحالتها بعد»، والحساسات (من أفاقي برو) كام متصل من كام ومدى الحرارة واللي ساكت، والجيت واي متصل ولا لأ — ولو الجسر لسه ما اشتغلش بتقول «بانتظار الجسر» بدل ما تخمّن</w:t>
      </w:r>
    </w:p>
    <w:p>
      <w:pPr>
        <w:bidi/>
        <w:spacing w:after="120"/>
        <w:jc w:val="start"/>
      </w:pPr>
      <w:r>
        <w:rPr>
          <w:rFonts w:ascii="Arial" w:cs="Arial" w:eastAsia="Arial" w:hAnsi="Arial"/>
          <w:b/>
          <w:bCs/>
          <w:sz w:val="22"/>
          <w:szCs w:val="22"/>
          <w:rtl/>
        </w:rPr>
        <w:t xml:space="preserve">V39.48  ·  2026-10-25</w:t>
      </w:r>
    </w:p>
    <w:p>
      <w:pPr>
        <w:bidi/>
        <w:spacing w:after="120"/>
        <w:jc w:val="start"/>
      </w:pPr>
      <w:r>
        <w:rPr>
          <w:rFonts w:ascii="Arial" w:cs="Arial" w:eastAsia="Arial" w:hAnsi="Arial"/>
          <w:b w:val="false"/>
          <w:bCs w:val="false"/>
          <w:sz w:val="20"/>
          <w:szCs w:val="20"/>
          <w:rtl/>
        </w:rPr>
        <w:t xml:space="preserve">•  في المجسّم: لما تقف على دبوس حساس يظهر الحساس هو (ومعاه قراءته الحية لو موجودة)، وعلى جهاز المدخل يظهر الجهاز، والمخيم ما يظهرش غير لما تقف على مكان فاضي منهم</w:t>
      </w:r>
    </w:p>
    <w:p>
      <w:pPr>
        <w:bidi/>
        <w:spacing w:after="120"/>
        <w:jc w:val="start"/>
      </w:pPr>
      <w:r>
        <w:rPr>
          <w:rFonts w:ascii="Arial" w:cs="Arial" w:eastAsia="Arial" w:hAnsi="Arial"/>
          <w:b w:val="false"/>
          <w:bCs w:val="false"/>
          <w:sz w:val="20"/>
          <w:szCs w:val="20"/>
          <w:rtl/>
        </w:rPr>
        <w:t xml:space="preserve">•  وأجهزة مدخل المخيم بقت بأشكالها الحقيقية ومقاساتها: الكاميرا راس بعدسة على عمود ٣٫٨ م، القارئ لوحة على عمود ٣ م، الراوتر صندوق صغير بهوائيين، والجيت واي كابينة على عمود بهوائي لونه لون حالته — والأنتنا واللوح الشمسي والبطارية كمان</w:t>
      </w:r>
    </w:p>
    <w:p>
      <w:pPr>
        <w:bidi/>
        <w:spacing w:after="120"/>
        <w:jc w:val="start"/>
      </w:pPr>
      <w:r>
        <w:rPr>
          <w:rFonts w:ascii="Arial" w:cs="Arial" w:eastAsia="Arial" w:hAnsi="Arial"/>
          <w:b/>
          <w:bCs/>
          <w:sz w:val="22"/>
          <w:szCs w:val="22"/>
          <w:rtl/>
        </w:rPr>
        <w:t xml:space="preserve">V39.47  ·  2026-10-25</w:t>
      </w:r>
    </w:p>
    <w:p>
      <w:pPr>
        <w:bidi/>
        <w:spacing w:after="120"/>
        <w:jc w:val="start"/>
      </w:pPr>
      <w:r>
        <w:rPr>
          <w:rFonts w:ascii="Arial" w:cs="Arial" w:eastAsia="Arial" w:hAnsi="Arial"/>
          <w:b w:val="false"/>
          <w:bCs w:val="false"/>
          <w:sz w:val="20"/>
          <w:szCs w:val="20"/>
          <w:rtl/>
        </w:rPr>
        <w:t xml:space="preserve">•  النظام بقى جاهز ياخد الحساسات والجيت واي من أفاقي برو لكل نقطة: جسر على السحابة كل ١٠ دقايق بيقرا الأجهزة من أفاقي برو ويربط كل حساس وجيت واي بنقطته بالسيريال المسجّل في خطة المخيم — وبطاقة كل حساس بتعرض قراءته الحية (حرارة · رطوبة · بطارية) ومن قد إيه، بلون حسب حداثتها</w:t>
      </w:r>
    </w:p>
    <w:p>
      <w:pPr>
        <w:bidi/>
        <w:spacing w:after="120"/>
        <w:jc w:val="start"/>
      </w:pPr>
      <w:r>
        <w:rPr>
          <w:rFonts w:ascii="Arial" w:cs="Arial" w:eastAsia="Arial" w:hAnsi="Arial"/>
          <w:b w:val="false"/>
          <w:bCs w:val="false"/>
          <w:sz w:val="20"/>
          <w:szCs w:val="20"/>
          <w:rtl/>
        </w:rPr>
        <w:t xml:space="preserve">•  الجسر قراءة بس من أفاقي برو، ومستني حساب التكامل يتضاف في أسرار المستودع؛ والقارئ والكاميرا بيفضلوا من منصة نسك</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