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bidi/>
        <w:spacing w:after="120"/>
        <w:jc w:val="start"/>
      </w:pPr>
      <w:r>
        <w:rPr>
          <w:rFonts w:ascii="Arial" w:cs="Arial" w:eastAsia="Arial" w:hAnsi="Arial"/>
          <w:b w:val="false"/>
          <w:bCs w:val="false"/>
          <w:color w:val="666666"/>
          <w:sz w:val="20"/>
          <w:szCs w:val="20"/>
          <w:rtl/>
        </w:rPr>
        <w:t xml:space="preserve">قارئات أفاقي — حج ١٤٤٨هـ</w:t>
      </w:r>
    </w:p>
    <w:p>
      <w:pPr>
        <w:pStyle w:val="Heading1"/>
        <w:bidi/>
        <w:spacing w:after="120"/>
        <w:jc w:val="start"/>
      </w:pPr>
      <w:r>
        <w:rPr>
          <w:rFonts w:ascii="Arial" w:cs="Arial" w:eastAsia="Arial" w:hAnsi="Arial"/>
          <w:b/>
          <w:bCs/>
          <w:sz w:val="32"/>
          <w:szCs w:val="32"/>
          <w:rtl/>
        </w:rPr>
        <w:t xml:space="preserve">دليل المستخدم — محاسب</w:t>
      </w:r>
    </w:p>
    <w:p>
      <w:pPr>
        <w:bidi/>
        <w:spacing w:after="120"/>
        <w:jc w:val="start"/>
      </w:pPr>
      <w:r>
        <w:rPr>
          <w:rFonts w:ascii="Arial" w:cs="Arial" w:eastAsia="Arial" w:hAnsi="Arial"/>
          <w:b w:val="false"/>
          <w:bCs w:val="false"/>
          <w:color w:val="666666"/>
          <w:sz w:val="20"/>
          <w:szCs w:val="20"/>
          <w:rtl/>
        </w:rPr>
        <w:t xml:space="preserve">النسخة V43.7 · يُولَّد من صلاحيات الدور نفسِها — فلا يصف ما لا تملك.</w:t>
      </w:r>
    </w:p>
    <w:p>
      <w:pPr>
        <w:bidi/>
        <w:spacing w:after="120"/>
        <w:jc w:val="start"/>
      </w:pPr>
      <w:r>
        <w:rPr>
          <w:rFonts w:ascii="Arial" w:cs="Arial" w:eastAsia="Arial" w:hAnsi="Arial"/>
          <w:b w:val="false"/>
          <w:bCs w:val="false"/>
          <w:sz w:val="24"/>
          <w:szCs w:val="24"/>
          <w:rtl/>
        </w:rPr>
        <w:t xml:space="preserve">يقرأ المالَ ويصدّره — ولا يسجّل شراءً ولا يعتمده</w:t>
      </w:r>
    </w:p>
    <w:p>
      <w:pPr>
        <w:pStyle w:val="Heading2"/>
        <w:bidi/>
        <w:spacing w:after="120"/>
        <w:jc w:val="start"/>
      </w:pPr>
      <w:r>
        <w:rPr>
          <w:rFonts w:ascii="Arial" w:cs="Arial" w:eastAsia="Arial" w:hAnsi="Arial"/>
          <w:b/>
          <w:bCs/>
          <w:sz w:val="26"/>
          <w:szCs w:val="26"/>
          <w:rtl/>
        </w:rPr>
        <w:t xml:space="preserve">ما تستطيعه</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6000"/>
      </w:tblGrid>
      <w:tr>
        <w:trPr>
          <w:tblHeader/>
        </w:trPr>
        <w:tc>
          <w:tcPr>
            <w:tcW w:type="dxa" w:w="3000"/>
            <w:shd w:fill="E8F1FA" w:color="auto" w:val="clear"/>
          </w:tcPr>
          <w:p>
            <w:pPr>
              <w:bidi/>
              <w:jc w:val="start"/>
            </w:pPr>
            <w:r>
              <w:rPr>
                <w:rFonts w:ascii="Arial" w:cs="Arial" w:eastAsia="Arial" w:hAnsi="Arial"/>
                <w:b/>
                <w:bCs/>
                <w:sz w:val="20"/>
                <w:szCs w:val="20"/>
                <w:rtl/>
              </w:rPr>
              <w:t xml:space="preserve">القدرة</w:t>
            </w:r>
          </w:p>
        </w:tc>
        <w:tc>
          <w:tcPr>
            <w:tcW w:type="dxa" w:w="6000"/>
            <w:shd w:fill="E8F1FA" w:color="auto" w:val="clear"/>
          </w:tcPr>
          <w:p>
            <w:pPr>
              <w:bidi/>
              <w:jc w:val="start"/>
            </w:pPr>
            <w:r>
              <w:rPr>
                <w:rFonts w:ascii="Arial" w:cs="Arial" w:eastAsia="Arial" w:hAnsi="Arial"/>
                <w:b/>
                <w:bCs/>
                <w:sz w:val="20"/>
                <w:szCs w:val="20"/>
                <w:rtl/>
              </w:rPr>
              <w:t xml:space="preserve">ما تعنيه</w:t>
            </w:r>
          </w:p>
        </w:tc>
      </w:tr>
      <w:tr>
        <w:tc>
          <w:tcPr>
            <w:tcW w:type="dxa" w:w="3000"/>
          </w:tcPr>
          <w:p>
            <w:pPr>
              <w:bidi/>
              <w:jc w:val="start"/>
            </w:pPr>
            <w:r>
              <w:rPr>
                <w:rFonts w:ascii="Arial" w:cs="Arial" w:eastAsia="Arial" w:hAnsi="Arial"/>
                <w:b w:val="false"/>
                <w:bCs w:val="false"/>
                <w:sz w:val="20"/>
                <w:szCs w:val="20"/>
                <w:rtl/>
              </w:rPr>
              <w:t xml:space="preserve">money</w:t>
            </w:r>
          </w:p>
        </w:tc>
        <w:tc>
          <w:tcPr>
            <w:tcW w:type="dxa" w:w="6000"/>
          </w:tcPr>
          <w:p>
            <w:pPr>
              <w:bidi/>
              <w:jc w:val="start"/>
            </w:pPr>
            <w:r>
              <w:rPr>
                <w:rFonts w:ascii="Arial" w:cs="Arial" w:eastAsia="Arial" w:hAnsi="Arial"/>
                <w:b w:val="false"/>
                <w:bCs w:val="false"/>
                <w:sz w:val="20"/>
                <w:szCs w:val="20"/>
                <w:rtl/>
              </w:rPr>
              <w:t xml:space="preserve">يرى المال</w:t>
            </w:r>
          </w:p>
        </w:tc>
      </w:tr>
      <w:tr>
        <w:tc>
          <w:tcPr>
            <w:tcW w:type="dxa" w:w="3000"/>
          </w:tcPr>
          <w:p>
            <w:pPr>
              <w:bidi/>
              <w:jc w:val="start"/>
            </w:pPr>
            <w:r>
              <w:rPr>
                <w:rFonts w:ascii="Arial" w:cs="Arial" w:eastAsia="Arial" w:hAnsi="Arial"/>
                <w:b w:val="false"/>
                <w:bCs w:val="false"/>
                <w:sz w:val="20"/>
                <w:szCs w:val="20"/>
                <w:rtl/>
              </w:rPr>
              <w:t xml:space="preserve">exportAll</w:t>
            </w:r>
          </w:p>
        </w:tc>
        <w:tc>
          <w:tcPr>
            <w:tcW w:type="dxa" w:w="6000"/>
          </w:tcPr>
          <w:p>
            <w:pPr>
              <w:bidi/>
              <w:jc w:val="start"/>
            </w:pPr>
            <w:r>
              <w:rPr>
                <w:rFonts w:ascii="Arial" w:cs="Arial" w:eastAsia="Arial" w:hAnsi="Arial"/>
                <w:b w:val="false"/>
                <w:bCs w:val="false"/>
                <w:sz w:val="20"/>
                <w:szCs w:val="20"/>
                <w:rtl/>
              </w:rPr>
              <w:t xml:space="preserve">يصدّر الكل</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شاشاتك — 13</w:t>
      </w:r>
    </w:p>
    <w:p>
      <w:pPr>
        <w:bidi/>
        <w:spacing w:after="120"/>
        <w:jc w:val="start"/>
      </w:pPr>
      <w:r>
        <w:rPr>
          <w:rFonts w:ascii="Arial" w:cs="Arial" w:eastAsia="Arial" w:hAnsi="Arial"/>
          <w:b w:val="false"/>
          <w:bCs w:val="false"/>
          <w:color w:val="666666"/>
          <w:sz w:val="20"/>
          <w:szCs w:val="20"/>
          <w:rtl/>
        </w:rPr>
        <w:t xml:space="preserve">كلُّ شاشةٍ تبلغها من القائمة الجانبية، وما تفعله فيها:</w:t>
      </w:r>
    </w:p>
    <w:p>
      <w:pPr>
        <w:bidi/>
        <w:spacing w:after="120"/>
        <w:jc w:val="start"/>
      </w:pPr>
      <w:r>
        <w:rPr>
          <w:rFonts w:ascii="Arial" w:cs="Arial" w:eastAsia="Arial" w:hAnsi="Arial"/>
          <w:b/>
          <w:bCs/>
          <w:sz w:val="24"/>
          <w:szCs w:val="24"/>
          <w:rtl/>
        </w:rPr>
        <w:t xml:space="preserve">القسم المالي</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الشؤون المالية ← دفتر المشتريات</w:t>
            </w:r>
          </w:p>
        </w:tc>
        <w:tc>
          <w:tcPr>
            <w:tcW w:type="dxa" w:w="6400"/>
          </w:tcPr>
          <w:p>
            <w:pPr>
              <w:bidi/>
              <w:jc w:val="start"/>
            </w:pPr>
            <w:r>
              <w:rPr>
                <w:rFonts w:ascii="Arial" w:cs="Arial" w:eastAsia="Arial" w:hAnsi="Arial"/>
                <w:b w:val="false"/>
                <w:bCs w:val="false"/>
                <w:sz w:val="20"/>
                <w:szCs w:val="20"/>
                <w:rtl/>
              </w:rPr>
              <w:t xml:space="preserve">مصروفات السوق المحلي بفواتيرها ومورّديها ومشاعرها.</w:t>
            </w:r>
          </w:p>
        </w:tc>
      </w:tr>
      <w:tr>
        <w:tc>
          <w:tcPr>
            <w:tcW w:type="dxa" w:w="2600"/>
          </w:tcPr>
          <w:p>
            <w:pPr>
              <w:bidi/>
              <w:jc w:val="start"/>
            </w:pPr>
            <w:r>
              <w:rPr>
                <w:rFonts w:ascii="Arial" w:cs="Arial" w:eastAsia="Arial" w:hAnsi="Arial"/>
                <w:b w:val="false"/>
                <w:bCs w:val="false"/>
                <w:sz w:val="20"/>
                <w:szCs w:val="20"/>
                <w:rtl/>
              </w:rPr>
              <w:t xml:space="preserve">الشؤون المالية ← المستخلصات</w:t>
            </w:r>
          </w:p>
        </w:tc>
        <w:tc>
          <w:tcPr>
            <w:tcW w:type="dxa" w:w="6400"/>
          </w:tcPr>
          <w:p>
            <w:pPr>
              <w:bidi/>
              <w:jc w:val="start"/>
            </w:pPr>
            <w:r>
              <w:rPr>
                <w:rFonts w:ascii="Arial" w:cs="Arial" w:eastAsia="Arial" w:hAnsi="Arial"/>
                <w:b w:val="false"/>
                <w:bCs w:val="false"/>
                <w:sz w:val="20"/>
                <w:szCs w:val="20"/>
                <w:rtl/>
              </w:rPr>
              <w:t xml:space="preserve">ما أُنجز واعتُمد — يُقدَّم للعميل ويُتابَع صرفُه.</w:t>
            </w:r>
          </w:p>
        </w:tc>
      </w:tr>
      <w:tr>
        <w:tc>
          <w:tcPr>
            <w:tcW w:type="dxa" w:w="2600"/>
          </w:tcPr>
          <w:p>
            <w:pPr>
              <w:bidi/>
              <w:jc w:val="start"/>
            </w:pPr>
            <w:r>
              <w:rPr>
                <w:rFonts w:ascii="Arial" w:cs="Arial" w:eastAsia="Arial" w:hAnsi="Arial"/>
                <w:b w:val="false"/>
                <w:bCs w:val="false"/>
                <w:sz w:val="20"/>
                <w:szCs w:val="20"/>
                <w:rtl/>
              </w:rPr>
              <w:t xml:space="preserve">الشؤون المالية ← الميزانية والاعتماد</w:t>
            </w:r>
          </w:p>
        </w:tc>
        <w:tc>
          <w:tcPr>
            <w:tcW w:type="dxa" w:w="6400"/>
          </w:tcPr>
          <w:p>
            <w:pPr>
              <w:bidi/>
              <w:jc w:val="start"/>
            </w:pPr>
            <w:r>
              <w:rPr>
                <w:rFonts w:ascii="Arial" w:cs="Arial" w:eastAsia="Arial" w:hAnsi="Arial"/>
                <w:b w:val="false"/>
                <w:bCs w:val="false"/>
                <w:sz w:val="20"/>
                <w:szCs w:val="20"/>
                <w:rtl/>
              </w:rPr>
              <w:t xml:space="preserve">سقف الصرف وحدّ اعتماد المهندس.</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التخطيط</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التجارب</w:t>
            </w:r>
          </w:p>
        </w:tc>
        <w:tc>
          <w:tcPr>
            <w:tcW w:type="dxa" w:w="6400"/>
          </w:tcPr>
          <w:p>
            <w:pPr>
              <w:bidi/>
              <w:jc w:val="start"/>
            </w:pPr>
            <w:r>
              <w:rPr>
                <w:rFonts w:ascii="Arial" w:cs="Arial" w:eastAsia="Arial" w:hAnsi="Arial"/>
                <w:b w:val="false"/>
                <w:bCs w:val="false"/>
                <w:sz w:val="20"/>
                <w:szCs w:val="20"/>
                <w:rtl/>
              </w:rPr>
              <w:t xml:space="preserve">كلُّ ريالٍ وكلُّ ساعةٍ في التجارب — وقرارُ دخولها في تكاليف المشروع.</w:t>
            </w:r>
          </w:p>
        </w:tc>
      </w:tr>
      <w:tr>
        <w:tc>
          <w:tcPr>
            <w:tcW w:type="dxa" w:w="2600"/>
          </w:tcPr>
          <w:p>
            <w:pPr>
              <w:bidi/>
              <w:jc w:val="start"/>
            </w:pPr>
            <w:r>
              <w:rPr>
                <w:rFonts w:ascii="Arial" w:cs="Arial" w:eastAsia="Arial" w:hAnsi="Arial"/>
                <w:b w:val="false"/>
                <w:bCs w:val="false"/>
                <w:sz w:val="20"/>
                <w:szCs w:val="20"/>
                <w:rtl/>
              </w:rPr>
              <w:t xml:space="preserve">التخطيط والمخاطر ← خط الأساس والقيمة</w:t>
            </w:r>
          </w:p>
        </w:tc>
        <w:tc>
          <w:tcPr>
            <w:tcW w:type="dxa" w:w="6400"/>
          </w:tcPr>
          <w:p>
            <w:pPr>
              <w:bidi/>
              <w:jc w:val="start"/>
            </w:pPr>
            <w:r>
              <w:rPr>
                <w:rFonts w:ascii="Arial" w:cs="Arial" w:eastAsia="Arial" w:hAnsi="Arial"/>
                <w:b w:val="false"/>
                <w:bCs w:val="false"/>
                <w:sz w:val="20"/>
                <w:szCs w:val="20"/>
                <w:rtl/>
              </w:rPr>
              <w:t xml:space="preserve">أين نحن من المخطَّط — بلغةِ التقارير المعتمدة.</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المتابعة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التقارير التنفيذية ← الملخّص المالي</w:t>
            </w:r>
          </w:p>
        </w:tc>
        <w:tc>
          <w:tcPr>
            <w:tcW w:type="dxa" w:w="6400"/>
          </w:tcPr>
          <w:p>
            <w:pPr>
              <w:bidi/>
              <w:jc w:val="start"/>
            </w:pPr>
            <w:r>
              <w:rPr>
                <w:rFonts w:ascii="Arial" w:cs="Arial" w:eastAsia="Arial" w:hAnsi="Arial"/>
                <w:b w:val="false"/>
                <w:bCs w:val="false"/>
                <w:sz w:val="20"/>
                <w:szCs w:val="20"/>
                <w:rtl/>
              </w:rPr>
              <w:t xml:space="preserve">المنصرفُ من الميزانية بأبوابه — بلا مورّدين ولا فواتير.</w:t>
            </w:r>
          </w:p>
        </w:tc>
      </w:tr>
      <w:tr>
        <w:tc>
          <w:tcPr>
            <w:tcW w:type="dxa" w:w="2600"/>
          </w:tcPr>
          <w:p>
            <w:pPr>
              <w:bidi/>
              <w:jc w:val="start"/>
            </w:pPr>
            <w:r>
              <w:rPr>
                <w:rFonts w:ascii="Arial" w:cs="Arial" w:eastAsia="Arial" w:hAnsi="Arial"/>
                <w:b w:val="false"/>
                <w:bCs w:val="false"/>
                <w:sz w:val="20"/>
                <w:szCs w:val="20"/>
                <w:rtl/>
              </w:rPr>
              <w:t xml:space="preserve">التقارير التنفيذية ← اللوحة التنفيذية</w:t>
            </w:r>
          </w:p>
        </w:tc>
        <w:tc>
          <w:tcPr>
            <w:tcW w:type="dxa" w:w="6400"/>
          </w:tcPr>
          <w:p>
            <w:pPr>
              <w:bidi/>
              <w:jc w:val="start"/>
            </w:pPr>
            <w:r>
              <w:rPr>
                <w:rFonts w:ascii="Arial" w:cs="Arial" w:eastAsia="Arial" w:hAnsi="Arial"/>
                <w:b w:val="false"/>
                <w:bCs w:val="false"/>
                <w:sz w:val="20"/>
                <w:szCs w:val="20"/>
                <w:rtl/>
              </w:rPr>
              <w:t xml:space="preserve">ما يحتاجه القرار في شاشةٍ واحدة.</w:t>
            </w:r>
          </w:p>
        </w:tc>
      </w:tr>
      <w:tr>
        <w:tc>
          <w:tcPr>
            <w:tcW w:type="dxa" w:w="2600"/>
          </w:tcPr>
          <w:p>
            <w:pPr>
              <w:bidi/>
              <w:jc w:val="start"/>
            </w:pPr>
            <w:r>
              <w:rPr>
                <w:rFonts w:ascii="Arial" w:cs="Arial" w:eastAsia="Arial" w:hAnsi="Arial"/>
                <w:b w:val="false"/>
                <w:bCs w:val="false"/>
                <w:sz w:val="20"/>
                <w:szCs w:val="20"/>
                <w:rtl/>
              </w:rPr>
              <w:t xml:space="preserve">نظرة عامة ← الصورة العامة</w:t>
            </w:r>
          </w:p>
        </w:tc>
        <w:tc>
          <w:tcPr>
            <w:tcW w:type="dxa" w:w="6400"/>
          </w:tcPr>
          <w:p>
            <w:pPr>
              <w:bidi/>
              <w:jc w:val="start"/>
            </w:pPr>
            <w:r>
              <w:rPr>
                <w:rFonts w:ascii="Arial" w:cs="Arial" w:eastAsia="Arial" w:hAnsi="Arial"/>
                <w:b w:val="false"/>
                <w:bCs w:val="false"/>
                <w:sz w:val="20"/>
                <w:szCs w:val="20"/>
                <w:rtl/>
              </w:rPr>
              <w:t xml:space="preserve">الصورة التنفيذية لحظيًّا — تُحدَّث مع كل عملية ميدانية.</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الميدان</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السيارات ← التكلفة</w:t>
            </w:r>
          </w:p>
        </w:tc>
        <w:tc>
          <w:tcPr>
            <w:tcW w:type="dxa" w:w="6400"/>
          </w:tcPr>
          <w:p>
            <w:pPr>
              <w:bidi/>
              <w:jc w:val="start"/>
            </w:pPr>
            <w:r>
              <w:rPr>
                <w:rFonts w:ascii="Arial" w:cs="Arial" w:eastAsia="Arial" w:hAnsi="Arial"/>
                <w:b w:val="false"/>
                <w:bCs w:val="false"/>
                <w:sz w:val="20"/>
                <w:szCs w:val="20"/>
                <w:rtl/>
              </w:rPr>
              <w:t xml:space="preserve">ما تكلّفه السياراتُ شهريًّا ومنذ متى تعمل.</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المساعدة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الأدلة ← دليل الاستخدام</w:t>
            </w:r>
          </w:p>
        </w:tc>
        <w:tc>
          <w:tcPr>
            <w:tcW w:type="dxa" w:w="6400"/>
          </w:tcPr>
          <w:p>
            <w:pPr>
              <w:bidi/>
              <w:jc w:val="start"/>
            </w:pPr>
            <w:r>
              <w:rPr>
                <w:rFonts w:ascii="Arial" w:cs="Arial" w:eastAsia="Arial" w:hAnsi="Arial"/>
                <w:b w:val="false"/>
                <w:bCs w:val="false"/>
                <w:sz w:val="20"/>
                <w:szCs w:val="20"/>
                <w:rtl/>
              </w:rPr>
              <w:t xml:space="preserve">دليلك أنت — بما تملكه من شاشات لا بما لا تملك.</w:t>
            </w:r>
          </w:p>
        </w:tc>
      </w:tr>
      <w:tr>
        <w:tc>
          <w:tcPr>
            <w:tcW w:type="dxa" w:w="2600"/>
          </w:tcPr>
          <w:p>
            <w:pPr>
              <w:bidi/>
              <w:jc w:val="start"/>
            </w:pPr>
            <w:r>
              <w:rPr>
                <w:rFonts w:ascii="Arial" w:cs="Arial" w:eastAsia="Arial" w:hAnsi="Arial"/>
                <w:b w:val="false"/>
                <w:bCs w:val="false"/>
                <w:sz w:val="20"/>
                <w:szCs w:val="20"/>
                <w:rtl/>
              </w:rPr>
              <w:t xml:space="preserve">حسابي</w:t>
            </w:r>
          </w:p>
        </w:tc>
        <w:tc>
          <w:tcPr>
            <w:tcW w:type="dxa" w:w="6400"/>
          </w:tcPr>
          <w:p>
            <w:pPr>
              <w:bidi/>
              <w:jc w:val="start"/>
            </w:pPr>
            <w:r>
              <w:rPr>
                <w:rFonts w:ascii="Arial" w:cs="Arial" w:eastAsia="Arial" w:hAnsi="Arial"/>
                <w:b w:val="false"/>
                <w:bCs w:val="false"/>
                <w:sz w:val="20"/>
                <w:szCs w:val="20"/>
                <w:rtl/>
              </w:rPr>
              <w:t xml:space="preserve">دورك وصلاحياتك ونسختك — وإعداداتُ هذا الجهاز.</w:t>
            </w:r>
          </w:p>
        </w:tc>
      </w:tr>
      <w:tr>
        <w:tc>
          <w:tcPr>
            <w:tcW w:type="dxa" w:w="2600"/>
          </w:tcPr>
          <w:p>
            <w:pPr>
              <w:bidi/>
              <w:jc w:val="start"/>
            </w:pPr>
            <w:r>
              <w:rPr>
                <w:rFonts w:ascii="Arial" w:cs="Arial" w:eastAsia="Arial" w:hAnsi="Arial"/>
                <w:b w:val="false"/>
                <w:bCs w:val="false"/>
                <w:sz w:val="20"/>
                <w:szCs w:val="20"/>
                <w:rtl/>
              </w:rPr>
              <w:t xml:space="preserve">الأدلة ← دورة العمل</w:t>
            </w:r>
          </w:p>
        </w:tc>
        <w:tc>
          <w:tcPr>
            <w:tcW w:type="dxa" w:w="6400"/>
          </w:tcPr>
          <w:p>
            <w:pPr>
              <w:bidi/>
              <w:jc w:val="start"/>
            </w:pPr>
            <w:r>
              <w:rPr>
                <w:rFonts w:ascii="Arial" w:cs="Arial" w:eastAsia="Arial" w:hAnsi="Arial"/>
                <w:b w:val="false"/>
                <w:bCs w:val="false"/>
                <w:sz w:val="20"/>
                <w:szCs w:val="20"/>
                <w:rtl/>
              </w:rPr>
              <w:t xml:space="preserve">كلُّ دورةٍ خطوةً خطوة — من يفعل ماذا وأين، حتى الاعتماد.</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النظام</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السجلات والإشعارات ← الإشعارات</w:t>
            </w:r>
          </w:p>
        </w:tc>
        <w:tc>
          <w:tcPr>
            <w:tcW w:type="dxa" w:w="6400"/>
          </w:tcPr>
          <w:p>
            <w:pPr>
              <w:bidi/>
              <w:jc w:val="start"/>
            </w:pPr>
            <w:r>
              <w:rPr>
                <w:rFonts w:ascii="Arial" w:cs="Arial" w:eastAsia="Arial" w:hAnsi="Arial"/>
                <w:b w:val="false"/>
                <w:bCs w:val="false"/>
                <w:sz w:val="20"/>
                <w:szCs w:val="20"/>
                <w:rtl/>
              </w:rPr>
              <w:t xml:space="preserve">ما يجب أن يعرفه أحدٌ الآن — وبأيِّ قناةٍ يصله.</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المصطلحات</w:t>
      </w:r>
    </w:p>
    <w:p>
      <w:pPr>
        <w:bidi/>
        <w:spacing w:after="120"/>
        <w:jc w:val="start"/>
      </w:pPr>
      <w:r>
        <w:rPr>
          <w:rFonts w:ascii="Arial" w:cs="Arial" w:eastAsia="Arial" w:hAnsi="Arial"/>
          <w:b/>
          <w:bCs/>
          <w:sz w:val="22"/>
          <w:szCs w:val="22"/>
          <w:rtl/>
        </w:rPr>
        <w:t xml:space="preserve">تمت الزيارة</w:t>
      </w:r>
    </w:p>
    <w:p>
      <w:pPr>
        <w:bidi/>
        <w:spacing w:after="120"/>
        <w:jc w:val="start"/>
      </w:pPr>
      <w:r>
        <w:rPr>
          <w:rFonts w:ascii="Arial" w:cs="Arial" w:eastAsia="Arial" w:hAnsi="Arial"/>
          <w:b w:val="false"/>
          <w:bCs w:val="false"/>
          <w:sz w:val="20"/>
          <w:szCs w:val="20"/>
          <w:rtl/>
        </w:rPr>
        <w:t xml:space="preserve">كلُّ نقطةٍ زارها الميدانُ بأيِّ نتيجة — وُصل إليها أو لم يُوصَل. هي رقمُ التقدّم في كلِّ الشاشات والتقارير وملفات الوزارة، والمتبقي ما لم يُزَر أصلًا.</w:t>
      </w:r>
    </w:p>
    <w:p>
      <w:pPr>
        <w:bidi/>
        <w:spacing w:after="120"/>
        <w:jc w:val="start"/>
      </w:pPr>
      <w:r>
        <w:rPr>
          <w:rFonts w:ascii="Arial" w:cs="Arial" w:eastAsia="Arial" w:hAnsi="Arial"/>
          <w:b/>
          <w:bCs/>
          <w:sz w:val="22"/>
          <w:szCs w:val="22"/>
          <w:rtl/>
        </w:rPr>
        <w:t xml:space="preserve">تم الوصول</w:t>
      </w:r>
    </w:p>
    <w:p>
      <w:pPr>
        <w:bidi/>
        <w:spacing w:after="120"/>
        <w:jc w:val="start"/>
      </w:pPr>
      <w:r>
        <w:rPr>
          <w:rFonts w:ascii="Arial" w:cs="Arial" w:eastAsia="Arial" w:hAnsi="Arial"/>
          <w:b w:val="false"/>
          <w:bCs w:val="false"/>
          <w:sz w:val="20"/>
          <w:szCs w:val="20"/>
          <w:rtl/>
        </w:rPr>
        <w:t xml:space="preserve">زيارةٌ وصل فيها الفريقُ إلى النقطة وأكمل نموذجَها. تقسيمٌ داخل «تمت الزيارة» في شاشة المسح.</w:t>
      </w:r>
    </w:p>
    <w:p>
      <w:pPr>
        <w:bidi/>
        <w:spacing w:after="120"/>
        <w:jc w:val="start"/>
      </w:pPr>
      <w:r>
        <w:rPr>
          <w:rFonts w:ascii="Arial" w:cs="Arial" w:eastAsia="Arial" w:hAnsi="Arial"/>
          <w:b/>
          <w:bCs/>
          <w:sz w:val="22"/>
          <w:szCs w:val="22"/>
          <w:rtl/>
        </w:rPr>
        <w:t xml:space="preserve">تحتاج زيارة أخرى</w:t>
      </w:r>
    </w:p>
    <w:p>
      <w:pPr>
        <w:bidi/>
        <w:spacing w:after="120"/>
        <w:jc w:val="start"/>
      </w:pPr>
      <w:r>
        <w:rPr>
          <w:rFonts w:ascii="Arial" w:cs="Arial" w:eastAsia="Arial" w:hAnsi="Arial"/>
          <w:b w:val="false"/>
          <w:bCs w:val="false"/>
          <w:sz w:val="20"/>
          <w:szCs w:val="20"/>
          <w:rtl/>
        </w:rPr>
        <w:t xml:space="preserve">نقطةٌ تمت زيارتُها ولم يُستكمَل مسحُها (لم يُوصَل إليها أو رُدَّت لزيارةٍ أخرى). تظهر هكذا للوزارة؛ وسببُها التفصيليُّ في سجلّ النقطة لسير العمل.</w:t>
      </w:r>
    </w:p>
    <w:p>
      <w:pPr>
        <w:bidi/>
        <w:spacing w:after="120"/>
        <w:jc w:val="start"/>
      </w:pPr>
      <w:r>
        <w:rPr>
          <w:rFonts w:ascii="Arial" w:cs="Arial" w:eastAsia="Arial" w:hAnsi="Arial"/>
          <w:b/>
          <w:bCs/>
          <w:sz w:val="22"/>
          <w:szCs w:val="22"/>
          <w:rtl/>
        </w:rPr>
        <w:t xml:space="preserve">بدون عوائق</w:t>
      </w:r>
    </w:p>
    <w:p>
      <w:pPr>
        <w:bidi/>
        <w:spacing w:after="120"/>
        <w:jc w:val="start"/>
      </w:pPr>
      <w:r>
        <w:rPr>
          <w:rFonts w:ascii="Arial" w:cs="Arial" w:eastAsia="Arial" w:hAnsi="Arial"/>
          <w:b w:val="false"/>
          <w:bCs w:val="false"/>
          <w:sz w:val="20"/>
          <w:szCs w:val="20"/>
          <w:rtl/>
        </w:rPr>
        <w:t xml:space="preserve">تمت الزيارة وتم الوصول ولا تحدّيَ مسجّلًا — الأخضر في شاشة القاعة وبطاقة «نقاط بلا عوائق».</w:t>
      </w:r>
    </w:p>
    <w:p>
      <w:pPr>
        <w:bidi/>
        <w:spacing w:after="120"/>
        <w:jc w:val="start"/>
      </w:pPr>
      <w:r>
        <w:rPr>
          <w:rFonts w:ascii="Arial" w:cs="Arial" w:eastAsia="Arial" w:hAnsi="Arial"/>
          <w:b/>
          <w:bCs/>
          <w:sz w:val="22"/>
          <w:szCs w:val="22"/>
          <w:rtl/>
        </w:rPr>
        <w:t xml:space="preserve">بعوائق</w:t>
      </w:r>
    </w:p>
    <w:p>
      <w:pPr>
        <w:bidi/>
        <w:spacing w:after="120"/>
        <w:jc w:val="start"/>
      </w:pPr>
      <w:r>
        <w:rPr>
          <w:rFonts w:ascii="Arial" w:cs="Arial" w:eastAsia="Arial" w:hAnsi="Arial"/>
          <w:b w:val="false"/>
          <w:bCs w:val="false"/>
          <w:sz w:val="20"/>
          <w:szCs w:val="20"/>
          <w:rtl/>
        </w:rPr>
        <w:t xml:space="preserve">ما تمت زيارتُه وفيه تحدٍّ أو تحتاج زيارةً أخرى تقنيًا — الأحمر في شاشة القاعة وبطاقة «نقاط بعوائق». بدون عوائق + بعوائق = تمت الزيارة.</w:t>
      </w:r>
    </w:p>
    <w:p>
      <w:pPr>
        <w:bidi/>
        <w:spacing w:after="120"/>
        <w:jc w:val="start"/>
      </w:pPr>
      <w:r>
        <w:rPr>
          <w:rFonts w:ascii="Arial" w:cs="Arial" w:eastAsia="Arial" w:hAnsi="Arial"/>
          <w:b/>
          <w:bCs/>
          <w:sz w:val="22"/>
          <w:szCs w:val="22"/>
          <w:rtl/>
        </w:rPr>
        <w:t xml:space="preserve">شاشة القاعة</w:t>
      </w:r>
    </w:p>
    <w:p>
      <w:pPr>
        <w:bidi/>
        <w:spacing w:after="120"/>
        <w:jc w:val="start"/>
      </w:pPr>
      <w:r>
        <w:rPr>
          <w:rFonts w:ascii="Arial" w:cs="Arial" w:eastAsia="Arial" w:hAnsi="Arial"/>
          <w:b w:val="false"/>
          <w:bCs w:val="false"/>
          <w:sz w:val="20"/>
          <w:szCs w:val="20"/>
          <w:rtl/>
        </w:rPr>
        <w:t xml:space="preserve">عرضٌ كبيرٌ للاجتماعات يتجدّد كلَّ دقيقة: نسبةُ الزيارة والتركيب، والمشاعر، والنقاطُ بعوائق وبدونها للإجمالي ولكلِّ نوع. من «متابعة الوزارة» ← «شاشة القاعة» ← «عرضٌ كامل».</w:t>
      </w:r>
    </w:p>
    <w:p>
      <w:pPr>
        <w:bidi/>
        <w:spacing w:after="120"/>
        <w:jc w:val="start"/>
      </w:pPr>
      <w:r>
        <w:rPr>
          <w:rFonts w:ascii="Arial" w:cs="Arial" w:eastAsia="Arial" w:hAnsi="Arial"/>
          <w:b/>
          <w:bCs/>
          <w:sz w:val="22"/>
          <w:szCs w:val="22"/>
          <w:rtl/>
        </w:rPr>
        <w:t xml:space="preserve">رقم الشاخص</w:t>
      </w:r>
    </w:p>
    <w:p>
      <w:pPr>
        <w:bidi/>
        <w:spacing w:after="120"/>
        <w:jc w:val="start"/>
      </w:pPr>
      <w:r>
        <w:rPr>
          <w:rFonts w:ascii="Arial" w:cs="Arial" w:eastAsia="Arial" w:hAnsi="Arial"/>
          <w:b w:val="false"/>
          <w:bCs w:val="false"/>
          <w:sz w:val="20"/>
          <w:szCs w:val="20"/>
          <w:rtl/>
        </w:rPr>
        <w:t xml:space="preserve">المعرّفُ الأوّلُ لكلِّ مخيمٍ في منى وعرفات: رقمُ المخيم/رقمُ الشارع — مثل 25/56 = المخيمُ ٢٥ في الشارع ٥٦. يظهر أوّلًا في كلِّ نافذةٍ وجدولٍ وتصدير، ومعرّفُ النظام (NSK-…) تحته ثانيًا، وكلاهما يُبحَث به. وقد يكون في المخيم الواحد أكثرُ من شركة، فيظهر الشاخصُ نفسُه بسطرٍ لكلِّ شركةٍ واسمُها تحته.</w:t>
      </w:r>
    </w:p>
    <w:p>
      <w:pPr>
        <w:bidi/>
        <w:spacing w:after="120"/>
        <w:jc w:val="start"/>
      </w:pPr>
      <w:r>
        <w:rPr>
          <w:rFonts w:ascii="Arial" w:cs="Arial" w:eastAsia="Arial" w:hAnsi="Arial"/>
          <w:b/>
          <w:bCs/>
          <w:sz w:val="22"/>
          <w:szCs w:val="22"/>
          <w:rtl/>
        </w:rPr>
        <w:t xml:space="preserve">اسم الممر في ١٤٤٧</w:t>
      </w:r>
    </w:p>
    <w:p>
      <w:pPr>
        <w:bidi/>
        <w:spacing w:after="120"/>
        <w:jc w:val="start"/>
      </w:pPr>
      <w:r>
        <w:rPr>
          <w:rFonts w:ascii="Arial" w:cs="Arial" w:eastAsia="Arial" w:hAnsi="Arial"/>
          <w:b w:val="false"/>
          <w:bCs w:val="false"/>
          <w:sz w:val="20"/>
          <w:szCs w:val="20"/>
          <w:rtl/>
        </w:rPr>
        <w:t xml:space="preserve">المعرّفُ الأوّلُ للممرات المركّبة في الموسم الماضي — اسمُها المعروف مثل Path-Shaded-3R. والممراتُ الجديدةُ معرّفُها الأوّلُ المقترح (NSK-MIN-RDR-…) حتى تُسمّى.</w:t>
      </w:r>
    </w:p>
    <w:p>
      <w:pPr>
        <w:bidi/>
        <w:spacing w:after="120"/>
        <w:jc w:val="start"/>
      </w:pPr>
      <w:r>
        <w:rPr>
          <w:rFonts w:ascii="Arial" w:cs="Arial" w:eastAsia="Arial" w:hAnsi="Arial"/>
          <w:b/>
          <w:bCs/>
          <w:sz w:val="22"/>
          <w:szCs w:val="22"/>
          <w:rtl/>
        </w:rPr>
        <w:t xml:space="preserve">حذف نقطة</w:t>
      </w:r>
    </w:p>
    <w:p>
      <w:pPr>
        <w:bidi/>
        <w:spacing w:after="120"/>
        <w:jc w:val="start"/>
      </w:pPr>
      <w:r>
        <w:rPr>
          <w:rFonts w:ascii="Arial" w:cs="Arial" w:eastAsia="Arial" w:hAnsi="Arial"/>
          <w:b w:val="false"/>
          <w:bCs w:val="false"/>
          <w:sz w:val="20"/>
          <w:szCs w:val="20"/>
          <w:rtl/>
        </w:rPr>
        <w:t xml:space="preserve">للمهندس فما فوق: افتح النقطةَ على الخريطة ثم «🗑 حذف النقطة» وأكّد — أو من «تعديل بيانات النقطة» في تفاصيلها. تُحذَف ولو تمت زيارتُها: تختفي من كلِّ الأرقام وتبقى سجلّاتُها، وتُستعاد من «نقاطٌ مخفية» أسفل قائمة المواقع. أما ما رُكّب أو سُلّم أو فُكّ فلا يُحذَف (قرارُ المالك) ويظهر عليه قفل.</w:t>
      </w:r>
    </w:p>
    <w:p>
      <w:pPr>
        <w:bidi/>
        <w:spacing w:after="120"/>
        <w:jc w:val="start"/>
      </w:pPr>
      <w:r>
        <w:rPr>
          <w:rFonts w:ascii="Arial" w:cs="Arial" w:eastAsia="Arial" w:hAnsi="Arial"/>
          <w:b/>
          <w:bCs/>
          <w:sz w:val="22"/>
          <w:szCs w:val="22"/>
          <w:rtl/>
        </w:rPr>
        <w:t xml:space="preserve">الحفظ المحلي</w:t>
      </w:r>
    </w:p>
    <w:p>
      <w:pPr>
        <w:bidi/>
        <w:spacing w:after="120"/>
        <w:jc w:val="start"/>
      </w:pPr>
      <w:r>
        <w:rPr>
          <w:rFonts w:ascii="Arial" w:cs="Arial" w:eastAsia="Arial" w:hAnsi="Arial"/>
          <w:b w:val="false"/>
          <w:bCs w:val="false"/>
          <w:sz w:val="20"/>
          <w:szCs w:val="20"/>
          <w:rtl/>
        </w:rPr>
        <w:t xml:space="preserve">كلُّ ما تُدخله يُحفَظ على جهازك فورًا ويُرفَع حين تتوفر الشبكة. إن ظهرت لافتةٌ حمراء «الحفظ المحلي لا يعمل» فزامِن الآن ولا تُغلق التطبيقَ حتى يُرفَع عملُك — والتطبيقُ يعيد فتحَ المخزن وحدَه.</w:t>
      </w:r>
    </w:p>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ما الجديد في آخر النسخ</w:t>
      </w:r>
    </w:p>
    <w:p>
      <w:pPr>
        <w:bidi/>
        <w:spacing w:after="120"/>
        <w:jc w:val="start"/>
      </w:pPr>
      <w:r>
        <w:rPr>
          <w:rFonts w:ascii="Arial" w:cs="Arial" w:eastAsia="Arial" w:hAnsi="Arial"/>
          <w:b/>
          <w:bCs/>
          <w:sz w:val="22"/>
          <w:szCs w:val="22"/>
          <w:rtl/>
        </w:rPr>
        <w:t xml:space="preserve">V43.7  ·  2026-10-29</w:t>
      </w:r>
    </w:p>
    <w:p>
      <w:pPr>
        <w:bidi/>
        <w:spacing w:after="120"/>
        <w:jc w:val="start"/>
      </w:pPr>
      <w:r>
        <w:rPr>
          <w:rFonts w:ascii="Arial" w:cs="Arial" w:eastAsia="Arial" w:hAnsi="Arial"/>
          <w:b w:val="false"/>
          <w:bCs w:val="false"/>
          <w:sz w:val="20"/>
          <w:szCs w:val="20"/>
          <w:rtl/>
        </w:rPr>
        <w:t xml:space="preserve">•  خرائط جوجل: جرّبت المفتاح اللي بعته في متصفح حقيقي — جوجل بيحمّل وبعدين بيرفض بسبب «ApiNotActivatedMapError»: خدمة «Maps JavaScript API» مش مفعّلة في مشروع جوجل بتاع المفتاح. والتطبيق كان بيسيب طبقة جوجل الفاضية والخريطة المفتوحة متشالة، فالخريطة كانت بتطلع فاضية أو غريبة. دلوقتي أول ما جوجل يرفض: طبقته بتتشال والخريطة المفتوحة بترجع فورًا، وكارت «خرائط جوجل» في ثوابت النظام بيكتب السبب بكلام واضح (الخدمة مش مفعّلة، المفتاح مقفول على عنوان تاني، المفتاح غلط، الفوترة مش مربوطة، الحصة خلصت…)، وبيتسجّل مرة في السجل. ولما تفعّل الخدمة في جوجل، خرائط جوجل هتظهر من غير ما تعمل حاجة تانية</w:t>
      </w:r>
    </w:p>
    <w:p>
      <w:pPr>
        <w:bidi/>
        <w:spacing w:after="120"/>
        <w:jc w:val="start"/>
      </w:pPr>
      <w:r>
        <w:rPr>
          <w:rFonts w:ascii="Arial" w:cs="Arial" w:eastAsia="Arial" w:hAnsi="Arial"/>
          <w:b/>
          <w:bCs/>
          <w:sz w:val="22"/>
          <w:szCs w:val="22"/>
          <w:rtl/>
        </w:rPr>
        <w:t xml:space="preserve">V43.6  ·  2026-10-29</w:t>
      </w:r>
    </w:p>
    <w:p>
      <w:pPr>
        <w:bidi/>
        <w:spacing w:after="120"/>
        <w:jc w:val="start"/>
      </w:pPr>
      <w:r>
        <w:rPr>
          <w:rFonts w:ascii="Arial" w:cs="Arial" w:eastAsia="Arial" w:hAnsi="Arial"/>
          <w:b w:val="false"/>
          <w:bCs w:val="false"/>
          <w:sz w:val="20"/>
          <w:szCs w:val="20"/>
          <w:rtl/>
        </w:rPr>
        <w:t xml:space="preserve">•  مفتاح خرائط جوجل: من ٢٧٫٦ الكارت كان بيحفظه وبيقول «تُعرض خرائط جوجل على الأجهزة كلها» — بس ولا جهاز كان بيقراه تاني، فخرائط جوجل كانت بتظهر على الجهاز اللي كتب المفتاح بس. دلوقتي المفتاح بيتقري عند فتح التطبيق على كل جهاز، ولما يتغير بيوصل خلال ثواني وتتبدل خلفية الخريطة لوحدها. والمفتاح اللي بعته اتحفظ في الإعدادات (من نفس الوثيقة اللي الكارت بيكتبها)، فخلفية الخريطة بقت جوجل على كل الأجهزة — ولو المفتاح اترفض أو الحصة خلصت، الخريطة بترجع للخريطة المفتوحة لوحدها</w:t>
      </w:r>
    </w:p>
    <w:p>
      <w:pPr>
        <w:bidi/>
        <w:spacing w:after="120"/>
        <w:jc w:val="start"/>
      </w:pPr>
      <w:r>
        <w:rPr>
          <w:rFonts w:ascii="Arial" w:cs="Arial" w:eastAsia="Arial" w:hAnsi="Arial"/>
          <w:b/>
          <w:bCs/>
          <w:sz w:val="22"/>
          <w:szCs w:val="22"/>
          <w:rtl/>
        </w:rPr>
        <w:t xml:space="preserve">V43.5  ·  2026-10-29</w:t>
      </w:r>
    </w:p>
    <w:p>
      <w:pPr>
        <w:bidi/>
        <w:spacing w:after="120"/>
        <w:jc w:val="start"/>
      </w:pPr>
      <w:r>
        <w:rPr>
          <w:rFonts w:ascii="Arial" w:cs="Arial" w:eastAsia="Arial" w:hAnsi="Arial"/>
          <w:b w:val="false"/>
          <w:bCs w:val="false"/>
          <w:sz w:val="20"/>
          <w:szCs w:val="20"/>
          <w:rtl/>
        </w:rPr>
        <w:t xml:space="preserve">•  دوّرت في السيستم كله على «تعديل بيعمله شخص لازم يظهر عند الباقيين». كان فيه ١٧ مجموعة بيانات و٢٤ وثيقة ثوابت بتتقري مرة واحدة عند فتح التطبيق بس: دفتر الحركة (المخزن)، وطلبات الورشة، والمشتريات، والشحنات، وطلبات تصويب البيانات من الميدان، وبلاغات الميدان، وسجل «ما تمّ» اليومي، والحسابات والمعلّقة، والسيارات وعهدتها، وطلبات التغيير، وعدم المطابقة، والمستخلصات، وحوادث السلامة، وخط الأساس، ونقاط الزيادة — وكل الثوابت (الفرق، الفنيين، الأصناف، الوظائف، الأدوار، الصلاحيات، الأنماط…). يعني أي حاجة من دول حد كتبها على جهازه كانت بتستنى على باقي الأجهزة لحد ما يقفلوا ويفتحوا. دلوقتي كل واحدة فيهم «تغذية» مسجّلة: بتتقري عند الفتح زي قبل، وبتتقري تاني لوحدها خلال ثواني لما النبضة اللي بتتبعت بعد أي حفظ تذكر مجموعتها — والدفاتر الكبيرة التلاتة بتقرا اللي اتغير بس. مع ٤٣٫٤ (المواقع والشركات) بقى ما فيش حاجة في السيستم بتتكتب من غير ما توصل الباقيين</w:t>
      </w:r>
    </w:p>
    <w:p>
      <w:pPr>
        <w:bidi/>
        <w:spacing w:after="120"/>
        <w:jc w:val="start"/>
      </w:pPr>
      <w:r>
        <w:rPr>
          <w:rFonts w:ascii="Arial" w:cs="Arial" w:eastAsia="Arial" w:hAnsi="Arial"/>
          <w:b/>
          <w:bCs/>
          <w:sz w:val="22"/>
          <w:szCs w:val="22"/>
          <w:rtl/>
        </w:rPr>
        <w:t xml:space="preserve">V43.4  ·  2026-10-29</w:t>
      </w:r>
    </w:p>
    <w:p>
      <w:pPr>
        <w:bidi/>
        <w:spacing w:after="120"/>
        <w:jc w:val="start"/>
      </w:pPr>
      <w:r>
        <w:rPr>
          <w:rFonts w:ascii="Arial" w:cs="Arial" w:eastAsia="Arial" w:hAnsi="Arial"/>
          <w:b w:val="false"/>
          <w:bCs w:val="false"/>
          <w:sz w:val="20"/>
          <w:szCs w:val="20"/>
          <w:rtl/>
        </w:rPr>
        <w:t xml:space="preserve">•  مراجعة «أي حاجة تتضاف لازم تسمع في أماكنها»: لقيت ٣ فجوات في نفس عيلة مشكلة الشركات وقفلتها كلها. (١) المواقع المضافة يدويًا كان بيقراها المكتب والمشرف بس: الفني كان ما بيشوفش المخيم اللي المكتب أو مشرف تاني ضافه — خالص، حتى بعد ما يقفل ويفتح. (٢) تعديلات المواقع (النقل، التصنيف، الإخفاء) والشركات المضافة والمواقع الجديدة كانت بتتقري مرة واحدة عند فتح التطبيق بس، فأي إضافة من جهاز تاني ما كانتش توصل إلا بإعادة فتح. دلوقتي: التلاتة بيتقروا لكل الأدوار، وبيوصلوا لكل جهاز خلال ثواني بالنبضة اللي بتتبعت بعد أي حفظ، ومعاهم شبكة أمان كل ١٠ دقايق — ومن غير ما تتقري تاني لو ما اتغيرتش (قراءة واحدة بس). (٣) وبقى فيه فحص ثابت يمنع رجوع الفجوة</w:t>
      </w:r>
    </w:p>
    <w:p>
      <w:pPr>
        <w:bidi/>
        <w:spacing w:after="120"/>
        <w:jc w:val="start"/>
      </w:pPr>
      <w:r>
        <w:rPr>
          <w:rFonts w:ascii="Arial" w:cs="Arial" w:eastAsia="Arial" w:hAnsi="Arial"/>
          <w:b/>
          <w:bCs/>
          <w:sz w:val="22"/>
          <w:szCs w:val="22"/>
          <w:rtl/>
        </w:rPr>
        <w:t xml:space="preserve">V43.3  ·  2026-10-29</w:t>
      </w:r>
    </w:p>
    <w:p>
      <w:pPr>
        <w:bidi/>
        <w:spacing w:after="120"/>
        <w:jc w:val="start"/>
      </w:pPr>
      <w:r>
        <w:rPr>
          <w:rFonts w:ascii="Arial" w:cs="Arial" w:eastAsia="Arial" w:hAnsi="Arial"/>
          <w:b w:val="false"/>
          <w:bCs w:val="false"/>
          <w:sz w:val="20"/>
          <w:szCs w:val="20"/>
          <w:rtl/>
        </w:rPr>
        <w:t xml:space="preserve">•  مراجعة من ٣٥ لحد دلوقتي — من بيانات الإنتاج نفسها (قراءة فقط): ٢٬٦٤١ حدث في آخر ٧ أيام، فيهم ٧ بس بكلمة خطأ. اللي اتصلّح منهم: (١) زرار «تصدير» الصفحة كان بيقع لو ورقتين في الملف باسم واحد يفرق في حالة الحرف بس («daily» و«Daily») — بقى يفرّد الأسماء. (٢) ١٨ تسجيلة «عطل في متصفح الجهاز» كانت كلها «تعذّر تحديث عامل الخدمة» لجهاز واحد وقت ما النت راح لحظة الفحص — دي مش مشكلة، بقت تتسجل على الجهاز بس ومش في سجل الأحداث المشترك. وكمان: قراءة صحة جديدة للإنتاج (مين على أي إصدار، البلاغات المفتوحة، أخطاء الأسبوع، الطابور، أحجام البيانات) تتشغل من السحابة ومن غير ما تكتب حاجة</w:t>
      </w:r>
    </w:p>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val="false"/>
          <w:bCs w:val="false"/>
          <w:color w:val="888888"/>
          <w:sz w:val="18"/>
          <w:szCs w:val="18"/>
          <w:rtl/>
        </w:rPr>
        <w:t xml:space="preserve">هذا الدليل مُولَّدٌ آليًّا من تعريف الدور في النظام — من غيّر صلاحيةً ثم أعاد التوليدَ غيّر الدليلَ معها.</w:t>
      </w:r>
    </w:p>
    <w:sectPr>
      <w:pgSz w:w="11906" w:h="16838" w:orient="portrait"/>
      <w:pgMar w:top="1134" w:right="1134" w:bottom="1134" w:left="1134"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defaultTabStop w:val="720"/>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paragraph" w:styleId="Caption">
    <w:name w:val="caption"/>
    <w:basedOn w:val="Normal"/>
    <w:next w:val="Normal"/>
    <w:uiPriority w:val="35"/>
    <w:semiHidden/>
    <w:unhideWhenUsed/>
    <w:qFormat/>
    <w:pPr>
      <w:spacing w:after="200"/>
    </w:pPr>
    <w:rPr>
      <w:i/>
      <w:iCs/>
      <w:color w:val="44546A" w:themeColor="dark2"/>
      <w:sz w:val="18"/>
      <w:szCs w:val="18"/>
    </w:rPr>
  </w:style>
  <w:style w:type="paragraph" w:styleId="Bibliography">
    <w:name w:val="Bibliography"/>
    <w:basedOn w:val="Normal"/>
    <w:next w:val="Normal"/>
    <w:uiPriority w:val="37"/>
    <w:unhideWhenUsed/>
  </w:style>
  <w:style w:type="paragraph" w:styleId="TOC1">
    <w:name w:val="toc 1"/>
    <w:basedOn w:val="Normal"/>
    <w:next w:val="Normal"/>
    <w:uiPriority w:val="39"/>
    <w:semiHidden/>
    <w:unhideWhenUsed/>
    <w:pPr>
      <w:spacing w:after="100"/>
    </w:pPr>
  </w:style>
  <w:style w:type="paragraph" w:styleId="TOC2">
    <w:name w:val="toc 2"/>
    <w:basedOn w:val="Normal"/>
    <w:next w:val="Normal"/>
    <w:uiPriority w:val="39"/>
    <w:semiHidden/>
    <w:unhideWhenUsed/>
    <w:pPr>
      <w:spacing w:after="100"/>
      <w:ind w:left="220"/>
    </w:pPr>
  </w:style>
  <w:style w:type="paragraph" w:styleId="TOC3">
    <w:name w:val="toc 3"/>
    <w:basedOn w:val="Normal"/>
    <w:next w:val="Normal"/>
    <w:uiPriority w:val="39"/>
    <w:semiHidden/>
    <w:unhideWhenUsed/>
    <w:pPr>
      <w:spacing w:after="100"/>
      <w:ind w:left="440"/>
    </w:pPr>
  </w:style>
  <w:style w:type="paragraph" w:styleId="TOC4">
    <w:name w:val="toc 4"/>
    <w:basedOn w:val="Normal"/>
    <w:next w:val="Normal"/>
    <w:uiPriority w:val="39"/>
    <w:semiHidden/>
    <w:unhideWhenUsed/>
    <w:pPr>
      <w:spacing w:after="100"/>
      <w:ind w:left="660"/>
    </w:pPr>
  </w:style>
  <w:style w:type="paragraph" w:styleId="TOC5">
    <w:name w:val="toc 5"/>
    <w:basedOn w:val="Normal"/>
    <w:next w:val="Normal"/>
    <w:uiPriority w:val="39"/>
    <w:semiHidden/>
    <w:unhideWhenUsed/>
    <w:pPr>
      <w:spacing w:after="100"/>
      <w:ind w:left="880"/>
    </w:pPr>
  </w:style>
  <w:style w:type="paragraph" w:styleId="TOC6">
    <w:name w:val="toc 6"/>
    <w:basedOn w:val="Normal"/>
    <w:next w:val="Normal"/>
    <w:uiPriority w:val="39"/>
    <w:semiHidden/>
    <w:unhideWhenUsed/>
    <w:pPr>
      <w:spacing w:after="100"/>
      <w:ind w:left="1100"/>
    </w:pPr>
  </w:style>
  <w:style w:type="paragraph" w:styleId="TOC7">
    <w:name w:val="toc 7"/>
    <w:basedOn w:val="Normal"/>
    <w:next w:val="Normal"/>
    <w:uiPriority w:val="39"/>
    <w:semiHidden/>
    <w:unhideWhenUsed/>
    <w:pPr>
      <w:spacing w:after="100"/>
      <w:ind w:left="1320"/>
    </w:pPr>
  </w:style>
  <w:style w:type="paragraph" w:styleId="TOC8">
    <w:name w:val="toc 8"/>
    <w:basedOn w:val="Normal"/>
    <w:next w:val="Normal"/>
    <w:uiPriority w:val="39"/>
    <w:semiHidden/>
    <w:unhideWhenUsed/>
    <w:pPr>
      <w:spacing w:after="100"/>
      <w:ind w:left="1540"/>
    </w:pPr>
  </w:style>
  <w:style w:type="paragraph" w:styleId="TOC9">
    <w:name w:val="toc 9"/>
    <w:basedOn w:val="Normal"/>
    <w:next w:val="Normal"/>
    <w:uiPriority w:val="39"/>
    <w:semiHidden/>
    <w:unhideWhenUsed/>
    <w:pPr>
      <w:spacing w:after="100"/>
      <w:ind w:left="1760"/>
    </w:pPr>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character" w:styleId="LineNumber">
    <w:name w:val="line number"/>
    <w:basedOn w:val="DefaultParagraphFont"/>
    <w:uiPriority w:val="99"/>
    <w:semiHidden/>
    <w:unhideWhenUsed/>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2026-01-01T00:00:00Z</dcterms:created>
  <dcterms:modified xsi:type="dcterms:W3CDTF">2026-01-01T00:00:00Z</dcterms:modified>
</cp:coreProperties>
</file>

<file path=docProps/custom.xml><?xml version="1.0" encoding="utf-8"?>
<Properties xmlns="http://schemas.openxmlformats.org/officeDocument/2006/custom-properties" xmlns:vt="http://schemas.openxmlformats.org/officeDocument/2006/docPropsVTypes"/>
</file>